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617" w:rsidRPr="00BB7617" w:rsidRDefault="00BB7617" w:rsidP="00BB7617">
      <w:pPr>
        <w:pStyle w:val="NormalWeb"/>
        <w:jc w:val="center"/>
      </w:pPr>
      <w:r>
        <w:rPr>
          <w:noProof/>
        </w:rPr>
        <w:drawing>
          <wp:inline distT="0" distB="0" distL="0" distR="0" wp14:anchorId="58FB300F" wp14:editId="591B1E0C">
            <wp:extent cx="2565779" cy="1432560"/>
            <wp:effectExtent l="0" t="0" r="6350" b="0"/>
            <wp:docPr id="1" name="Imagen 1" descr="C:\Users\Dell\AppData\Local\Temp\{8F70D409-791A-41B1-B364-73BC4AF9A798}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AppData\Local\Temp\{8F70D409-791A-41B1-B364-73BC4AF9A798}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795" cy="14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617" w:rsidRDefault="00BB7617" w:rsidP="00BB7617">
      <w:pPr>
        <w:pStyle w:val="Default"/>
        <w:jc w:val="both"/>
        <w:rPr>
          <w:bCs/>
          <w:color w:val="auto"/>
          <w:sz w:val="22"/>
          <w:szCs w:val="22"/>
          <w:lang w:eastAsia="en-US"/>
        </w:rPr>
      </w:pPr>
    </w:p>
    <w:p w:rsidR="00BB7617" w:rsidRPr="00BB7617" w:rsidRDefault="00BB7617" w:rsidP="00BB7617">
      <w:pPr>
        <w:pStyle w:val="Default"/>
        <w:jc w:val="both"/>
        <w:rPr>
          <w:bCs/>
          <w:color w:val="auto"/>
          <w:sz w:val="22"/>
          <w:szCs w:val="22"/>
          <w:lang w:eastAsia="en-US"/>
        </w:rPr>
      </w:pPr>
      <w:r w:rsidRPr="00BB7617">
        <w:rPr>
          <w:bCs/>
          <w:color w:val="auto"/>
          <w:sz w:val="22"/>
          <w:szCs w:val="22"/>
          <w:lang w:eastAsia="en-US"/>
        </w:rPr>
        <w:t xml:space="preserve">De conformidad con el </w:t>
      </w:r>
      <w:r>
        <w:t>Manual de Organización de la Administrac</w:t>
      </w:r>
      <w:r>
        <w:t>ión Pública Municipal 2024-2027;</w:t>
      </w:r>
      <w:r w:rsidRPr="00BB7617">
        <w:rPr>
          <w:bCs/>
          <w:color w:val="auto"/>
          <w:sz w:val="22"/>
          <w:szCs w:val="22"/>
          <w:lang w:eastAsia="en-US"/>
        </w:rPr>
        <w:t xml:space="preserve"> no se encuentra dentro de nuestras atribuciones o facultades el generar, formular, producir, procesar y/o administrar información de ésta naturaleza</w:t>
      </w:r>
      <w:r>
        <w:rPr>
          <w:bCs/>
          <w:color w:val="auto"/>
          <w:sz w:val="22"/>
          <w:szCs w:val="22"/>
          <w:lang w:eastAsia="en-US"/>
        </w:rPr>
        <w:t>, ya que es competencia del siguiente departamento:</w:t>
      </w:r>
    </w:p>
    <w:p w:rsidR="008C3496" w:rsidRPr="00BB7617" w:rsidRDefault="008C3496" w:rsidP="00BB7617">
      <w:pPr>
        <w:jc w:val="both"/>
        <w:rPr>
          <w:rFonts w:ascii="Arial" w:hAnsi="Arial" w:cs="Arial"/>
        </w:rPr>
      </w:pPr>
    </w:p>
    <w:p w:rsidR="00BB7617" w:rsidRPr="00BB7617" w:rsidRDefault="00BB7617" w:rsidP="00BB7617">
      <w:pPr>
        <w:jc w:val="both"/>
        <w:rPr>
          <w:rFonts w:ascii="Arial" w:hAnsi="Arial" w:cs="Arial"/>
          <w:b/>
        </w:rPr>
      </w:pPr>
      <w:r w:rsidRPr="00BB7617">
        <w:rPr>
          <w:rFonts w:ascii="Arial" w:hAnsi="Arial" w:cs="Arial"/>
          <w:b/>
        </w:rPr>
        <w:t xml:space="preserve">COMERCIO Y ALCOHOLES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Conforme a lo dispuesto por el artículo 5º fracción II en relación con el artículo 6º de la Ley de Bebidas Alcohólicas, el ayuntamiento por conducto de su dependencia competente deberá llevar a cabo las siguientes acciones en materia de prevención: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Desarrollar estrategias, programas anuales preventivos y campañas permanentes de difusión e información en materia de combate al abuso en el consumo del alcohol, orientadas a desincentivar el consumo e informando de las consecuencias negativas en la salud de la persona, en la vida familiar, y en la social.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Llevar un control cuantitativo y zonificado de las licencias que expidan, con el fin de evitar la proliferación desmedida de los establecimientos que expenden bebidas alcohólicas.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Promover su coordinación para el cumplimiento del objeto de la mencionada Ley.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Incluir en el sistema educativo estatal programas orientados a educar sobre los efectos del alcohol en la salud y en las relaciones sociales.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Promover la participación de las instituciones sociales en la planeación, programación y ejecución de acciones de naturaleza preventiva y correctiva del abuso del alcohol.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Promover la formalización de acuerdos con asociaciones empresariales o empresas fabricantes y distribuidoras de bebidas alcohólicas, así como anunciantes, agencias, medios de publicidad, medios de comunicación y asociaciones de consumidores y usuarios, con el fin de prevenir y combatir el abuso en el consumo de bebidas alcohólicas, proteger la salud frente a los riesgos derivados del mismo, así como otras acciones tendientes a lograr el cumplimiento de este Ordenamiento Ley.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Fortalecer las estrategias de apoyo y ayuda dirigidas a familias donde alguno de sus miembros enfrente problemas de consumo abusivo de bebidas alcohólicas.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Apoyar a centros de prevención y organizaciones no gubernamentales que promuevan campañas permanentes para reducir el consumo de alcohol, o brinden tratamiento a las personas que así lo requieran.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lastRenderedPageBreak/>
        <w:t xml:space="preserve">• Promover el conocimiento de la mencionada Ley en la población en general, con especial énfasis en las personas cuya actividad se encuentre relacionada con la venta, distribución y suministro de bebidas alcohólicas.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>Conforme a lo dispuesto por el artículo 5º fracción II en relación con el artículo 8º de la Ley de Bebidas Alcohólicas, son atribuciones de los ayuntamientos, las siguientes: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Expedir; refrendar, y autorizar los cambios de domicilio, de las licencias de bebidas alcohólicas de baja graduación, cuando el titular reúna los requisitos que se establecen para tales casos en esta Ley, o negarlas cuando no los satisfagan, o se considere la negativa de interés público, así como cancelarlas en los casos que este mismo Ordenamiento lo prevea.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Expedir duplicados de las licencias y de los permisos especiales, en los casos de robo, pérdida o extravío, previo conocimiento de hechos realizado por el titular de la licencia, ante la autoridad investigadora.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Dentro de su jurisdicción, determinar los horarios de venta, suministro o consumo de bebidas alcohólicas, siempre y cuando se encuentren acordes a los señalados en el artículo 27 del mencionado Ordenamiento; y tomando en cuenta la opinión, previa convocatoria, de las asociaciones de padres de familia; instituciones educativas; y cámaras empresariales.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Solicitar al Ejecutivo del Estado, cuando lo consideren necesario y mediante acuerdo de cabildo, la regulación de los horarios en su municipio, para la venta, distribución, consumo y suministro de bebidas alcohólicas de alta graduación, siempre y cuando se encuentren dentro de los señalados en el artículo 27 del mencionado Ordenamiento.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Llevar a cabo las labores de verificación, inspección y vigilancia del cumplimiento de la mencionada Ley.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Aplicar, de conformidad con los procedimientos establecidos en la mencionada Ley y en los reglamentos municipales correspondientes, las sanciones administrativas establecidas en esta Norma, con excepción de aquéllas que sean competencia de otra autoridad.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Determinar la clausura temporal o definitiva de los establecimientos que lo ameriten, y la imposición o reimposición de sellos de clausura, mediante el procedimiento que corresponda.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Solicitar al Ejecutivo del Estado la cancelación de licencias de bebidas de alta graduación, por incumplimiento a las disposiciones de la mencionada Ley, en casos de reincidencia de infracciones, o afecten a la paz e interés social de la localidad.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Celebrar convenios con el Estado para el mejor cumplimiento de la mencionada Ley. </w:t>
      </w:r>
    </w:p>
    <w:p w:rsidR="00BB7617" w:rsidRP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 xml:space="preserve">• Registrar las infracciones señaladas en el artículo 52 de la mencionada Ley, precisando de manera indubitable el nombre del conductor sancionado y la clave de identificación de la licencia, debiendo remitir esta información a la autoridad encargada de la expedición y renovación de las licencias de conducir en el Estado, la cual la concentrará en una base de datos. </w:t>
      </w:r>
    </w:p>
    <w:p w:rsidR="00BB7617" w:rsidRDefault="00BB7617" w:rsidP="00BB7617">
      <w:pPr>
        <w:jc w:val="both"/>
        <w:rPr>
          <w:rFonts w:ascii="Arial" w:hAnsi="Arial" w:cs="Arial"/>
        </w:rPr>
      </w:pPr>
      <w:r w:rsidRPr="00BB7617">
        <w:rPr>
          <w:rFonts w:ascii="Arial" w:hAnsi="Arial" w:cs="Arial"/>
        </w:rPr>
        <w:t>• Informar a la autoridad encargada de la expedición de las licencias de conducir, al menos una vez</w:t>
      </w:r>
    </w:p>
    <w:p w:rsidR="00C414AE" w:rsidRDefault="00C414AE" w:rsidP="00BB7617">
      <w:pPr>
        <w:jc w:val="both"/>
        <w:rPr>
          <w:rFonts w:ascii="Arial" w:hAnsi="Arial" w:cs="Arial"/>
        </w:rPr>
      </w:pPr>
    </w:p>
    <w:p w:rsidR="00C414AE" w:rsidRPr="00C414AE" w:rsidRDefault="00C414AE" w:rsidP="00C414AE">
      <w:pPr>
        <w:jc w:val="both"/>
        <w:rPr>
          <w:rFonts w:ascii="Arial" w:hAnsi="Arial" w:cs="Arial"/>
          <w:b/>
        </w:rPr>
      </w:pPr>
      <w:r w:rsidRPr="00C414AE">
        <w:rPr>
          <w:rFonts w:ascii="Arial" w:hAnsi="Arial" w:cs="Arial"/>
          <w:b/>
        </w:rPr>
        <w:lastRenderedPageBreak/>
        <w:t>OBRAS PÚBLICAS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>Conforme a lo dispuesto por los artículos 1º fracción IV, 9º, 10, 11, 12, 13 y 17 bis de la Ley de Obras Públicas: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>• El Ayuntamiento, en el ámbito de su competencia, dictará, a través de su órgano de con</w:t>
      </w:r>
      <w:r>
        <w:rPr>
          <w:rFonts w:ascii="Arial" w:hAnsi="Arial" w:cs="Arial"/>
        </w:rPr>
        <w:t xml:space="preserve">trol interno, las disposiciones </w:t>
      </w:r>
      <w:r w:rsidRPr="00C414AE">
        <w:rPr>
          <w:rFonts w:ascii="Arial" w:hAnsi="Arial" w:cs="Arial"/>
        </w:rPr>
        <w:t>administrativas que sean estrictamente necesarias para el adecuado cumplimiento de la mencionada Ley.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 xml:space="preserve">• El Ayuntamiento, será responsable, de que, en el ámbito de su competencia, se adopten </w:t>
      </w:r>
      <w:r>
        <w:rPr>
          <w:rFonts w:ascii="Arial" w:hAnsi="Arial" w:cs="Arial"/>
        </w:rPr>
        <w:t xml:space="preserve">e instrumenten las acciones que </w:t>
      </w:r>
      <w:r w:rsidRPr="00C414AE">
        <w:rPr>
          <w:rFonts w:ascii="Arial" w:hAnsi="Arial" w:cs="Arial"/>
        </w:rPr>
        <w:t>deban llevar a cabo en cumplimiento de la mencionada Ley, observando criterios qu</w:t>
      </w:r>
      <w:r>
        <w:rPr>
          <w:rFonts w:ascii="Arial" w:hAnsi="Arial" w:cs="Arial"/>
        </w:rPr>
        <w:t xml:space="preserve">e promuevan la simplificación y </w:t>
      </w:r>
      <w:r w:rsidRPr="00C414AE">
        <w:rPr>
          <w:rFonts w:ascii="Arial" w:hAnsi="Arial" w:cs="Arial"/>
        </w:rPr>
        <w:t>modernización administrativa, la descentralización de funciones, así como la efectiva delegación de facultades.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 xml:space="preserve">• Corresponde al Ayuntamiento llevar a cabo los procedimientos para contratar y ejecutar las obras públicas y </w:t>
      </w:r>
      <w:r>
        <w:rPr>
          <w:rFonts w:ascii="Arial" w:hAnsi="Arial" w:cs="Arial"/>
        </w:rPr>
        <w:t xml:space="preserve">servicios </w:t>
      </w:r>
      <w:r w:rsidRPr="00C414AE">
        <w:rPr>
          <w:rFonts w:ascii="Arial" w:hAnsi="Arial" w:cs="Arial"/>
        </w:rPr>
        <w:t>relacionados con las mismas establecidos en la mencionada Ley, por lo que, en ningún caso</w:t>
      </w:r>
      <w:r>
        <w:rPr>
          <w:rFonts w:ascii="Arial" w:hAnsi="Arial" w:cs="Arial"/>
        </w:rPr>
        <w:t xml:space="preserve">, se podrán contratar servicios </w:t>
      </w:r>
      <w:r w:rsidRPr="00C414AE">
        <w:rPr>
          <w:rFonts w:ascii="Arial" w:hAnsi="Arial" w:cs="Arial"/>
        </w:rPr>
        <w:t>para que por su cuenta y orden se contraten las obras o servicios de que se trate.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>• El Ayuntamiento, podrá contratar asesoría técnica para la realización de investigacion</w:t>
      </w:r>
      <w:r>
        <w:rPr>
          <w:rFonts w:ascii="Arial" w:hAnsi="Arial" w:cs="Arial"/>
        </w:rPr>
        <w:t xml:space="preserve">es de mercado, mejoramiento del </w:t>
      </w:r>
      <w:r w:rsidRPr="00C414AE">
        <w:rPr>
          <w:rFonts w:ascii="Arial" w:hAnsi="Arial" w:cs="Arial"/>
        </w:rPr>
        <w:t>sistema de obra pública y servicios relacionados con las mismas, la verificación de prec</w:t>
      </w:r>
      <w:r>
        <w:rPr>
          <w:rFonts w:ascii="Arial" w:hAnsi="Arial" w:cs="Arial"/>
        </w:rPr>
        <w:t xml:space="preserve">ios, pruebas de calidad y otras </w:t>
      </w:r>
      <w:r w:rsidRPr="00C414AE">
        <w:rPr>
          <w:rFonts w:ascii="Arial" w:hAnsi="Arial" w:cs="Arial"/>
        </w:rPr>
        <w:t>actividades vinculadas con el objeto de la mencionada Ley; debiendo poner a disposic</w:t>
      </w:r>
      <w:r>
        <w:rPr>
          <w:rFonts w:ascii="Arial" w:hAnsi="Arial" w:cs="Arial"/>
        </w:rPr>
        <w:t xml:space="preserve">ión de las demás instituciones, </w:t>
      </w:r>
      <w:r w:rsidRPr="00C414AE">
        <w:rPr>
          <w:rFonts w:ascii="Arial" w:hAnsi="Arial" w:cs="Arial"/>
        </w:rPr>
        <w:t>cuando lo soliciten, los resultados de los trabajos de los respectivos contratos de asesoría técnica.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 xml:space="preserve">• Para la contratación de los servicios antes descritos, el Ayuntamiento deberá dar preferencia </w:t>
      </w:r>
      <w:r>
        <w:rPr>
          <w:rFonts w:ascii="Arial" w:hAnsi="Arial" w:cs="Arial"/>
        </w:rPr>
        <w:t xml:space="preserve">a los contratistas locales </w:t>
      </w:r>
      <w:r w:rsidRPr="00C414AE">
        <w:rPr>
          <w:rFonts w:ascii="Arial" w:hAnsi="Arial" w:cs="Arial"/>
        </w:rPr>
        <w:t>que cuenten con la experiencia técnica, ofrezcan calidad, precio y garantí</w:t>
      </w:r>
      <w:r>
        <w:rPr>
          <w:rFonts w:ascii="Arial" w:hAnsi="Arial" w:cs="Arial"/>
        </w:rPr>
        <w:t xml:space="preserve">a, y cumplan con los requisitos </w:t>
      </w:r>
      <w:r w:rsidRPr="00C414AE">
        <w:rPr>
          <w:rFonts w:ascii="Arial" w:hAnsi="Arial" w:cs="Arial"/>
        </w:rPr>
        <w:t>correspondientes, sobre aquellos nacionales o internacionales.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>• Será responsabilidad del Ayuntamiento, mantener adecuada y satisfactoriamente in</w:t>
      </w:r>
      <w:r>
        <w:rPr>
          <w:rFonts w:ascii="Arial" w:hAnsi="Arial" w:cs="Arial"/>
        </w:rPr>
        <w:t xml:space="preserve">ventariados, los bienes con que </w:t>
      </w:r>
      <w:r w:rsidRPr="00C414AE">
        <w:rPr>
          <w:rFonts w:ascii="Arial" w:hAnsi="Arial" w:cs="Arial"/>
        </w:rPr>
        <w:t>cuenten para la realización de la obra pública y servicios relacionados con las mismas.</w:t>
      </w:r>
    </w:p>
    <w:p w:rsidR="00C414AE" w:rsidRPr="00C414AE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>• El Ayuntamiento deberá llevar un inventario de maquinaria y equipo de construcci</w:t>
      </w:r>
      <w:r>
        <w:rPr>
          <w:rFonts w:ascii="Arial" w:hAnsi="Arial" w:cs="Arial"/>
        </w:rPr>
        <w:t xml:space="preserve">ón, y de mantenimiento del cual </w:t>
      </w:r>
      <w:r w:rsidRPr="00C414AE">
        <w:rPr>
          <w:rFonts w:ascii="Arial" w:hAnsi="Arial" w:cs="Arial"/>
        </w:rPr>
        <w:t xml:space="preserve">disponen, indicando al menos, modelo, fecha de adquisición, ubicación y estado </w:t>
      </w:r>
      <w:r>
        <w:rPr>
          <w:rFonts w:ascii="Arial" w:hAnsi="Arial" w:cs="Arial"/>
        </w:rPr>
        <w:t xml:space="preserve">físico. Dicho inventario deberá </w:t>
      </w:r>
      <w:r w:rsidRPr="00C414AE">
        <w:rPr>
          <w:rFonts w:ascii="Arial" w:hAnsi="Arial" w:cs="Arial"/>
        </w:rPr>
        <w:t>entregarse al órgano de control correspondiente para su verificación, al inicio de cada ejercicio fiscal.</w:t>
      </w:r>
    </w:p>
    <w:p w:rsidR="00C414AE" w:rsidRPr="00BB7617" w:rsidRDefault="00C414AE" w:rsidP="00C414AE">
      <w:pPr>
        <w:jc w:val="both"/>
        <w:rPr>
          <w:rFonts w:ascii="Arial" w:hAnsi="Arial" w:cs="Arial"/>
        </w:rPr>
      </w:pPr>
      <w:r w:rsidRPr="00C414AE">
        <w:rPr>
          <w:rFonts w:ascii="Arial" w:hAnsi="Arial" w:cs="Arial"/>
        </w:rPr>
        <w:t>• El Ayuntamiento podrá establecer convenios de vinculación con las instituciones de edu</w:t>
      </w:r>
      <w:r>
        <w:rPr>
          <w:rFonts w:ascii="Arial" w:hAnsi="Arial" w:cs="Arial"/>
        </w:rPr>
        <w:t xml:space="preserve">cación superior en el Estado, y </w:t>
      </w:r>
      <w:r w:rsidRPr="00C414AE">
        <w:rPr>
          <w:rFonts w:ascii="Arial" w:hAnsi="Arial" w:cs="Arial"/>
        </w:rPr>
        <w:t>con las empresas que desarrollen este tipo de obras, con la finalidad de promover el p</w:t>
      </w:r>
      <w:r>
        <w:rPr>
          <w:rFonts w:ascii="Arial" w:hAnsi="Arial" w:cs="Arial"/>
        </w:rPr>
        <w:t xml:space="preserve">rimer empleo en la ejecución de </w:t>
      </w:r>
      <w:r w:rsidRPr="00C414AE">
        <w:rPr>
          <w:rFonts w:ascii="Arial" w:hAnsi="Arial" w:cs="Arial"/>
        </w:rPr>
        <w:t xml:space="preserve">obras públicas; de acuerdo al área aplicable y a las condiciones de viabilidad, con el </w:t>
      </w:r>
      <w:r>
        <w:rPr>
          <w:rFonts w:ascii="Arial" w:hAnsi="Arial" w:cs="Arial"/>
        </w:rPr>
        <w:t xml:space="preserve">objetivo de apoyar su formación </w:t>
      </w:r>
      <w:bookmarkStart w:id="0" w:name="_GoBack"/>
      <w:bookmarkEnd w:id="0"/>
      <w:r w:rsidRPr="00C414AE">
        <w:rPr>
          <w:rFonts w:ascii="Arial" w:hAnsi="Arial" w:cs="Arial"/>
        </w:rPr>
        <w:t>profesional.</w:t>
      </w:r>
    </w:p>
    <w:sectPr w:rsidR="00C414AE" w:rsidRPr="00BB761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617"/>
    <w:rsid w:val="008C3496"/>
    <w:rsid w:val="00BB7617"/>
    <w:rsid w:val="00C4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CBA319-960F-4ECE-B8D7-9C87E92D3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B761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s-MX"/>
    </w:rPr>
  </w:style>
  <w:style w:type="paragraph" w:styleId="NormalWeb">
    <w:name w:val="Normal (Web)"/>
    <w:basedOn w:val="Normal"/>
    <w:uiPriority w:val="99"/>
    <w:unhideWhenUsed/>
    <w:rsid w:val="00BB7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9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1233</Words>
  <Characters>6784</Characters>
  <Application>Microsoft Office Word</Application>
  <DocSecurity>0</DocSecurity>
  <Lines>56</Lines>
  <Paragraphs>16</Paragraphs>
  <ScaleCrop>false</ScaleCrop>
  <Company/>
  <LinksUpToDate>false</LinksUpToDate>
  <CharactersWithSpaces>8001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2026-02-05T18:04:00Z</dcterms:created>
  <dcterms:modified xsi:type="dcterms:W3CDTF">2026-02-05T18:16:00Z</dcterms:modified>
</cp:coreProperties>
</file>