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DB2" w:rsidRDefault="00F66DB2" w:rsidP="00F66DB2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  <w:r>
        <w:rPr>
          <w:rFonts w:ascii="Cambria" w:hAnsi="Cambria"/>
          <w:bCs/>
          <w:noProof/>
          <w:sz w:val="20"/>
          <w:szCs w:val="20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-311727</wp:posOffset>
            </wp:positionH>
            <wp:positionV relativeFrom="paragraph">
              <wp:posOffset>-598863</wp:posOffset>
            </wp:positionV>
            <wp:extent cx="2088572" cy="2088572"/>
            <wp:effectExtent l="0" t="0" r="6985" b="698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572" cy="20885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66DB2" w:rsidRDefault="00F66DB2" w:rsidP="00F66DB2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F66DB2" w:rsidRDefault="00F66DB2" w:rsidP="00F66DB2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F66DB2" w:rsidRDefault="00F66DB2" w:rsidP="00F66DB2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F66DB2" w:rsidRDefault="00F66DB2" w:rsidP="00F66DB2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F66DB2" w:rsidRDefault="00F66DB2" w:rsidP="00F66DB2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034384" w:rsidRDefault="00034384" w:rsidP="00F66DB2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034384" w:rsidRDefault="00034384" w:rsidP="00F66DB2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034384" w:rsidRDefault="00034384" w:rsidP="00F66DB2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F66DB2" w:rsidRDefault="00F66DB2" w:rsidP="00F66DB2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  <w:bookmarkStart w:id="0" w:name="_GoBack"/>
      <w:bookmarkEnd w:id="0"/>
      <w:r>
        <w:rPr>
          <w:rFonts w:ascii="Cambria" w:hAnsi="Cambria"/>
          <w:bCs/>
          <w:sz w:val="20"/>
          <w:szCs w:val="20"/>
        </w:rPr>
        <w:t xml:space="preserve">De acuerdo con el artículo 19 de la Ley de Transparencia y Acceso a la Información Pública del Estado de San Luis Potosí que a la letra dice: </w:t>
      </w:r>
    </w:p>
    <w:p w:rsidR="00F66DB2" w:rsidRDefault="00F66DB2" w:rsidP="00F66DB2">
      <w:pPr>
        <w:pStyle w:val="Default"/>
        <w:spacing w:line="360" w:lineRule="auto"/>
        <w:jc w:val="both"/>
        <w:rPr>
          <w:rFonts w:ascii="Cambria" w:hAnsi="Cambria"/>
          <w:sz w:val="20"/>
          <w:szCs w:val="20"/>
        </w:rPr>
      </w:pPr>
    </w:p>
    <w:p w:rsidR="00F66DB2" w:rsidRPr="00F66DB2" w:rsidRDefault="00F66DB2" w:rsidP="00F66DB2">
      <w:pPr>
        <w:pStyle w:val="Default"/>
        <w:spacing w:line="360" w:lineRule="auto"/>
        <w:jc w:val="both"/>
        <w:rPr>
          <w:rFonts w:ascii="Cambria" w:hAnsi="Cambria"/>
          <w:i/>
          <w:sz w:val="20"/>
          <w:szCs w:val="20"/>
        </w:rPr>
      </w:pPr>
      <w:r>
        <w:rPr>
          <w:rFonts w:ascii="Cambria" w:hAnsi="Cambria"/>
          <w:i/>
          <w:sz w:val="20"/>
          <w:szCs w:val="20"/>
        </w:rPr>
        <w:t>“</w:t>
      </w:r>
      <w:r w:rsidRPr="00F66DB2">
        <w:rPr>
          <w:rFonts w:ascii="Cambria" w:hAnsi="Cambria"/>
          <w:i/>
          <w:sz w:val="20"/>
          <w:szCs w:val="20"/>
        </w:rPr>
        <w:t xml:space="preserve">Se presume que la información debe existir si se refiere a las facultades, competencias y funciones que los ordenamientos jurídicos aplicables otorgan a los sujetos obligados. </w:t>
      </w:r>
    </w:p>
    <w:p w:rsidR="00F66DB2" w:rsidRPr="00F66DB2" w:rsidRDefault="00F66DB2" w:rsidP="00F66DB2">
      <w:pPr>
        <w:pStyle w:val="Default"/>
        <w:spacing w:line="360" w:lineRule="auto"/>
        <w:jc w:val="both"/>
        <w:rPr>
          <w:rFonts w:ascii="Cambria" w:hAnsi="Cambria"/>
          <w:i/>
          <w:sz w:val="20"/>
          <w:szCs w:val="20"/>
        </w:rPr>
      </w:pPr>
    </w:p>
    <w:p w:rsidR="00F66DB2" w:rsidRPr="00F66DB2" w:rsidRDefault="00F66DB2" w:rsidP="00F66DB2">
      <w:pPr>
        <w:spacing w:line="360" w:lineRule="auto"/>
        <w:jc w:val="both"/>
        <w:rPr>
          <w:rFonts w:ascii="Cambria" w:hAnsi="Cambria"/>
          <w:i/>
          <w:sz w:val="20"/>
          <w:szCs w:val="20"/>
          <w:u w:val="single"/>
        </w:rPr>
      </w:pPr>
      <w:r w:rsidRPr="00F66DB2">
        <w:rPr>
          <w:rFonts w:ascii="Cambria" w:hAnsi="Cambria"/>
          <w:i/>
          <w:sz w:val="20"/>
          <w:szCs w:val="20"/>
          <w:u w:val="single"/>
        </w:rPr>
        <w:t>En los casos en que ciertas facultades, competencias o funciones no se hayan ejercido, se debe motivar la respuesta en función de las causas que motiven la inexistencia.</w:t>
      </w:r>
      <w:r w:rsidRPr="00F66DB2">
        <w:rPr>
          <w:rFonts w:ascii="Cambria" w:hAnsi="Cambria"/>
          <w:i/>
          <w:sz w:val="20"/>
          <w:szCs w:val="20"/>
          <w:u w:val="single"/>
        </w:rPr>
        <w:t>”</w:t>
      </w:r>
    </w:p>
    <w:p w:rsidR="00F66DB2" w:rsidRDefault="00F66DB2" w:rsidP="00F963AD">
      <w:pPr>
        <w:jc w:val="both"/>
        <w:rPr>
          <w:rFonts w:ascii="Cambria" w:hAnsi="Cambria"/>
          <w:sz w:val="20"/>
          <w:szCs w:val="20"/>
        </w:rPr>
      </w:pPr>
    </w:p>
    <w:p w:rsidR="00F66DB2" w:rsidRDefault="00F66DB2" w:rsidP="00F963AD">
      <w:pPr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De acuerdo con este artículo se motiva que e</w:t>
      </w:r>
      <w:r w:rsidR="00F963AD" w:rsidRPr="00F66DB2">
        <w:rPr>
          <w:rFonts w:ascii="Cambria" w:hAnsi="Cambria"/>
          <w:sz w:val="20"/>
          <w:szCs w:val="20"/>
        </w:rPr>
        <w:t>l municipio de Catorce no cuenta con subsidios o convenios de reasignación</w:t>
      </w:r>
      <w:r w:rsidRPr="00F66DB2">
        <w:rPr>
          <w:rFonts w:ascii="Cambria" w:hAnsi="Cambria"/>
          <w:sz w:val="20"/>
          <w:szCs w:val="20"/>
        </w:rPr>
        <w:t>, toda vez que no cuenta con organismos descentralizados.</w:t>
      </w:r>
    </w:p>
    <w:p w:rsidR="00F66DB2" w:rsidRDefault="00F66DB2" w:rsidP="00F963AD">
      <w:pPr>
        <w:jc w:val="both"/>
        <w:rPr>
          <w:rFonts w:ascii="Cambria" w:hAnsi="Cambria"/>
          <w:sz w:val="20"/>
          <w:szCs w:val="20"/>
        </w:rPr>
      </w:pPr>
    </w:p>
    <w:p w:rsidR="00F66DB2" w:rsidRPr="00F66DB2" w:rsidRDefault="00F66DB2" w:rsidP="00F66DB2">
      <w:pPr>
        <w:jc w:val="center"/>
        <w:rPr>
          <w:rFonts w:ascii="Cambria" w:hAnsi="Cambria"/>
          <w:b/>
          <w:sz w:val="20"/>
          <w:szCs w:val="20"/>
        </w:rPr>
      </w:pPr>
    </w:p>
    <w:p w:rsidR="00F66DB2" w:rsidRPr="00F66DB2" w:rsidRDefault="00F66DB2" w:rsidP="00F66DB2">
      <w:pPr>
        <w:jc w:val="center"/>
        <w:rPr>
          <w:rFonts w:ascii="Cambria" w:hAnsi="Cambria"/>
          <w:b/>
          <w:sz w:val="20"/>
          <w:szCs w:val="20"/>
        </w:rPr>
      </w:pPr>
      <w:r w:rsidRPr="00F66DB2">
        <w:rPr>
          <w:rFonts w:ascii="Cambria" w:hAnsi="Cambria"/>
          <w:b/>
          <w:sz w:val="20"/>
          <w:szCs w:val="20"/>
        </w:rPr>
        <w:t>ATENTAMENTE</w:t>
      </w:r>
    </w:p>
    <w:p w:rsidR="00F66DB2" w:rsidRPr="00F66DB2" w:rsidRDefault="00F66DB2" w:rsidP="00F66DB2">
      <w:pPr>
        <w:jc w:val="center"/>
        <w:rPr>
          <w:rFonts w:ascii="Cambria" w:hAnsi="Cambria"/>
          <w:b/>
          <w:sz w:val="20"/>
          <w:szCs w:val="20"/>
        </w:rPr>
      </w:pPr>
      <w:r w:rsidRPr="00F66DB2">
        <w:rPr>
          <w:rFonts w:ascii="Cambria" w:hAnsi="Cambria"/>
          <w:b/>
          <w:sz w:val="20"/>
          <w:szCs w:val="20"/>
        </w:rPr>
        <w:t>TESORERIA MUNICIPAL</w:t>
      </w:r>
    </w:p>
    <w:sectPr w:rsidR="00F66DB2" w:rsidRPr="00F66DB2" w:rsidSect="00034384">
      <w:pgSz w:w="12240" w:h="15840"/>
      <w:pgMar w:top="1417" w:right="1701" w:bottom="1417" w:left="1701" w:header="708" w:footer="708" w:gutter="0"/>
      <w:pgBorders w:offsetFrom="page">
        <w:top w:val="single" w:sz="12" w:space="24" w:color="2E74B5" w:themeColor="accent1" w:themeShade="BF"/>
        <w:left w:val="single" w:sz="12" w:space="24" w:color="2E74B5" w:themeColor="accent1" w:themeShade="BF"/>
        <w:bottom w:val="single" w:sz="12" w:space="24" w:color="2E74B5" w:themeColor="accent1" w:themeShade="BF"/>
        <w:right w:val="single" w:sz="12" w:space="24" w:color="2E74B5" w:themeColor="accent1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3AD"/>
    <w:rsid w:val="00034384"/>
    <w:rsid w:val="008213EF"/>
    <w:rsid w:val="00F66DB2"/>
    <w:rsid w:val="00F9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E9285"/>
  <w15:chartTrackingRefBased/>
  <w15:docId w15:val="{26AEBE72-6696-44E0-8254-C564C1D32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6DB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66DB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5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110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Orozco</dc:creator>
  <cp:keywords/>
  <dc:description/>
  <cp:lastModifiedBy>Alexandra Orozco</cp:lastModifiedBy>
  <cp:revision>1</cp:revision>
  <dcterms:created xsi:type="dcterms:W3CDTF">2020-12-02T16:15:00Z</dcterms:created>
  <dcterms:modified xsi:type="dcterms:W3CDTF">2020-12-02T17:44:00Z</dcterms:modified>
</cp:coreProperties>
</file>