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9D7" w:rsidRPr="00A82418" w:rsidRDefault="00C449D7" w:rsidP="00C449D7">
      <w:pPr>
        <w:spacing w:after="0" w:line="240" w:lineRule="auto"/>
        <w:jc w:val="center"/>
        <w:rPr>
          <w:rFonts w:ascii="Nirmala UI" w:eastAsia="Times New Roman" w:hAnsi="Nirmala UI" w:cs="Nirmala UI"/>
          <w:bCs/>
          <w:color w:val="000000"/>
          <w:sz w:val="24"/>
          <w:szCs w:val="24"/>
          <w:highlight w:val="lightGray"/>
          <w:lang w:eastAsia="es-MX"/>
        </w:rPr>
      </w:pPr>
    </w:p>
    <w:p w:rsidR="00C449D7" w:rsidRPr="00A82418" w:rsidRDefault="00C449D7" w:rsidP="00A82418">
      <w:pPr>
        <w:spacing w:after="0" w:line="240" w:lineRule="auto"/>
        <w:jc w:val="center"/>
        <w:rPr>
          <w:rFonts w:ascii="Nirmala UI" w:eastAsia="Times New Roman" w:hAnsi="Nirmala UI" w:cs="Nirmala UI"/>
          <w:bCs/>
          <w:color w:val="000000"/>
          <w:sz w:val="24"/>
          <w:szCs w:val="24"/>
          <w:lang w:eastAsia="es-MX"/>
        </w:rPr>
      </w:pPr>
      <w:r w:rsidRPr="00A82418">
        <w:rPr>
          <w:rFonts w:ascii="Nirmala UI" w:eastAsia="Times New Roman" w:hAnsi="Nirmala UI" w:cs="Nirmala UI"/>
          <w:bCs/>
          <w:color w:val="000000"/>
          <w:sz w:val="24"/>
          <w:szCs w:val="24"/>
          <w:lang w:eastAsia="es-MX"/>
        </w:rPr>
        <w:t>LTAIPSLPA85FIM13</w:t>
      </w:r>
    </w:p>
    <w:p w:rsidR="00C449D7" w:rsidRPr="00A82418" w:rsidRDefault="00C449D7" w:rsidP="00A82418">
      <w:pPr>
        <w:spacing w:after="0" w:line="240" w:lineRule="auto"/>
        <w:jc w:val="center"/>
        <w:rPr>
          <w:rFonts w:ascii="Nirmala UI" w:eastAsia="Times New Roman" w:hAnsi="Nirmala UI" w:cs="Nirmala UI"/>
          <w:color w:val="000000"/>
          <w:sz w:val="24"/>
          <w:szCs w:val="24"/>
          <w:lang w:eastAsia="es-MX"/>
        </w:rPr>
      </w:pPr>
      <w:r w:rsidRPr="00A82418">
        <w:rPr>
          <w:rFonts w:ascii="Nirmala UI" w:eastAsia="Times New Roman" w:hAnsi="Nirmala UI" w:cs="Nirmala UI"/>
          <w:color w:val="000000"/>
          <w:sz w:val="24"/>
          <w:szCs w:val="24"/>
          <w:lang w:eastAsia="es-MX"/>
        </w:rPr>
        <w:t>INFORMACIÓN ESTADÍSTICA SOBRE LOS ARBOLES HISTÓRICOS Y NOTABLES DEL ESTADO.</w:t>
      </w:r>
    </w:p>
    <w:p w:rsidR="00C449D7" w:rsidRPr="00A82418" w:rsidRDefault="00C449D7" w:rsidP="00C449D7">
      <w:pPr>
        <w:spacing w:after="0" w:line="240" w:lineRule="auto"/>
        <w:rPr>
          <w:rFonts w:ascii="Nirmala UI" w:eastAsia="Times New Roman" w:hAnsi="Nirmala UI" w:cs="Nirmala UI"/>
          <w:sz w:val="24"/>
          <w:szCs w:val="24"/>
          <w:lang w:eastAsia="es-MX"/>
        </w:rPr>
      </w:pPr>
    </w:p>
    <w:p w:rsidR="00C449D7" w:rsidRPr="00A82418" w:rsidRDefault="00C449D7" w:rsidP="00A82418">
      <w:pPr>
        <w:spacing w:after="0" w:line="240" w:lineRule="auto"/>
        <w:jc w:val="both"/>
        <w:rPr>
          <w:rFonts w:ascii="Nirmala UI" w:eastAsia="Times New Roman" w:hAnsi="Nirmala UI" w:cs="Nirmala UI"/>
          <w:sz w:val="24"/>
          <w:szCs w:val="24"/>
          <w:lang w:eastAsia="es-MX"/>
        </w:rPr>
      </w:pPr>
      <w:r w:rsidRPr="00A82418">
        <w:rPr>
          <w:rFonts w:ascii="Nirmala UI" w:eastAsia="Times New Roman" w:hAnsi="Nirmala UI" w:cs="Nirmala UI"/>
          <w:sz w:val="24"/>
          <w:szCs w:val="24"/>
          <w:lang w:eastAsia="es-MX"/>
        </w:rPr>
        <w:t xml:space="preserve">Esta Información </w:t>
      </w:r>
      <w:r w:rsidR="00A82418">
        <w:rPr>
          <w:rFonts w:ascii="Nirmala UI" w:eastAsia="Times New Roman" w:hAnsi="Nirmala UI" w:cs="Nirmala UI"/>
          <w:sz w:val="24"/>
          <w:szCs w:val="24"/>
          <w:lang w:eastAsia="es-MX"/>
        </w:rPr>
        <w:t xml:space="preserve">no se genera en esta área administrativa, fundado en la </w:t>
      </w:r>
      <w:r w:rsidRPr="00A82418">
        <w:rPr>
          <w:rFonts w:ascii="Nirmala UI" w:eastAsia="Times New Roman" w:hAnsi="Nirmala UI" w:cs="Nirmala UI"/>
          <w:sz w:val="24"/>
          <w:szCs w:val="24"/>
          <w:lang w:eastAsia="es-MX"/>
        </w:rPr>
        <w:t>LEY GENERAL DE DESARROLLO FORESTAL SUSTENTABLE</w:t>
      </w:r>
      <w:r w:rsidR="00A82418">
        <w:rPr>
          <w:rFonts w:ascii="Nirmala UI" w:eastAsia="Times New Roman" w:hAnsi="Nirmala UI" w:cs="Nirmala UI"/>
          <w:sz w:val="24"/>
          <w:szCs w:val="24"/>
          <w:lang w:eastAsia="es-MX"/>
        </w:rPr>
        <w:t>.</w:t>
      </w:r>
    </w:p>
    <w:p w:rsidR="00C449D7" w:rsidRPr="00A82418" w:rsidRDefault="00C449D7" w:rsidP="00C449D7">
      <w:pPr>
        <w:spacing w:after="0" w:line="240" w:lineRule="auto"/>
        <w:jc w:val="center"/>
        <w:rPr>
          <w:rFonts w:ascii="Nirmala UI" w:eastAsia="Times New Roman" w:hAnsi="Nirmala UI" w:cs="Nirmala UI"/>
          <w:sz w:val="24"/>
          <w:szCs w:val="24"/>
          <w:u w:val="single"/>
          <w:lang w:eastAsia="es-MX"/>
        </w:rPr>
      </w:pPr>
    </w:p>
    <w:p w:rsidR="00C449D7" w:rsidRPr="00A82418" w:rsidRDefault="00C449D7" w:rsidP="00C449D7">
      <w:pPr>
        <w:spacing w:after="0" w:line="240" w:lineRule="auto"/>
        <w:jc w:val="center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>CAPITULO III.</w:t>
      </w:r>
    </w:p>
    <w:p w:rsidR="00C449D7" w:rsidRPr="00A82418" w:rsidRDefault="00C449D7" w:rsidP="00C449D7">
      <w:pPr>
        <w:spacing w:after="0" w:line="240" w:lineRule="auto"/>
        <w:jc w:val="center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>Del Sector Público Federal Forestal</w:t>
      </w:r>
    </w:p>
    <w:p w:rsidR="00C449D7" w:rsidRPr="00A82418" w:rsidRDefault="00C449D7" w:rsidP="00C449D7">
      <w:pPr>
        <w:spacing w:after="0" w:line="240" w:lineRule="auto"/>
        <w:jc w:val="center"/>
        <w:rPr>
          <w:rFonts w:ascii="Nirmala UI" w:hAnsi="Nirmala UI" w:cs="Nirmala UI"/>
          <w:sz w:val="24"/>
          <w:szCs w:val="24"/>
          <w:u w:val="single"/>
        </w:rPr>
      </w:pPr>
      <w:r w:rsidRPr="00A82418">
        <w:rPr>
          <w:rFonts w:ascii="Nirmala UI" w:hAnsi="Nirmala UI" w:cs="Nirmala UI"/>
          <w:sz w:val="24"/>
          <w:szCs w:val="24"/>
        </w:rPr>
        <w:t xml:space="preserve">Sección 1. </w:t>
      </w:r>
      <w:r w:rsidRPr="00A82418">
        <w:rPr>
          <w:rFonts w:ascii="Nirmala UI" w:hAnsi="Nirmala UI" w:cs="Nirmala UI"/>
          <w:sz w:val="24"/>
          <w:szCs w:val="24"/>
          <w:u w:val="single"/>
        </w:rPr>
        <w:t>De las Atribuciones de la Secretaría de Medio Ambiente y Recursos Naturales en Materia Forestal</w:t>
      </w:r>
    </w:p>
    <w:p w:rsidR="00C449D7" w:rsidRPr="00A82418" w:rsidRDefault="00C449D7" w:rsidP="00C449D7">
      <w:pPr>
        <w:spacing w:after="0" w:line="240" w:lineRule="auto"/>
        <w:jc w:val="center"/>
        <w:rPr>
          <w:rFonts w:ascii="Nirmala UI" w:hAnsi="Nirmala UI" w:cs="Nirmala UI"/>
          <w:sz w:val="24"/>
          <w:szCs w:val="24"/>
        </w:rPr>
      </w:pPr>
    </w:p>
    <w:p w:rsidR="00C449D7" w:rsidRPr="00A82418" w:rsidRDefault="00C449D7" w:rsidP="00C449D7">
      <w:pPr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>ARTICULO 16. La Secretaría ejercerá las siguientes atribuciones: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Formular y conducir la política nacional de desarrollo forestal sustentable y asegurar su congruencia con la política ambiental y de recursos naturales nacional, así como las relacionadas con el desarrollo rural; 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 Diseñar los instrumentos de política forestal previstos en esta Ley y operar los que correspondan a su competencia; 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Elaborar el Programa Estratégico Forestal Nacional, con la participación de la Comisión en las materias de su competencia; 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Conducir el Servicio Nacional Forestal, como instrumento de integración de las dependencias y entidades públicas vinculadas con la atención del sector forestal; 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Diseñar y definir en el ámbito de su competencia, estímulos e incentivos económicos en materia forestal y los lineamientos para su aplicación y evaluación; 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>Regular Establecer, integrar, operar y mantener actualizado el Registro Forestal Nacional, así como expedir los certificados de inscripción previstos en las disposiciones jurídicas aplicables;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  <w:u w:val="single"/>
        </w:rPr>
      </w:pPr>
      <w:r w:rsidRPr="00A82418">
        <w:rPr>
          <w:rFonts w:ascii="Nirmala UI" w:hAnsi="Nirmala UI" w:cs="Nirmala UI"/>
          <w:sz w:val="24"/>
          <w:szCs w:val="24"/>
          <w:u w:val="single"/>
        </w:rPr>
        <w:t>Llevar el registro y cuidar la conservación de los árboles históricos y notables del país;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Emitir, normas oficiales mexicanas en materia forestal y vigilar su cumplimiento; 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>Establecer los lineamientos para elaborar e integrar el Sistema Nacional de Información Forestal;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lastRenderedPageBreak/>
        <w:t>Regular la integración, monitoreo y actualización del Inventario Nacional Forestal y de Suelos y coordinar el diseño del mismo;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>Establecer los criterios, metodología y procedimientos para la integración, organización y actualización de la zonificación;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>Definir las metodologías para la valoración de los bienes y servicios ambientales de los ecosistemas forestales;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>Definir instrumentos para promover un mercado de bienes y servicios ambientales;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 Definir mecanismos de compensación por los bienes y servicios ambientales que prestan los ecosistemas forestales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>Deslindar, poseer y administrar los terrenos nacionales forestales; XVI. Establecer las medidas de sanidad forestal;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Llevar a cabo la inspección y vigilancia forestales; 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>Promover la participación y coordinación de las autoridades competentes, propietarios, poseedores y habitantes de las zonas forestales, como los transportistas, comerciantes e industrializadores de materias primas forestales, en materia de vigilancia;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>Elaborar estudios para, en su caso, recomendar al Ejecutivo Federal el establecimiento, modificación o levantamiento de vedas forestales;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>Expedir, por excepción las autorizaciones de cambio de uso de suelo de los terrenos forestales;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Imponer medidas de seguridad y sancionar a las infracciones que se cometan en materia forestal, así como hacer del conocimiento y en su caso denunciar los delitos en dicha materia a las autoridades competentes; 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Imponer medidas de seguridad y sancionar a las infracciones que se cometan en materia forestal, así como hacer del conocimiento y en su caso denunciar los delitos en dicha materia a las autoridades competentes; 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Otorgar, prorrogar, modificar, revocar, suspender o anular todos los permisos, autorizaciones, certificados y licencias, así como recibir los avisos de plantaciones forestales comerciales y para el aprovechamiento de recursos forestales no maderables; 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Ejercer todos los actos de autoridad relativos a la aplicación de la política de aprovechamiento sustentable, conservación, protección restauración de los recursos forestales y de los suelos, que esta ley prevea; 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lastRenderedPageBreak/>
        <w:t>Regular, expedir y validar la documentación con la que se acredite la legal procedencia de las materias primas y productos forestales;</w:t>
      </w:r>
    </w:p>
    <w:p w:rsidR="00C449D7" w:rsidRPr="00A82418" w:rsidRDefault="00C449D7" w:rsidP="00C449D7">
      <w:pPr>
        <w:pStyle w:val="Prrafodelista"/>
        <w:numPr>
          <w:ilvl w:val="0"/>
          <w:numId w:val="1"/>
        </w:numPr>
        <w:ind w:hanging="481"/>
        <w:rPr>
          <w:rFonts w:ascii="Nirmala UI" w:hAnsi="Nirmala UI" w:cs="Nirmala UI"/>
          <w:sz w:val="24"/>
          <w:szCs w:val="24"/>
        </w:rPr>
      </w:pPr>
      <w:r w:rsidRPr="00A82418">
        <w:rPr>
          <w:rFonts w:ascii="Nirmala UI" w:hAnsi="Nirmala UI" w:cs="Nirmala UI"/>
          <w:sz w:val="24"/>
          <w:szCs w:val="24"/>
        </w:rPr>
        <w:t xml:space="preserve"> Regular el transporte de materias primas productos y subproductos forestales;</w:t>
      </w:r>
    </w:p>
    <w:p w:rsidR="00C449D7" w:rsidRPr="00A82418" w:rsidRDefault="00C449D7" w:rsidP="00C449D7">
      <w:pPr>
        <w:spacing w:after="0" w:line="240" w:lineRule="auto"/>
        <w:jc w:val="center"/>
        <w:rPr>
          <w:rFonts w:ascii="Nirmala UI" w:hAnsi="Nirmala UI" w:cs="Nirmala UI"/>
          <w:sz w:val="24"/>
          <w:szCs w:val="24"/>
        </w:rPr>
      </w:pPr>
    </w:p>
    <w:p w:rsidR="00C449D7" w:rsidRPr="00A82418" w:rsidRDefault="00A82418" w:rsidP="00C449D7">
      <w:pPr>
        <w:jc w:val="both"/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Ya que </w:t>
      </w:r>
      <w:bookmarkStart w:id="0" w:name="_GoBack"/>
      <w:bookmarkEnd w:id="0"/>
      <w:r w:rsidRPr="00A82418">
        <w:rPr>
          <w:rFonts w:ascii="Nirmala UI" w:hAnsi="Nirmala UI" w:cs="Nirmala UI"/>
          <w:sz w:val="24"/>
          <w:szCs w:val="24"/>
        </w:rPr>
        <w:t>Compete a</w:t>
      </w:r>
      <w:r w:rsidR="00C449D7" w:rsidRPr="00A82418">
        <w:rPr>
          <w:rFonts w:ascii="Nirmala UI" w:hAnsi="Nirmala UI" w:cs="Nirmala UI"/>
          <w:sz w:val="24"/>
          <w:szCs w:val="24"/>
        </w:rPr>
        <w:t xml:space="preserve"> </w:t>
      </w:r>
      <w:r w:rsidRPr="00A82418">
        <w:rPr>
          <w:rFonts w:ascii="Nirmala UI" w:hAnsi="Nirmala UI" w:cs="Nirmala UI"/>
          <w:sz w:val="24"/>
          <w:szCs w:val="24"/>
        </w:rPr>
        <w:t>la SEMARNAT</w:t>
      </w:r>
      <w:r w:rsidR="00C449D7" w:rsidRPr="00A82418">
        <w:rPr>
          <w:rFonts w:ascii="Nirmala UI" w:hAnsi="Nirmala UI" w:cs="Nirmala UI"/>
          <w:sz w:val="24"/>
          <w:szCs w:val="24"/>
        </w:rPr>
        <w:t xml:space="preserve"> a través de CONAFOR</w:t>
      </w:r>
      <w:r>
        <w:rPr>
          <w:rFonts w:ascii="Nirmala UI" w:hAnsi="Nirmala UI" w:cs="Nirmala UI"/>
          <w:sz w:val="24"/>
          <w:szCs w:val="24"/>
        </w:rPr>
        <w:t>.</w:t>
      </w:r>
      <w:r w:rsidR="00C449D7" w:rsidRPr="00A82418">
        <w:rPr>
          <w:rFonts w:ascii="Nirmala UI" w:hAnsi="Nirmala UI" w:cs="Nirmala UI"/>
          <w:sz w:val="24"/>
          <w:szCs w:val="24"/>
        </w:rPr>
        <w:t xml:space="preserve"> </w:t>
      </w:r>
    </w:p>
    <w:p w:rsidR="00370ADF" w:rsidRPr="00A82418" w:rsidRDefault="00370ADF" w:rsidP="00C449D7">
      <w:pPr>
        <w:rPr>
          <w:rFonts w:ascii="Nirmala UI" w:hAnsi="Nirmala UI" w:cs="Nirmala UI"/>
        </w:rPr>
      </w:pPr>
    </w:p>
    <w:sectPr w:rsidR="00370ADF" w:rsidRPr="00A824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95F70"/>
    <w:multiLevelType w:val="hybridMultilevel"/>
    <w:tmpl w:val="5A6EBB2A"/>
    <w:lvl w:ilvl="0" w:tplc="D804B7A8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5" w:hanging="360"/>
      </w:pPr>
    </w:lvl>
    <w:lvl w:ilvl="2" w:tplc="080A001B" w:tentative="1">
      <w:start w:val="1"/>
      <w:numFmt w:val="lowerRoman"/>
      <w:lvlText w:val="%3."/>
      <w:lvlJc w:val="right"/>
      <w:pPr>
        <w:ind w:left="1845" w:hanging="180"/>
      </w:pPr>
    </w:lvl>
    <w:lvl w:ilvl="3" w:tplc="080A000F" w:tentative="1">
      <w:start w:val="1"/>
      <w:numFmt w:val="decimal"/>
      <w:lvlText w:val="%4."/>
      <w:lvlJc w:val="left"/>
      <w:pPr>
        <w:ind w:left="2565" w:hanging="360"/>
      </w:pPr>
    </w:lvl>
    <w:lvl w:ilvl="4" w:tplc="080A0019" w:tentative="1">
      <w:start w:val="1"/>
      <w:numFmt w:val="lowerLetter"/>
      <w:lvlText w:val="%5."/>
      <w:lvlJc w:val="left"/>
      <w:pPr>
        <w:ind w:left="3285" w:hanging="360"/>
      </w:pPr>
    </w:lvl>
    <w:lvl w:ilvl="5" w:tplc="080A001B" w:tentative="1">
      <w:start w:val="1"/>
      <w:numFmt w:val="lowerRoman"/>
      <w:lvlText w:val="%6."/>
      <w:lvlJc w:val="right"/>
      <w:pPr>
        <w:ind w:left="4005" w:hanging="180"/>
      </w:pPr>
    </w:lvl>
    <w:lvl w:ilvl="6" w:tplc="080A000F" w:tentative="1">
      <w:start w:val="1"/>
      <w:numFmt w:val="decimal"/>
      <w:lvlText w:val="%7."/>
      <w:lvlJc w:val="left"/>
      <w:pPr>
        <w:ind w:left="4725" w:hanging="360"/>
      </w:pPr>
    </w:lvl>
    <w:lvl w:ilvl="7" w:tplc="080A0019" w:tentative="1">
      <w:start w:val="1"/>
      <w:numFmt w:val="lowerLetter"/>
      <w:lvlText w:val="%8."/>
      <w:lvlJc w:val="left"/>
      <w:pPr>
        <w:ind w:left="5445" w:hanging="360"/>
      </w:pPr>
    </w:lvl>
    <w:lvl w:ilvl="8" w:tplc="080A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9D7"/>
    <w:rsid w:val="00370ADF"/>
    <w:rsid w:val="0062714F"/>
    <w:rsid w:val="00A82418"/>
    <w:rsid w:val="00C4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19BBF"/>
  <w15:docId w15:val="{C90A1E93-739E-472D-ADFC-F19A434E2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49D7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449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46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624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 de Windows</cp:lastModifiedBy>
  <cp:revision>3</cp:revision>
  <dcterms:created xsi:type="dcterms:W3CDTF">2018-12-11T18:51:00Z</dcterms:created>
  <dcterms:modified xsi:type="dcterms:W3CDTF">2018-12-11T18:52:00Z</dcterms:modified>
</cp:coreProperties>
</file>