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262D" w:rsidRPr="00CA76E0" w:rsidRDefault="0010262D" w:rsidP="009C0F89">
      <w:pPr>
        <w:tabs>
          <w:tab w:val="left" w:pos="7275"/>
        </w:tabs>
        <w:spacing w:after="0" w:line="276" w:lineRule="auto"/>
        <w:jc w:val="both"/>
        <w:rPr>
          <w:rFonts w:ascii="Arial" w:eastAsia="Times New Roman" w:hAnsi="Arial" w:cs="Arial"/>
          <w:b/>
          <w:caps/>
          <w:color w:val="2E74B5" w:themeColor="accent1" w:themeShade="BF"/>
          <w:sz w:val="24"/>
          <w:szCs w:val="24"/>
          <w:lang w:eastAsia="es-MX"/>
        </w:rPr>
      </w:pPr>
    </w:p>
    <w:p w:rsidR="0010262D" w:rsidRPr="00CA76E0" w:rsidRDefault="0010262D" w:rsidP="009C0F89">
      <w:pPr>
        <w:pStyle w:val="corte1datos"/>
        <w:tabs>
          <w:tab w:val="left" w:pos="4820"/>
        </w:tabs>
        <w:spacing w:line="276" w:lineRule="auto"/>
        <w:jc w:val="right"/>
        <w:rPr>
          <w:rFonts w:cs="Arial"/>
          <w:color w:val="2E74B5" w:themeColor="accent1" w:themeShade="BF"/>
          <w:sz w:val="24"/>
          <w:szCs w:val="24"/>
        </w:rPr>
      </w:pPr>
      <w:r w:rsidRPr="00CA76E0">
        <w:rPr>
          <w:rFonts w:cs="Arial"/>
          <w:color w:val="2E74B5" w:themeColor="accent1" w:themeShade="BF"/>
          <w:sz w:val="24"/>
          <w:szCs w:val="24"/>
        </w:rPr>
        <w:t>RECURSO DE REVISIÓN 31</w:t>
      </w:r>
      <w:r w:rsidR="002138D2">
        <w:rPr>
          <w:rFonts w:cs="Arial"/>
          <w:color w:val="2E74B5" w:themeColor="accent1" w:themeShade="BF"/>
          <w:sz w:val="24"/>
          <w:szCs w:val="24"/>
          <w:lang w:val="es-MX"/>
        </w:rPr>
        <w:t>4</w:t>
      </w:r>
      <w:r w:rsidRPr="00CA76E0">
        <w:rPr>
          <w:rFonts w:cs="Arial"/>
          <w:color w:val="2E74B5" w:themeColor="accent1" w:themeShade="BF"/>
          <w:sz w:val="24"/>
          <w:szCs w:val="24"/>
          <w:lang w:val="es-MX"/>
        </w:rPr>
        <w:t>/</w:t>
      </w:r>
      <w:r w:rsidRPr="00CA76E0">
        <w:rPr>
          <w:rFonts w:cs="Arial"/>
          <w:color w:val="2E74B5" w:themeColor="accent1" w:themeShade="BF"/>
          <w:sz w:val="24"/>
          <w:szCs w:val="24"/>
        </w:rPr>
        <w:t>201</w:t>
      </w:r>
      <w:r w:rsidRPr="00CA76E0">
        <w:rPr>
          <w:rFonts w:cs="Arial"/>
          <w:color w:val="2E74B5" w:themeColor="accent1" w:themeShade="BF"/>
          <w:sz w:val="24"/>
          <w:szCs w:val="24"/>
          <w:lang w:val="es-MX"/>
        </w:rPr>
        <w:t>8</w:t>
      </w:r>
      <w:r w:rsidR="00F809D8">
        <w:rPr>
          <w:rFonts w:cs="Arial"/>
          <w:color w:val="2E74B5" w:themeColor="accent1" w:themeShade="BF"/>
          <w:sz w:val="24"/>
          <w:szCs w:val="24"/>
        </w:rPr>
        <w:t>-2</w:t>
      </w:r>
    </w:p>
    <w:p w:rsidR="0010262D" w:rsidRPr="00CA76E0" w:rsidRDefault="00B60D05" w:rsidP="009C0F89">
      <w:pPr>
        <w:pStyle w:val="corte1datos"/>
        <w:spacing w:line="276" w:lineRule="auto"/>
        <w:jc w:val="right"/>
        <w:rPr>
          <w:rFonts w:cs="Arial"/>
          <w:color w:val="2E74B5" w:themeColor="accent1" w:themeShade="BF"/>
          <w:sz w:val="24"/>
          <w:szCs w:val="24"/>
          <w:lang w:val="es-MX"/>
        </w:rPr>
      </w:pPr>
      <w:r w:rsidRPr="00CA76E0">
        <w:rPr>
          <w:rFonts w:cs="Arial"/>
          <w:color w:val="2E74B5" w:themeColor="accent1" w:themeShade="BF"/>
          <w:sz w:val="24"/>
          <w:szCs w:val="24"/>
          <w:lang w:val="es-MX"/>
        </w:rPr>
        <w:t xml:space="preserve"> </w:t>
      </w:r>
    </w:p>
    <w:p w:rsidR="0010262D" w:rsidRPr="00CA76E0" w:rsidRDefault="0010262D" w:rsidP="009C0F89">
      <w:pPr>
        <w:pStyle w:val="corte1datos"/>
        <w:spacing w:line="276" w:lineRule="auto"/>
        <w:jc w:val="right"/>
        <w:rPr>
          <w:rFonts w:cs="Arial"/>
          <w:color w:val="2E74B5" w:themeColor="accent1" w:themeShade="BF"/>
          <w:sz w:val="24"/>
          <w:szCs w:val="24"/>
        </w:rPr>
      </w:pPr>
    </w:p>
    <w:p w:rsidR="0010262D" w:rsidRPr="00CA76E0" w:rsidRDefault="0010262D" w:rsidP="009C0F89">
      <w:pPr>
        <w:pStyle w:val="corte1datos"/>
        <w:spacing w:line="276" w:lineRule="auto"/>
        <w:jc w:val="right"/>
        <w:rPr>
          <w:rFonts w:cs="Arial"/>
          <w:color w:val="2E74B5" w:themeColor="accent1" w:themeShade="BF"/>
          <w:sz w:val="24"/>
          <w:szCs w:val="24"/>
          <w:lang w:val="es-MX"/>
        </w:rPr>
      </w:pPr>
    </w:p>
    <w:p w:rsidR="0010262D" w:rsidRPr="00CA76E0" w:rsidRDefault="0010262D" w:rsidP="009C0F89">
      <w:pPr>
        <w:spacing w:after="0" w:line="276" w:lineRule="auto"/>
        <w:jc w:val="right"/>
        <w:rPr>
          <w:rFonts w:ascii="Arial" w:eastAsia="Times New Roman" w:hAnsi="Arial" w:cs="Arial"/>
          <w:b/>
          <w:caps/>
          <w:color w:val="2E74B5" w:themeColor="accent1" w:themeShade="BF"/>
          <w:sz w:val="24"/>
          <w:szCs w:val="24"/>
          <w:lang w:eastAsia="es-MX"/>
        </w:rPr>
      </w:pPr>
      <w:r w:rsidRPr="00CA76E0">
        <w:rPr>
          <w:rFonts w:ascii="Arial" w:eastAsia="Times New Roman" w:hAnsi="Arial" w:cs="Arial"/>
          <w:b/>
          <w:caps/>
          <w:color w:val="2E74B5" w:themeColor="accent1" w:themeShade="BF"/>
          <w:sz w:val="24"/>
          <w:szCs w:val="24"/>
          <w:lang w:eastAsia="es-MX"/>
        </w:rPr>
        <w:t xml:space="preserve">COMISIONADO PONENTE: </w:t>
      </w:r>
    </w:p>
    <w:p w:rsidR="0010262D" w:rsidRPr="00CA76E0" w:rsidRDefault="0010262D" w:rsidP="009C0F89">
      <w:pPr>
        <w:spacing w:after="0" w:line="276" w:lineRule="auto"/>
        <w:jc w:val="right"/>
        <w:rPr>
          <w:rFonts w:ascii="Arial" w:eastAsia="Times New Roman" w:hAnsi="Arial" w:cs="Arial"/>
          <w:b/>
          <w:caps/>
          <w:color w:val="2E74B5" w:themeColor="accent1" w:themeShade="BF"/>
          <w:sz w:val="24"/>
          <w:szCs w:val="24"/>
          <w:lang w:eastAsia="es-MX"/>
        </w:rPr>
      </w:pPr>
      <w:r w:rsidRPr="00CA76E0">
        <w:rPr>
          <w:rFonts w:ascii="Arial" w:eastAsia="Times New Roman" w:hAnsi="Arial" w:cs="Arial"/>
          <w:b/>
          <w:caps/>
          <w:color w:val="2E74B5" w:themeColor="accent1" w:themeShade="BF"/>
          <w:sz w:val="24"/>
          <w:szCs w:val="24"/>
          <w:lang w:eastAsia="es-MX"/>
        </w:rPr>
        <w:t xml:space="preserve">Paulina Sánchez PÉREZ DEL POZO </w:t>
      </w:r>
    </w:p>
    <w:p w:rsidR="0010262D" w:rsidRPr="00CA76E0" w:rsidRDefault="0010262D" w:rsidP="009C0F89">
      <w:pPr>
        <w:spacing w:after="0" w:line="276" w:lineRule="auto"/>
        <w:jc w:val="right"/>
        <w:rPr>
          <w:rFonts w:ascii="Arial" w:eastAsia="Times New Roman" w:hAnsi="Arial" w:cs="Arial"/>
          <w:b/>
          <w:caps/>
          <w:color w:val="2E74B5" w:themeColor="accent1" w:themeShade="BF"/>
          <w:sz w:val="24"/>
          <w:szCs w:val="24"/>
          <w:lang w:eastAsia="es-MX"/>
        </w:rPr>
      </w:pPr>
    </w:p>
    <w:p w:rsidR="0010262D" w:rsidRPr="00CA76E0" w:rsidRDefault="0010262D" w:rsidP="009C0F89">
      <w:pPr>
        <w:spacing w:after="0" w:line="276" w:lineRule="auto"/>
        <w:jc w:val="right"/>
        <w:rPr>
          <w:rFonts w:ascii="Arial" w:eastAsia="Times New Roman" w:hAnsi="Arial" w:cs="Arial"/>
          <w:b/>
          <w:caps/>
          <w:color w:val="2E74B5" w:themeColor="accent1" w:themeShade="BF"/>
          <w:sz w:val="24"/>
          <w:szCs w:val="24"/>
          <w:lang w:eastAsia="es-MX"/>
        </w:rPr>
      </w:pPr>
      <w:r w:rsidRPr="00CA76E0">
        <w:rPr>
          <w:rFonts w:ascii="Arial" w:eastAsia="Times New Roman" w:hAnsi="Arial" w:cs="Arial"/>
          <w:b/>
          <w:caps/>
          <w:color w:val="2E74B5" w:themeColor="accent1" w:themeShade="BF"/>
          <w:sz w:val="24"/>
          <w:szCs w:val="24"/>
          <w:lang w:eastAsia="es-MX"/>
        </w:rPr>
        <w:t>MATERIA:</w:t>
      </w:r>
    </w:p>
    <w:p w:rsidR="0010262D" w:rsidRPr="00CA76E0" w:rsidRDefault="0010262D" w:rsidP="009C0F89">
      <w:pPr>
        <w:spacing w:after="0" w:line="276" w:lineRule="auto"/>
        <w:jc w:val="right"/>
        <w:rPr>
          <w:rFonts w:ascii="Arial" w:eastAsia="Times New Roman" w:hAnsi="Arial" w:cs="Arial"/>
          <w:b/>
          <w:caps/>
          <w:color w:val="2E74B5" w:themeColor="accent1" w:themeShade="BF"/>
          <w:sz w:val="24"/>
          <w:szCs w:val="24"/>
          <w:lang w:eastAsia="es-MX"/>
        </w:rPr>
      </w:pPr>
      <w:r w:rsidRPr="00CA76E0">
        <w:rPr>
          <w:rFonts w:ascii="Arial" w:eastAsia="Times New Roman" w:hAnsi="Arial" w:cs="Arial"/>
          <w:b/>
          <w:caps/>
          <w:color w:val="2E74B5" w:themeColor="accent1" w:themeShade="BF"/>
          <w:sz w:val="24"/>
          <w:szCs w:val="24"/>
          <w:lang w:eastAsia="es-MX"/>
        </w:rPr>
        <w:t>ACCESO A LA INFORMACIÓN PÚBLICA</w:t>
      </w:r>
    </w:p>
    <w:p w:rsidR="0010262D" w:rsidRPr="00CA76E0" w:rsidRDefault="0010262D" w:rsidP="009C0F89">
      <w:pPr>
        <w:spacing w:after="0" w:line="276" w:lineRule="auto"/>
        <w:jc w:val="right"/>
        <w:rPr>
          <w:rFonts w:ascii="Arial" w:eastAsia="Times New Roman" w:hAnsi="Arial" w:cs="Arial"/>
          <w:b/>
          <w:caps/>
          <w:color w:val="2E74B5" w:themeColor="accent1" w:themeShade="BF"/>
          <w:sz w:val="24"/>
          <w:szCs w:val="24"/>
          <w:lang w:eastAsia="es-MX"/>
        </w:rPr>
      </w:pPr>
    </w:p>
    <w:p w:rsidR="0010262D" w:rsidRPr="00CA76E0" w:rsidRDefault="0010262D" w:rsidP="009C0F89">
      <w:pPr>
        <w:spacing w:after="0" w:line="276" w:lineRule="auto"/>
        <w:jc w:val="right"/>
        <w:rPr>
          <w:rFonts w:ascii="Arial" w:eastAsia="Times New Roman" w:hAnsi="Arial" w:cs="Arial"/>
          <w:b/>
          <w:caps/>
          <w:color w:val="2E74B5" w:themeColor="accent1" w:themeShade="BF"/>
          <w:sz w:val="24"/>
          <w:szCs w:val="24"/>
          <w:lang w:eastAsia="es-MX"/>
        </w:rPr>
      </w:pPr>
      <w:r w:rsidRPr="00CA76E0">
        <w:rPr>
          <w:rFonts w:ascii="Arial" w:eastAsia="Times New Roman" w:hAnsi="Arial" w:cs="Arial"/>
          <w:b/>
          <w:caps/>
          <w:color w:val="2E74B5" w:themeColor="accent1" w:themeShade="BF"/>
          <w:sz w:val="24"/>
          <w:szCs w:val="24"/>
          <w:lang w:eastAsia="es-MX"/>
        </w:rPr>
        <w:t>SUJETO OBLIGADO:</w:t>
      </w:r>
    </w:p>
    <w:p w:rsidR="0010262D" w:rsidRPr="00CA76E0" w:rsidRDefault="0010262D" w:rsidP="009C0F89">
      <w:pPr>
        <w:pStyle w:val="corte2ponente"/>
        <w:spacing w:line="276" w:lineRule="auto"/>
        <w:jc w:val="both"/>
        <w:rPr>
          <w:rFonts w:cs="Arial"/>
          <w:color w:val="2E74B5" w:themeColor="accent1" w:themeShade="BF"/>
          <w:sz w:val="24"/>
          <w:szCs w:val="24"/>
        </w:rPr>
      </w:pPr>
      <w:r w:rsidRPr="00CA76E0">
        <w:rPr>
          <w:rFonts w:cs="Arial"/>
          <w:color w:val="2E74B5" w:themeColor="accent1" w:themeShade="BF"/>
          <w:sz w:val="24"/>
          <w:szCs w:val="24"/>
          <w:lang w:val="es-MX"/>
        </w:rPr>
        <w:t>GOBIERNO DEL ESTADO DE SAN LUIS POTOSÍ, POR CONDUCTO DE LA SECRETARÍA DE FINANZAS.</w:t>
      </w:r>
    </w:p>
    <w:p w:rsidR="0010262D" w:rsidRPr="00CA76E0" w:rsidRDefault="0010262D" w:rsidP="009C0F89">
      <w:pPr>
        <w:spacing w:after="0" w:line="276" w:lineRule="auto"/>
        <w:jc w:val="right"/>
        <w:rPr>
          <w:rFonts w:ascii="Arial" w:eastAsia="Times New Roman" w:hAnsi="Arial" w:cs="Arial"/>
          <w:b/>
          <w:caps/>
          <w:color w:val="2E74B5" w:themeColor="accent1" w:themeShade="BF"/>
          <w:sz w:val="24"/>
          <w:szCs w:val="24"/>
          <w:lang w:eastAsia="es-MX"/>
        </w:rPr>
      </w:pPr>
    </w:p>
    <w:p w:rsidR="0010262D" w:rsidRPr="00CA76E0" w:rsidRDefault="0010262D" w:rsidP="009C0F89">
      <w:pPr>
        <w:pStyle w:val="corte2ponente"/>
        <w:spacing w:line="276" w:lineRule="auto"/>
        <w:rPr>
          <w:rFonts w:cs="Arial"/>
          <w:color w:val="2E74B5" w:themeColor="accent1" w:themeShade="BF"/>
          <w:sz w:val="24"/>
          <w:szCs w:val="24"/>
          <w:lang w:val="es-MX"/>
        </w:rPr>
      </w:pPr>
    </w:p>
    <w:p w:rsidR="0010262D" w:rsidRPr="00CA76E0" w:rsidRDefault="0010262D" w:rsidP="009C0F89">
      <w:pPr>
        <w:pStyle w:val="corte2ponente"/>
        <w:spacing w:line="276" w:lineRule="auto"/>
        <w:rPr>
          <w:rFonts w:cs="Arial"/>
          <w:color w:val="2E74B5" w:themeColor="accent1" w:themeShade="BF"/>
          <w:sz w:val="24"/>
          <w:szCs w:val="24"/>
          <w:lang w:val="es-MX"/>
        </w:rPr>
      </w:pPr>
    </w:p>
    <w:p w:rsidR="0010262D" w:rsidRPr="00CA76E0" w:rsidRDefault="0010262D" w:rsidP="009C0F89">
      <w:pPr>
        <w:pStyle w:val="corte2ponente"/>
        <w:spacing w:line="276" w:lineRule="auto"/>
        <w:rPr>
          <w:rFonts w:cs="Arial"/>
          <w:color w:val="2E74B5" w:themeColor="accent1" w:themeShade="BF"/>
          <w:sz w:val="24"/>
          <w:szCs w:val="24"/>
          <w:lang w:val="es-MX"/>
        </w:rPr>
      </w:pPr>
    </w:p>
    <w:p w:rsidR="0010262D" w:rsidRPr="00CA76E0" w:rsidRDefault="0010262D" w:rsidP="009C0F89">
      <w:pPr>
        <w:pStyle w:val="corte4fondo"/>
        <w:spacing w:line="276" w:lineRule="auto"/>
        <w:ind w:firstLine="0"/>
        <w:rPr>
          <w:rFonts w:cs="Arial"/>
          <w:b/>
          <w:color w:val="2E74B5" w:themeColor="accent1" w:themeShade="BF"/>
          <w:sz w:val="24"/>
          <w:szCs w:val="24"/>
          <w:vertAlign w:val="subscript"/>
        </w:rPr>
      </w:pPr>
      <w:r w:rsidRPr="00CA76E0">
        <w:rPr>
          <w:rFonts w:cs="Arial"/>
          <w:color w:val="2E74B5" w:themeColor="accent1" w:themeShade="BF"/>
          <w:sz w:val="24"/>
          <w:szCs w:val="24"/>
        </w:rPr>
        <w:tab/>
        <w:t>San Luis Potosí, San Luis Potosí. Acuerdo del Pleno de la Comisión Estatal de Garantía de Acceso a la Información Pública, correspondiente a la sesión del 11</w:t>
      </w:r>
      <w:r w:rsidR="00762892" w:rsidRPr="00CA76E0">
        <w:rPr>
          <w:rFonts w:cs="Arial"/>
          <w:color w:val="2E74B5" w:themeColor="accent1" w:themeShade="BF"/>
          <w:sz w:val="24"/>
          <w:szCs w:val="24"/>
        </w:rPr>
        <w:t xml:space="preserve"> once</w:t>
      </w:r>
      <w:r w:rsidRPr="00CA76E0">
        <w:rPr>
          <w:rFonts w:cs="Arial"/>
          <w:color w:val="2E74B5" w:themeColor="accent1" w:themeShade="BF"/>
          <w:sz w:val="24"/>
          <w:szCs w:val="24"/>
        </w:rPr>
        <w:t xml:space="preserve"> de julio de 2018 dos mil dieciocho.</w:t>
      </w:r>
      <w:r w:rsidRPr="00CA76E0">
        <w:rPr>
          <w:rFonts w:cs="Arial"/>
          <w:b/>
          <w:color w:val="2E74B5" w:themeColor="accent1" w:themeShade="BF"/>
          <w:sz w:val="24"/>
          <w:szCs w:val="24"/>
          <w:vertAlign w:val="subscript"/>
        </w:rPr>
        <w:t xml:space="preserve"> </w:t>
      </w:r>
    </w:p>
    <w:p w:rsidR="0010262D" w:rsidRPr="00CA76E0" w:rsidRDefault="0010262D" w:rsidP="009C0F89">
      <w:pPr>
        <w:pStyle w:val="corte4fondo"/>
        <w:spacing w:line="276" w:lineRule="auto"/>
        <w:ind w:firstLine="0"/>
        <w:rPr>
          <w:rFonts w:cs="Arial"/>
          <w:b/>
          <w:color w:val="2E74B5" w:themeColor="accent1" w:themeShade="BF"/>
          <w:sz w:val="24"/>
          <w:szCs w:val="24"/>
        </w:rPr>
      </w:pPr>
    </w:p>
    <w:p w:rsidR="0010262D" w:rsidRPr="00CA76E0" w:rsidRDefault="0010262D" w:rsidP="009C0F89">
      <w:pPr>
        <w:pStyle w:val="corte4fondo"/>
        <w:spacing w:line="276" w:lineRule="auto"/>
        <w:rPr>
          <w:rFonts w:cs="Arial"/>
          <w:color w:val="2E74B5" w:themeColor="accent1" w:themeShade="BF"/>
          <w:sz w:val="24"/>
          <w:szCs w:val="24"/>
        </w:rPr>
      </w:pPr>
      <w:r w:rsidRPr="00CA76E0">
        <w:rPr>
          <w:rFonts w:cs="Arial"/>
          <w:b/>
          <w:color w:val="2E74B5" w:themeColor="accent1" w:themeShade="BF"/>
          <w:sz w:val="24"/>
          <w:szCs w:val="24"/>
        </w:rPr>
        <w:t>VISTOS</w:t>
      </w:r>
      <w:r w:rsidRPr="00CA76E0">
        <w:rPr>
          <w:rFonts w:cs="Arial"/>
          <w:color w:val="2E74B5" w:themeColor="accent1" w:themeShade="BF"/>
          <w:sz w:val="24"/>
          <w:szCs w:val="24"/>
        </w:rPr>
        <w:t>, para resolver, los autos del recurso de revisión identificado al rubro; y</w:t>
      </w:r>
    </w:p>
    <w:p w:rsidR="0010262D" w:rsidRPr="00CA76E0" w:rsidRDefault="0010262D" w:rsidP="009C0F89">
      <w:pPr>
        <w:pStyle w:val="corte4fondo"/>
        <w:spacing w:line="276" w:lineRule="auto"/>
        <w:rPr>
          <w:rFonts w:cs="Arial"/>
          <w:color w:val="2E74B5" w:themeColor="accent1" w:themeShade="BF"/>
          <w:sz w:val="24"/>
          <w:szCs w:val="24"/>
        </w:rPr>
      </w:pPr>
    </w:p>
    <w:p w:rsidR="0010262D" w:rsidRPr="00CA76E0" w:rsidRDefault="0010262D" w:rsidP="009C0F89">
      <w:pPr>
        <w:pStyle w:val="corte4fondo"/>
        <w:spacing w:line="276" w:lineRule="auto"/>
        <w:jc w:val="center"/>
        <w:rPr>
          <w:rFonts w:cs="Arial"/>
          <w:color w:val="2E74B5" w:themeColor="accent1" w:themeShade="BF"/>
          <w:sz w:val="24"/>
          <w:szCs w:val="24"/>
        </w:rPr>
      </w:pPr>
      <w:r w:rsidRPr="00CA76E0">
        <w:rPr>
          <w:rFonts w:cs="Arial"/>
          <w:b/>
          <w:color w:val="2E74B5" w:themeColor="accent1" w:themeShade="BF"/>
          <w:sz w:val="24"/>
          <w:szCs w:val="24"/>
        </w:rPr>
        <w:t>RESULTANDO</w:t>
      </w:r>
      <w:r w:rsidRPr="00CA76E0">
        <w:rPr>
          <w:rFonts w:cs="Arial"/>
          <w:color w:val="2E74B5" w:themeColor="accent1" w:themeShade="BF"/>
          <w:sz w:val="24"/>
          <w:szCs w:val="24"/>
        </w:rPr>
        <w:t>:</w:t>
      </w:r>
    </w:p>
    <w:p w:rsidR="0010262D" w:rsidRPr="00CA76E0" w:rsidRDefault="0010262D" w:rsidP="009C0F89">
      <w:pPr>
        <w:pStyle w:val="corte4fondo"/>
        <w:spacing w:line="276" w:lineRule="auto"/>
        <w:jc w:val="center"/>
        <w:rPr>
          <w:rFonts w:cs="Arial"/>
          <w:color w:val="2E74B5" w:themeColor="accent1" w:themeShade="BF"/>
          <w:sz w:val="24"/>
          <w:szCs w:val="24"/>
        </w:rPr>
      </w:pPr>
    </w:p>
    <w:p w:rsidR="0010262D" w:rsidRPr="00CA76E0" w:rsidRDefault="0010262D" w:rsidP="009C0F89">
      <w:pPr>
        <w:pStyle w:val="corte4fondo"/>
        <w:spacing w:line="276" w:lineRule="auto"/>
        <w:rPr>
          <w:rFonts w:cs="Arial"/>
          <w:color w:val="2E74B5" w:themeColor="accent1" w:themeShade="BF"/>
          <w:sz w:val="24"/>
          <w:szCs w:val="24"/>
        </w:rPr>
      </w:pPr>
      <w:r w:rsidRPr="00CA76E0">
        <w:rPr>
          <w:rFonts w:cs="Arial"/>
          <w:b/>
          <w:color w:val="2E74B5" w:themeColor="accent1" w:themeShade="BF"/>
          <w:sz w:val="24"/>
          <w:szCs w:val="24"/>
        </w:rPr>
        <w:t xml:space="preserve">PRIMERO. Solicitud de acceso a la información pública. </w:t>
      </w:r>
      <w:r w:rsidRPr="00CA76E0">
        <w:rPr>
          <w:rFonts w:cs="Arial"/>
          <w:color w:val="2E74B5" w:themeColor="accent1" w:themeShade="BF"/>
          <w:sz w:val="24"/>
          <w:szCs w:val="24"/>
        </w:rPr>
        <w:t xml:space="preserve">Según consta en la Plataforma Nacional de Transparencia con el folio </w:t>
      </w:r>
      <w:r w:rsidRPr="00CA76E0">
        <w:rPr>
          <w:rFonts w:cs="Arial"/>
          <w:b/>
          <w:color w:val="2E74B5" w:themeColor="accent1" w:themeShade="BF"/>
          <w:sz w:val="24"/>
          <w:szCs w:val="24"/>
        </w:rPr>
        <w:t xml:space="preserve"> </w:t>
      </w:r>
      <w:r w:rsidR="004342A5">
        <w:rPr>
          <w:rFonts w:cs="Arial"/>
          <w:b/>
          <w:color w:val="2E74B5" w:themeColor="accent1" w:themeShade="BF"/>
          <w:sz w:val="24"/>
          <w:szCs w:val="24"/>
        </w:rPr>
        <w:t xml:space="preserve">00241318 </w:t>
      </w:r>
      <w:r w:rsidRPr="00CA76E0">
        <w:rPr>
          <w:rFonts w:cs="Arial"/>
          <w:color w:val="2E74B5" w:themeColor="accent1" w:themeShade="BF"/>
          <w:sz w:val="24"/>
          <w:szCs w:val="24"/>
        </w:rPr>
        <w:t xml:space="preserve">cero, cero, doscientos cuarenta y un mil </w:t>
      </w:r>
      <w:r w:rsidR="004342A5">
        <w:rPr>
          <w:rFonts w:cs="Arial"/>
          <w:color w:val="2E74B5" w:themeColor="accent1" w:themeShade="BF"/>
          <w:sz w:val="24"/>
          <w:szCs w:val="24"/>
        </w:rPr>
        <w:t>trescientos</w:t>
      </w:r>
      <w:r w:rsidRPr="00CA76E0">
        <w:rPr>
          <w:rFonts w:cs="Arial"/>
          <w:color w:val="2E74B5" w:themeColor="accent1" w:themeShade="BF"/>
          <w:sz w:val="24"/>
          <w:szCs w:val="24"/>
        </w:rPr>
        <w:t xml:space="preserve"> dieciocho, el 09 nueve de abril de 2018 dos mil dieciocho la </w:t>
      </w:r>
      <w:r w:rsidRPr="00CA76E0">
        <w:rPr>
          <w:rFonts w:cs="Arial"/>
          <w:b/>
          <w:color w:val="2E74B5" w:themeColor="accent1" w:themeShade="BF"/>
          <w:sz w:val="24"/>
          <w:szCs w:val="24"/>
        </w:rPr>
        <w:t>Secretaría de Finanzas</w:t>
      </w:r>
      <w:r w:rsidRPr="00CA76E0">
        <w:rPr>
          <w:rFonts w:cs="Arial"/>
          <w:color w:val="2E74B5" w:themeColor="accent1" w:themeShade="BF"/>
          <w:sz w:val="24"/>
          <w:szCs w:val="24"/>
        </w:rPr>
        <w:t xml:space="preserve"> recibió una solicitud de acceso a la información pública en donde se le pidió la información siguiente</w:t>
      </w:r>
      <w:r w:rsidRPr="00CA76E0">
        <w:rPr>
          <w:rStyle w:val="Refdenotaalpie"/>
          <w:rFonts w:cs="Arial"/>
          <w:color w:val="2E74B5" w:themeColor="accent1" w:themeShade="BF"/>
          <w:sz w:val="24"/>
          <w:szCs w:val="24"/>
        </w:rPr>
        <w:footnoteReference w:id="1"/>
      </w:r>
      <w:r w:rsidRPr="00CA76E0">
        <w:rPr>
          <w:rFonts w:cs="Arial"/>
          <w:color w:val="2E74B5" w:themeColor="accent1" w:themeShade="BF"/>
          <w:sz w:val="24"/>
          <w:szCs w:val="24"/>
        </w:rPr>
        <w:t>:</w:t>
      </w:r>
    </w:p>
    <w:p w:rsidR="0010262D" w:rsidRPr="00CA76E0" w:rsidRDefault="0010262D" w:rsidP="009C0F89">
      <w:pPr>
        <w:pStyle w:val="corte4fondo"/>
        <w:spacing w:line="276" w:lineRule="auto"/>
        <w:rPr>
          <w:rFonts w:cs="Arial"/>
          <w:i/>
          <w:color w:val="2E74B5" w:themeColor="accent1" w:themeShade="BF"/>
          <w:sz w:val="18"/>
          <w:szCs w:val="18"/>
        </w:rPr>
      </w:pPr>
    </w:p>
    <w:p w:rsidR="0010262D" w:rsidRPr="00CA76E0" w:rsidRDefault="002A744D" w:rsidP="009C0F89">
      <w:pPr>
        <w:spacing w:after="0" w:line="276" w:lineRule="auto"/>
        <w:jc w:val="both"/>
        <w:rPr>
          <w:rFonts w:ascii="Arial" w:eastAsia="Times New Roman" w:hAnsi="Arial" w:cs="Arial"/>
          <w:color w:val="2E74B5" w:themeColor="accent1" w:themeShade="BF"/>
          <w:sz w:val="24"/>
          <w:szCs w:val="24"/>
          <w:lang w:eastAsia="es-MX"/>
        </w:rPr>
      </w:pPr>
      <w:r>
        <w:rPr>
          <w:rFonts w:ascii="Arial" w:eastAsia="Times New Roman" w:hAnsi="Arial" w:cs="Arial"/>
          <w:noProof/>
          <w:color w:val="2E74B5" w:themeColor="accent1" w:themeShade="BF"/>
          <w:sz w:val="24"/>
          <w:szCs w:val="24"/>
          <w:lang w:eastAsia="es-MX"/>
        </w:rPr>
        <w:drawing>
          <wp:inline distT="0" distB="0" distL="0" distR="0">
            <wp:extent cx="5603240" cy="1784985"/>
            <wp:effectExtent l="0" t="0" r="0" b="571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603240" cy="1784985"/>
                    </a:xfrm>
                    <a:prstGeom prst="rect">
                      <a:avLst/>
                    </a:prstGeom>
                    <a:noFill/>
                    <a:ln>
                      <a:noFill/>
                    </a:ln>
                  </pic:spPr>
                </pic:pic>
              </a:graphicData>
            </a:graphic>
          </wp:inline>
        </w:drawing>
      </w:r>
    </w:p>
    <w:p w:rsidR="0010262D" w:rsidRPr="00CA76E0" w:rsidRDefault="0010262D" w:rsidP="009C0F89">
      <w:pPr>
        <w:spacing w:after="0" w:line="276" w:lineRule="auto"/>
        <w:jc w:val="both"/>
        <w:rPr>
          <w:rFonts w:ascii="Arial" w:eastAsia="Times New Roman" w:hAnsi="Arial" w:cs="Arial"/>
          <w:color w:val="2E74B5" w:themeColor="accent1" w:themeShade="BF"/>
          <w:sz w:val="24"/>
          <w:szCs w:val="24"/>
          <w:lang w:eastAsia="es-MX"/>
        </w:rPr>
      </w:pPr>
    </w:p>
    <w:p w:rsidR="0010262D" w:rsidRPr="002A744D" w:rsidRDefault="0010262D" w:rsidP="009C0F89">
      <w:pPr>
        <w:spacing w:after="0" w:line="276" w:lineRule="auto"/>
        <w:jc w:val="both"/>
        <w:rPr>
          <w:rFonts w:ascii="Arial" w:eastAsia="Times New Roman" w:hAnsi="Arial" w:cs="Arial"/>
          <w:i/>
          <w:color w:val="2E74B5" w:themeColor="accent1" w:themeShade="BF"/>
          <w:sz w:val="20"/>
          <w:szCs w:val="20"/>
          <w:lang w:eastAsia="es-MX"/>
        </w:rPr>
      </w:pPr>
      <w:r w:rsidRPr="002A744D">
        <w:rPr>
          <w:rFonts w:ascii="Arial" w:eastAsia="Times New Roman" w:hAnsi="Arial" w:cs="Arial"/>
          <w:i/>
          <w:color w:val="2E74B5" w:themeColor="accent1" w:themeShade="BF"/>
          <w:sz w:val="20"/>
          <w:szCs w:val="20"/>
          <w:lang w:eastAsia="es-MX"/>
        </w:rPr>
        <w:t>“…</w:t>
      </w:r>
      <w:r w:rsidR="002A744D" w:rsidRPr="002A744D">
        <w:rPr>
          <w:rFonts w:ascii="Arial" w:eastAsia="Times New Roman" w:hAnsi="Arial" w:cs="Arial"/>
          <w:i/>
          <w:color w:val="2E74B5" w:themeColor="accent1" w:themeShade="BF"/>
          <w:sz w:val="20"/>
          <w:szCs w:val="20"/>
          <w:lang w:eastAsia="es-MX"/>
        </w:rPr>
        <w:t xml:space="preserve">PROPORCIONE EL NOMBRE Y CARGO DE LAS PERSONAS QUE FUERON ASESORADAS Y CAPACITADAS POR LA EMPRESA BELL HELICOPTER TEXTRON </w:t>
      </w:r>
      <w:proofErr w:type="gramStart"/>
      <w:r w:rsidR="002A744D" w:rsidRPr="002A744D">
        <w:rPr>
          <w:rFonts w:ascii="Arial" w:eastAsia="Times New Roman" w:hAnsi="Arial" w:cs="Arial"/>
          <w:i/>
          <w:color w:val="2E74B5" w:themeColor="accent1" w:themeShade="BF"/>
          <w:sz w:val="20"/>
          <w:szCs w:val="20"/>
          <w:lang w:eastAsia="es-MX"/>
        </w:rPr>
        <w:t>INC,,</w:t>
      </w:r>
      <w:proofErr w:type="gramEnd"/>
      <w:r w:rsidR="002A744D" w:rsidRPr="002A744D">
        <w:rPr>
          <w:rFonts w:ascii="Arial" w:eastAsia="Times New Roman" w:hAnsi="Arial" w:cs="Arial"/>
          <w:i/>
          <w:color w:val="2E74B5" w:themeColor="accent1" w:themeShade="BF"/>
          <w:sz w:val="20"/>
          <w:szCs w:val="20"/>
          <w:lang w:eastAsia="es-MX"/>
        </w:rPr>
        <w:t xml:space="preserve"> EL TEMARIO DE LOS TEMAS APLICADOS, EL NUMERO DE HORAS DE ASESORÍA Y CAPACITACIÓN, ASÍ COMO EL </w:t>
      </w:r>
      <w:r w:rsidR="002A744D" w:rsidRPr="002A744D">
        <w:rPr>
          <w:rFonts w:ascii="Arial" w:eastAsia="Times New Roman" w:hAnsi="Arial" w:cs="Arial"/>
          <w:i/>
          <w:color w:val="2E74B5" w:themeColor="accent1" w:themeShade="BF"/>
          <w:sz w:val="20"/>
          <w:szCs w:val="20"/>
          <w:lang w:eastAsia="es-MX"/>
        </w:rPr>
        <w:lastRenderedPageBreak/>
        <w:t>COMPROBANTE FISCAL QUE AMPARE LA EMISIÓN DEL CHEQUE NUMERO SP0000020976, DE FECHA 8 DE AGOSTO DE 2017 EN FAVOR DE LA REFERIDA COMPAÑÍA POR DICHO CONCEPTO.</w:t>
      </w:r>
      <w:r w:rsidRPr="002A744D">
        <w:rPr>
          <w:rFonts w:ascii="Arial" w:eastAsia="Times New Roman" w:hAnsi="Arial" w:cs="Arial"/>
          <w:i/>
          <w:color w:val="2E74B5" w:themeColor="accent1" w:themeShade="BF"/>
          <w:sz w:val="20"/>
          <w:szCs w:val="20"/>
          <w:lang w:eastAsia="es-MX"/>
        </w:rPr>
        <w:t>…” (Sic.)</w:t>
      </w:r>
    </w:p>
    <w:p w:rsidR="0010262D" w:rsidRPr="00CA76E0" w:rsidRDefault="0010262D" w:rsidP="009C0F89">
      <w:pPr>
        <w:spacing w:after="0" w:line="276" w:lineRule="auto"/>
        <w:jc w:val="center"/>
        <w:rPr>
          <w:rFonts w:ascii="Arial" w:eastAsia="Times New Roman" w:hAnsi="Arial" w:cs="Arial"/>
          <w:color w:val="2E74B5" w:themeColor="accent1" w:themeShade="BF"/>
          <w:sz w:val="24"/>
          <w:szCs w:val="24"/>
          <w:lang w:eastAsia="es-MX"/>
        </w:rPr>
      </w:pPr>
      <w:r w:rsidRPr="00CA76E0">
        <w:rPr>
          <w:rFonts w:ascii="Arial" w:eastAsia="Times New Roman" w:hAnsi="Arial" w:cs="Arial"/>
          <w:noProof/>
          <w:color w:val="2E74B5" w:themeColor="accent1" w:themeShade="BF"/>
          <w:sz w:val="24"/>
          <w:szCs w:val="24"/>
          <w:lang w:eastAsia="es-MX"/>
        </w:rPr>
        <w:t xml:space="preserve"> </w:t>
      </w:r>
    </w:p>
    <w:p w:rsidR="0010262D" w:rsidRPr="00CA76E0" w:rsidRDefault="0010262D" w:rsidP="009C0F89">
      <w:pPr>
        <w:pStyle w:val="corte4fondo"/>
        <w:spacing w:line="276" w:lineRule="auto"/>
        <w:rPr>
          <w:rFonts w:cs="Arial"/>
          <w:color w:val="2E74B5" w:themeColor="accent1" w:themeShade="BF"/>
          <w:sz w:val="24"/>
          <w:szCs w:val="24"/>
        </w:rPr>
      </w:pPr>
      <w:r w:rsidRPr="00CA76E0">
        <w:rPr>
          <w:rFonts w:cs="Arial"/>
          <w:b/>
          <w:color w:val="2E74B5" w:themeColor="accent1" w:themeShade="BF"/>
          <w:sz w:val="24"/>
          <w:szCs w:val="24"/>
        </w:rPr>
        <w:t xml:space="preserve">SEGUNDO. Respuesta a la solicitud de acceso a la información pública. </w:t>
      </w:r>
      <w:r w:rsidRPr="00CA76E0">
        <w:rPr>
          <w:rFonts w:cs="Arial"/>
          <w:color w:val="2E74B5" w:themeColor="accent1" w:themeShade="BF"/>
          <w:sz w:val="24"/>
          <w:szCs w:val="24"/>
        </w:rPr>
        <w:t>El 20 veinte de abril de 2018 dos mil dieciocho el sujeto obligado</w:t>
      </w:r>
      <w:r w:rsidRPr="00CA76E0">
        <w:rPr>
          <w:rFonts w:cs="Arial"/>
          <w:b/>
          <w:color w:val="2E74B5" w:themeColor="accent1" w:themeShade="BF"/>
          <w:sz w:val="24"/>
          <w:szCs w:val="24"/>
        </w:rPr>
        <w:t xml:space="preserve"> </w:t>
      </w:r>
      <w:r w:rsidRPr="00CA76E0">
        <w:rPr>
          <w:rFonts w:cs="Arial"/>
          <w:color w:val="2E74B5" w:themeColor="accent1" w:themeShade="BF"/>
          <w:sz w:val="24"/>
          <w:szCs w:val="24"/>
        </w:rPr>
        <w:t>notificó al solicitante, por el mismo medio electrónico, la respuesta a la solicitud de acceso a la información pública, misma que es como sigue</w:t>
      </w:r>
      <w:r w:rsidRPr="00CA76E0">
        <w:rPr>
          <w:rFonts w:cs="Arial"/>
          <w:color w:val="2E74B5" w:themeColor="accent1" w:themeShade="BF"/>
          <w:sz w:val="24"/>
          <w:szCs w:val="24"/>
          <w:vertAlign w:val="superscript"/>
        </w:rPr>
        <w:footnoteReference w:id="2"/>
      </w:r>
      <w:r w:rsidRPr="00CA76E0">
        <w:rPr>
          <w:rFonts w:cs="Arial"/>
          <w:color w:val="2E74B5" w:themeColor="accent1" w:themeShade="BF"/>
          <w:sz w:val="24"/>
          <w:szCs w:val="24"/>
        </w:rPr>
        <w:t>:</w:t>
      </w:r>
    </w:p>
    <w:p w:rsidR="0010262D" w:rsidRPr="00CA76E0" w:rsidRDefault="0010262D" w:rsidP="009C0F89">
      <w:pPr>
        <w:spacing w:after="0" w:line="276" w:lineRule="auto"/>
        <w:ind w:firstLine="709"/>
        <w:jc w:val="both"/>
        <w:rPr>
          <w:rFonts w:ascii="Arial" w:eastAsia="Times New Roman" w:hAnsi="Arial" w:cs="Arial"/>
          <w:color w:val="2E74B5" w:themeColor="accent1" w:themeShade="BF"/>
          <w:sz w:val="24"/>
          <w:szCs w:val="24"/>
          <w:lang w:eastAsia="es-MX"/>
        </w:rPr>
      </w:pPr>
    </w:p>
    <w:p w:rsidR="0010262D" w:rsidRPr="00CA76E0" w:rsidRDefault="00984DFC" w:rsidP="009C0F89">
      <w:pPr>
        <w:spacing w:after="0" w:line="276" w:lineRule="auto"/>
        <w:jc w:val="center"/>
        <w:rPr>
          <w:rFonts w:ascii="Arial" w:eastAsia="Times New Roman" w:hAnsi="Arial" w:cs="Arial"/>
          <w:color w:val="2E74B5" w:themeColor="accent1" w:themeShade="BF"/>
          <w:sz w:val="20"/>
          <w:szCs w:val="20"/>
          <w:lang w:eastAsia="es-MX"/>
        </w:rPr>
      </w:pPr>
      <w:r>
        <w:rPr>
          <w:rFonts w:ascii="Arial" w:eastAsia="Times New Roman" w:hAnsi="Arial" w:cs="Arial"/>
          <w:noProof/>
          <w:color w:val="2E74B5" w:themeColor="accent1" w:themeShade="BF"/>
          <w:sz w:val="20"/>
          <w:szCs w:val="20"/>
          <w:lang w:eastAsia="es-MX"/>
        </w:rPr>
        <w:drawing>
          <wp:inline distT="0" distB="0" distL="0" distR="0">
            <wp:extent cx="5603240" cy="1565275"/>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03240" cy="1565275"/>
                    </a:xfrm>
                    <a:prstGeom prst="rect">
                      <a:avLst/>
                    </a:prstGeom>
                    <a:noFill/>
                    <a:ln>
                      <a:noFill/>
                    </a:ln>
                  </pic:spPr>
                </pic:pic>
              </a:graphicData>
            </a:graphic>
          </wp:inline>
        </w:drawing>
      </w:r>
    </w:p>
    <w:p w:rsidR="0010262D" w:rsidRPr="00CA76E0" w:rsidRDefault="0010262D" w:rsidP="009C0F89">
      <w:pPr>
        <w:spacing w:after="0" w:line="276" w:lineRule="auto"/>
        <w:jc w:val="center"/>
        <w:rPr>
          <w:rFonts w:ascii="Arial" w:eastAsia="Times New Roman" w:hAnsi="Arial" w:cs="Arial"/>
          <w:color w:val="2E74B5" w:themeColor="accent1" w:themeShade="BF"/>
          <w:sz w:val="20"/>
          <w:szCs w:val="20"/>
          <w:lang w:eastAsia="es-MX"/>
        </w:rPr>
      </w:pPr>
    </w:p>
    <w:p w:rsidR="0010262D" w:rsidRPr="00CA76E0" w:rsidRDefault="0010262D" w:rsidP="009C0F89">
      <w:pPr>
        <w:spacing w:after="0" w:line="276" w:lineRule="auto"/>
        <w:jc w:val="center"/>
        <w:rPr>
          <w:rFonts w:ascii="Arial" w:eastAsia="Times New Roman" w:hAnsi="Arial" w:cs="Arial"/>
          <w:color w:val="2E74B5" w:themeColor="accent1" w:themeShade="BF"/>
          <w:sz w:val="20"/>
          <w:szCs w:val="20"/>
          <w:lang w:eastAsia="es-MX"/>
        </w:rPr>
      </w:pPr>
    </w:p>
    <w:p w:rsidR="0010262D" w:rsidRPr="00CA76E0" w:rsidRDefault="00984DFC" w:rsidP="009C0F89">
      <w:pPr>
        <w:spacing w:after="0" w:line="276" w:lineRule="auto"/>
        <w:jc w:val="center"/>
        <w:rPr>
          <w:rFonts w:ascii="Arial" w:eastAsia="Times New Roman" w:hAnsi="Arial" w:cs="Arial"/>
          <w:color w:val="2E74B5" w:themeColor="accent1" w:themeShade="BF"/>
          <w:sz w:val="20"/>
          <w:szCs w:val="20"/>
          <w:lang w:eastAsia="es-MX"/>
        </w:rPr>
      </w:pPr>
      <w:r>
        <w:rPr>
          <w:rFonts w:ascii="Arial" w:eastAsia="Times New Roman" w:hAnsi="Arial" w:cs="Arial"/>
          <w:noProof/>
          <w:color w:val="2E74B5" w:themeColor="accent1" w:themeShade="BF"/>
          <w:sz w:val="20"/>
          <w:szCs w:val="20"/>
          <w:lang w:eastAsia="es-MX"/>
        </w:rPr>
        <w:drawing>
          <wp:inline distT="0" distB="0" distL="0" distR="0">
            <wp:extent cx="5603240" cy="2326005"/>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03240" cy="2326005"/>
                    </a:xfrm>
                    <a:prstGeom prst="rect">
                      <a:avLst/>
                    </a:prstGeom>
                    <a:noFill/>
                    <a:ln>
                      <a:noFill/>
                    </a:ln>
                  </pic:spPr>
                </pic:pic>
              </a:graphicData>
            </a:graphic>
          </wp:inline>
        </w:drawing>
      </w:r>
    </w:p>
    <w:p w:rsidR="0010262D" w:rsidRPr="00CA76E0" w:rsidRDefault="0010262D" w:rsidP="009C0F89">
      <w:pPr>
        <w:pStyle w:val="corte4fondo"/>
        <w:spacing w:line="276" w:lineRule="auto"/>
        <w:rPr>
          <w:rFonts w:cs="Arial"/>
          <w:color w:val="2E74B5" w:themeColor="accent1" w:themeShade="BF"/>
          <w:sz w:val="24"/>
          <w:szCs w:val="24"/>
        </w:rPr>
      </w:pPr>
      <w:r w:rsidRPr="00CA76E0">
        <w:rPr>
          <w:rFonts w:cs="Arial"/>
          <w:b/>
          <w:color w:val="2E74B5" w:themeColor="accent1" w:themeShade="BF"/>
          <w:sz w:val="24"/>
          <w:szCs w:val="24"/>
        </w:rPr>
        <w:t xml:space="preserve">TERCERO. Interposición del recurso. </w:t>
      </w:r>
      <w:r w:rsidRPr="00CA76E0">
        <w:rPr>
          <w:rFonts w:cs="Arial"/>
          <w:color w:val="2E74B5" w:themeColor="accent1" w:themeShade="BF"/>
          <w:sz w:val="24"/>
          <w:szCs w:val="24"/>
        </w:rPr>
        <w:t xml:space="preserve">El </w:t>
      </w:r>
      <w:r w:rsidR="00543B58" w:rsidRPr="00CA76E0">
        <w:rPr>
          <w:rFonts w:cs="Arial"/>
          <w:color w:val="2E74B5" w:themeColor="accent1" w:themeShade="BF"/>
          <w:sz w:val="24"/>
          <w:szCs w:val="24"/>
        </w:rPr>
        <w:t xml:space="preserve">26 veintiséis </w:t>
      </w:r>
      <w:r w:rsidRPr="00CA76E0">
        <w:rPr>
          <w:rFonts w:cs="Arial"/>
          <w:color w:val="2E74B5" w:themeColor="accent1" w:themeShade="BF"/>
          <w:sz w:val="24"/>
          <w:szCs w:val="24"/>
        </w:rPr>
        <w:t>de 2018 dos mil dieciocho, mediante registro RR000</w:t>
      </w:r>
      <w:r w:rsidR="00984DFC">
        <w:rPr>
          <w:rFonts w:cs="Arial"/>
          <w:color w:val="2E74B5" w:themeColor="accent1" w:themeShade="BF"/>
          <w:sz w:val="24"/>
          <w:szCs w:val="24"/>
        </w:rPr>
        <w:t>167</w:t>
      </w:r>
      <w:r w:rsidRPr="00CA76E0">
        <w:rPr>
          <w:rFonts w:cs="Arial"/>
          <w:color w:val="2E74B5" w:themeColor="accent1" w:themeShade="BF"/>
          <w:sz w:val="24"/>
          <w:szCs w:val="24"/>
        </w:rPr>
        <w:t>18 en la Plataforma Nacional de Transparencia, el solicitante de la información interpuso recurso de revisión contra de la respuesta mencionada en el punto anterior, mismo que quedó presentado ante la Oficialía de Partes de esta Comisión Estatal de Garantía de Acceso a la Información Pública el</w:t>
      </w:r>
      <w:r w:rsidR="00543B58" w:rsidRPr="00CA76E0">
        <w:rPr>
          <w:rFonts w:cs="Arial"/>
          <w:color w:val="2E74B5" w:themeColor="accent1" w:themeShade="BF"/>
          <w:sz w:val="24"/>
          <w:szCs w:val="24"/>
        </w:rPr>
        <w:t xml:space="preserve"> mismo día</w:t>
      </w:r>
      <w:r w:rsidRPr="00CA76E0">
        <w:rPr>
          <w:rFonts w:cs="Arial"/>
          <w:color w:val="2E74B5" w:themeColor="accent1" w:themeShade="BF"/>
          <w:sz w:val="24"/>
          <w:szCs w:val="24"/>
        </w:rPr>
        <w:t xml:space="preserve">. </w:t>
      </w:r>
    </w:p>
    <w:p w:rsidR="0010262D" w:rsidRPr="00CA76E0" w:rsidRDefault="0010262D" w:rsidP="009C0F89">
      <w:pPr>
        <w:spacing w:after="0" w:line="276" w:lineRule="auto"/>
        <w:ind w:firstLine="709"/>
        <w:jc w:val="both"/>
        <w:rPr>
          <w:rFonts w:ascii="Arial" w:eastAsia="Times New Roman" w:hAnsi="Arial" w:cs="Arial"/>
          <w:color w:val="2E74B5" w:themeColor="accent1" w:themeShade="BF"/>
          <w:sz w:val="24"/>
          <w:szCs w:val="24"/>
          <w:lang w:eastAsia="es-MX"/>
        </w:rPr>
      </w:pPr>
      <w:r w:rsidRPr="00CA76E0">
        <w:rPr>
          <w:rFonts w:ascii="Arial" w:eastAsia="Times New Roman" w:hAnsi="Arial" w:cs="Arial"/>
          <w:color w:val="2E74B5" w:themeColor="accent1" w:themeShade="BF"/>
          <w:sz w:val="24"/>
          <w:szCs w:val="24"/>
          <w:lang w:eastAsia="es-MX"/>
        </w:rPr>
        <w:t xml:space="preserve"> </w:t>
      </w:r>
    </w:p>
    <w:p w:rsidR="0010262D" w:rsidRPr="00CA76E0" w:rsidRDefault="005E2350" w:rsidP="009C0F89">
      <w:pPr>
        <w:spacing w:after="0" w:line="276" w:lineRule="auto"/>
        <w:ind w:firstLine="709"/>
        <w:jc w:val="both"/>
        <w:rPr>
          <w:rFonts w:ascii="Arial" w:eastAsia="Times New Roman" w:hAnsi="Arial" w:cs="Arial"/>
          <w:color w:val="2E74B5" w:themeColor="accent1" w:themeShade="BF"/>
          <w:sz w:val="24"/>
          <w:szCs w:val="24"/>
          <w:lang w:eastAsia="es-MX"/>
        </w:rPr>
      </w:pPr>
      <w:r>
        <w:rPr>
          <w:rFonts w:ascii="Arial" w:eastAsia="Times New Roman" w:hAnsi="Arial" w:cs="Arial"/>
          <w:b/>
          <w:color w:val="2E74B5" w:themeColor="accent1" w:themeShade="BF"/>
          <w:sz w:val="24"/>
          <w:szCs w:val="24"/>
          <w:lang w:eastAsia="es-MX"/>
        </w:rPr>
        <w:t>CUARTO</w:t>
      </w:r>
      <w:r w:rsidR="0010262D" w:rsidRPr="00CA76E0">
        <w:rPr>
          <w:rFonts w:ascii="Arial" w:eastAsia="Times New Roman" w:hAnsi="Arial" w:cs="Arial"/>
          <w:b/>
          <w:color w:val="2E74B5" w:themeColor="accent1" w:themeShade="BF"/>
          <w:sz w:val="24"/>
          <w:szCs w:val="24"/>
          <w:lang w:eastAsia="es-MX"/>
        </w:rPr>
        <w:t xml:space="preserve">. Trámite del recurso de revisión ante esta Comisión Estatal de Garantía de Acceso a la Información Pública. </w:t>
      </w:r>
      <w:r w:rsidR="0010262D" w:rsidRPr="00CA76E0">
        <w:rPr>
          <w:rFonts w:ascii="Arial" w:eastAsia="Times New Roman" w:hAnsi="Arial" w:cs="Arial"/>
          <w:color w:val="2E74B5" w:themeColor="accent1" w:themeShade="BF"/>
          <w:sz w:val="24"/>
          <w:szCs w:val="24"/>
          <w:lang w:eastAsia="es-MX"/>
        </w:rPr>
        <w:t xml:space="preserve">Mediante auto del </w:t>
      </w:r>
      <w:r w:rsidR="00762892" w:rsidRPr="00CA76E0">
        <w:rPr>
          <w:rFonts w:ascii="Arial" w:eastAsia="Times New Roman" w:hAnsi="Arial" w:cs="Arial"/>
          <w:color w:val="2E74B5" w:themeColor="accent1" w:themeShade="BF"/>
          <w:sz w:val="24"/>
          <w:szCs w:val="24"/>
          <w:lang w:eastAsia="es-MX"/>
        </w:rPr>
        <w:t xml:space="preserve">27 veintisiete </w:t>
      </w:r>
      <w:r w:rsidR="0010262D" w:rsidRPr="00CA76E0">
        <w:rPr>
          <w:rFonts w:ascii="Arial" w:eastAsia="Times New Roman" w:hAnsi="Arial" w:cs="Arial"/>
          <w:color w:val="2E74B5" w:themeColor="accent1" w:themeShade="BF"/>
          <w:sz w:val="24"/>
          <w:szCs w:val="24"/>
          <w:lang w:eastAsia="es-MX"/>
        </w:rPr>
        <w:t>de abril de 2018 dos mil dieciocho la presidencia de esta Comisión de Transparencia tuvo por recibido el recurso de revisión, por lo que, por razón de turno, tocó conocer a la ponencia de la Licenciada Paulina Sánchez Pérez del Pozo por lo que se le turnó dicho expediente para que procediera, previo su análisis, a su admisión o desechamiento según fuera el caso.</w:t>
      </w:r>
    </w:p>
    <w:p w:rsidR="0010262D" w:rsidRPr="00CA76E0" w:rsidRDefault="0010262D" w:rsidP="009C0F89">
      <w:pPr>
        <w:spacing w:after="0" w:line="276" w:lineRule="auto"/>
        <w:ind w:firstLine="709"/>
        <w:jc w:val="both"/>
        <w:rPr>
          <w:rFonts w:ascii="Arial" w:eastAsia="Times New Roman" w:hAnsi="Arial" w:cs="Arial"/>
          <w:color w:val="2E74B5" w:themeColor="accent1" w:themeShade="BF"/>
          <w:sz w:val="24"/>
          <w:szCs w:val="24"/>
          <w:lang w:eastAsia="es-MX"/>
        </w:rPr>
      </w:pPr>
    </w:p>
    <w:p w:rsidR="0010262D" w:rsidRPr="00CA76E0" w:rsidRDefault="005E2350" w:rsidP="009C0F89">
      <w:pPr>
        <w:spacing w:after="0" w:line="276" w:lineRule="auto"/>
        <w:ind w:firstLine="709"/>
        <w:jc w:val="both"/>
        <w:rPr>
          <w:rFonts w:ascii="Arial" w:eastAsia="Times New Roman" w:hAnsi="Arial" w:cs="Arial"/>
          <w:color w:val="2E74B5" w:themeColor="accent1" w:themeShade="BF"/>
          <w:sz w:val="24"/>
          <w:szCs w:val="24"/>
          <w:lang w:eastAsia="es-MX"/>
        </w:rPr>
      </w:pPr>
      <w:r>
        <w:rPr>
          <w:rFonts w:ascii="Arial" w:eastAsia="Times New Roman" w:hAnsi="Arial" w:cs="Arial"/>
          <w:b/>
          <w:color w:val="2E74B5" w:themeColor="accent1" w:themeShade="BF"/>
          <w:sz w:val="24"/>
          <w:szCs w:val="24"/>
          <w:lang w:eastAsia="es-MX"/>
        </w:rPr>
        <w:lastRenderedPageBreak/>
        <w:t>QUINTO</w:t>
      </w:r>
      <w:r w:rsidR="0010262D" w:rsidRPr="00CA76E0">
        <w:rPr>
          <w:rFonts w:ascii="Arial" w:eastAsia="Times New Roman" w:hAnsi="Arial" w:cs="Arial"/>
          <w:b/>
          <w:color w:val="2E74B5" w:themeColor="accent1" w:themeShade="BF"/>
          <w:sz w:val="24"/>
          <w:szCs w:val="24"/>
          <w:lang w:eastAsia="es-MX"/>
        </w:rPr>
        <w:t xml:space="preserve">. Auto de admisión y trámite. </w:t>
      </w:r>
      <w:r w:rsidR="0010262D" w:rsidRPr="00CA76E0">
        <w:rPr>
          <w:rFonts w:ascii="Arial" w:eastAsia="Times New Roman" w:hAnsi="Arial" w:cs="Arial"/>
          <w:color w:val="2E74B5" w:themeColor="accent1" w:themeShade="BF"/>
          <w:sz w:val="24"/>
          <w:szCs w:val="24"/>
          <w:lang w:eastAsia="es-MX"/>
        </w:rPr>
        <w:t xml:space="preserve">Por proveído del </w:t>
      </w:r>
      <w:r>
        <w:rPr>
          <w:rFonts w:ascii="Arial" w:eastAsia="Times New Roman" w:hAnsi="Arial" w:cs="Arial"/>
          <w:color w:val="2E74B5" w:themeColor="accent1" w:themeShade="BF"/>
          <w:sz w:val="24"/>
          <w:szCs w:val="24"/>
          <w:lang w:eastAsia="es-MX"/>
        </w:rPr>
        <w:t xml:space="preserve">30 treinta de abril </w:t>
      </w:r>
      <w:r w:rsidR="0010262D" w:rsidRPr="00CA76E0">
        <w:rPr>
          <w:rFonts w:ascii="Arial" w:eastAsia="Times New Roman" w:hAnsi="Arial" w:cs="Arial"/>
          <w:color w:val="2E74B5" w:themeColor="accent1" w:themeShade="BF"/>
          <w:sz w:val="24"/>
          <w:szCs w:val="24"/>
          <w:lang w:eastAsia="es-MX"/>
        </w:rPr>
        <w:t>de 2018 dos mil dieciocho la Comisionado Ponente:</w:t>
      </w:r>
    </w:p>
    <w:p w:rsidR="0010262D" w:rsidRPr="00CA76E0" w:rsidRDefault="0010262D" w:rsidP="009C0F89">
      <w:pPr>
        <w:spacing w:after="0" w:line="276" w:lineRule="auto"/>
        <w:ind w:firstLine="709"/>
        <w:jc w:val="both"/>
        <w:rPr>
          <w:rFonts w:ascii="Arial" w:eastAsia="Times New Roman" w:hAnsi="Arial" w:cs="Arial"/>
          <w:color w:val="2E74B5" w:themeColor="accent1" w:themeShade="BF"/>
          <w:sz w:val="24"/>
          <w:szCs w:val="24"/>
          <w:lang w:eastAsia="es-MX"/>
        </w:rPr>
      </w:pPr>
    </w:p>
    <w:p w:rsidR="0010262D" w:rsidRPr="00CA76E0" w:rsidRDefault="0010262D" w:rsidP="009C0F89">
      <w:pPr>
        <w:numPr>
          <w:ilvl w:val="0"/>
          <w:numId w:val="2"/>
        </w:numPr>
        <w:spacing w:after="0" w:line="276" w:lineRule="auto"/>
        <w:jc w:val="both"/>
        <w:rPr>
          <w:rFonts w:ascii="Arial" w:eastAsia="Times New Roman" w:hAnsi="Arial" w:cs="Arial"/>
          <w:color w:val="2E74B5" w:themeColor="accent1" w:themeShade="BF"/>
          <w:sz w:val="24"/>
          <w:szCs w:val="24"/>
          <w:lang w:eastAsia="es-MX"/>
        </w:rPr>
      </w:pPr>
      <w:r w:rsidRPr="00CA76E0">
        <w:rPr>
          <w:rFonts w:ascii="Arial" w:eastAsia="Times New Roman" w:hAnsi="Arial" w:cs="Arial"/>
          <w:color w:val="2E74B5" w:themeColor="accent1" w:themeShade="BF"/>
          <w:sz w:val="24"/>
          <w:szCs w:val="24"/>
          <w:lang w:eastAsia="es-MX"/>
        </w:rPr>
        <w:t>Registró en el Libro de Gobierno el presente expediente como RR-</w:t>
      </w:r>
      <w:r w:rsidR="005E2350">
        <w:rPr>
          <w:rFonts w:ascii="Arial" w:eastAsia="Times New Roman" w:hAnsi="Arial" w:cs="Arial"/>
          <w:color w:val="2E74B5" w:themeColor="accent1" w:themeShade="BF"/>
          <w:sz w:val="24"/>
          <w:szCs w:val="24"/>
          <w:lang w:eastAsia="es-MX"/>
        </w:rPr>
        <w:t>314</w:t>
      </w:r>
      <w:r w:rsidRPr="00CA76E0">
        <w:rPr>
          <w:rFonts w:ascii="Arial" w:eastAsia="Times New Roman" w:hAnsi="Arial" w:cs="Arial"/>
          <w:color w:val="2E74B5" w:themeColor="accent1" w:themeShade="BF"/>
          <w:sz w:val="24"/>
          <w:szCs w:val="24"/>
          <w:lang w:eastAsia="es-MX"/>
        </w:rPr>
        <w:t>/2018-2 PLATAFORMA.</w:t>
      </w:r>
    </w:p>
    <w:p w:rsidR="0010262D" w:rsidRPr="00CA76E0" w:rsidRDefault="0010262D" w:rsidP="009C0F89">
      <w:pPr>
        <w:numPr>
          <w:ilvl w:val="0"/>
          <w:numId w:val="2"/>
        </w:numPr>
        <w:spacing w:after="0" w:line="276" w:lineRule="auto"/>
        <w:jc w:val="both"/>
        <w:rPr>
          <w:rFonts w:ascii="Arial" w:eastAsia="Times New Roman" w:hAnsi="Arial" w:cs="Arial"/>
          <w:color w:val="2E74B5" w:themeColor="accent1" w:themeShade="BF"/>
          <w:sz w:val="24"/>
          <w:szCs w:val="24"/>
          <w:lang w:eastAsia="es-MX"/>
        </w:rPr>
      </w:pPr>
      <w:r w:rsidRPr="00CA76E0">
        <w:rPr>
          <w:rFonts w:ascii="Arial" w:eastAsia="Times New Roman" w:hAnsi="Arial" w:cs="Arial"/>
          <w:color w:val="2E74B5" w:themeColor="accent1" w:themeShade="BF"/>
          <w:sz w:val="24"/>
          <w:szCs w:val="24"/>
          <w:lang w:eastAsia="es-MX"/>
        </w:rPr>
        <w:t>Admitió a trámite el presente recurso de revisión.</w:t>
      </w:r>
    </w:p>
    <w:p w:rsidR="0010262D" w:rsidRPr="00CA76E0" w:rsidRDefault="00762892" w:rsidP="009C0F89">
      <w:pPr>
        <w:pStyle w:val="corte4fondo"/>
        <w:numPr>
          <w:ilvl w:val="0"/>
          <w:numId w:val="2"/>
        </w:numPr>
        <w:spacing w:line="276" w:lineRule="auto"/>
        <w:rPr>
          <w:rFonts w:cs="Arial"/>
          <w:b/>
          <w:color w:val="2E74B5" w:themeColor="accent1" w:themeShade="BF"/>
          <w:sz w:val="24"/>
          <w:szCs w:val="24"/>
        </w:rPr>
      </w:pPr>
      <w:r w:rsidRPr="00CA76E0">
        <w:rPr>
          <w:rFonts w:cs="Arial"/>
          <w:color w:val="2E74B5" w:themeColor="accent1" w:themeShade="BF"/>
          <w:sz w:val="24"/>
          <w:szCs w:val="24"/>
        </w:rPr>
        <w:t xml:space="preserve">Tuvo como sujeto obligado a </w:t>
      </w:r>
      <w:r w:rsidRPr="00CA76E0">
        <w:rPr>
          <w:rFonts w:cs="Arial"/>
          <w:b/>
          <w:color w:val="2E74B5" w:themeColor="accent1" w:themeShade="BF"/>
          <w:sz w:val="24"/>
          <w:szCs w:val="24"/>
        </w:rPr>
        <w:t>GOBIERNO DEL ESTADO DE SAN LUIS POTOSÍ, POR CONDUCTO DE LA SECRETARÍA DE FINANZAS A TRAVÉS DE SU SECRETARIO Y DEL TITULAR DE LA UNIDAD DE TRASPARENCIA</w:t>
      </w:r>
      <w:r w:rsidR="0010262D" w:rsidRPr="00CA76E0">
        <w:rPr>
          <w:rFonts w:cs="Arial"/>
          <w:color w:val="2E74B5" w:themeColor="accent1" w:themeShade="BF"/>
          <w:sz w:val="24"/>
          <w:szCs w:val="24"/>
        </w:rPr>
        <w:t>.</w:t>
      </w:r>
    </w:p>
    <w:p w:rsidR="0010262D" w:rsidRPr="00CA76E0" w:rsidRDefault="0010262D" w:rsidP="009C0F89">
      <w:pPr>
        <w:numPr>
          <w:ilvl w:val="0"/>
          <w:numId w:val="2"/>
        </w:numPr>
        <w:spacing w:after="0" w:line="276" w:lineRule="auto"/>
        <w:jc w:val="both"/>
        <w:rPr>
          <w:rFonts w:ascii="Arial" w:eastAsia="Times New Roman" w:hAnsi="Arial" w:cs="Arial"/>
          <w:color w:val="2E74B5" w:themeColor="accent1" w:themeShade="BF"/>
          <w:sz w:val="24"/>
          <w:szCs w:val="24"/>
          <w:lang w:eastAsia="es-MX"/>
        </w:rPr>
      </w:pPr>
      <w:r w:rsidRPr="00CA76E0">
        <w:rPr>
          <w:rFonts w:ascii="Arial" w:eastAsia="Times New Roman" w:hAnsi="Arial" w:cs="Arial"/>
          <w:color w:val="2E74B5" w:themeColor="accent1" w:themeShade="BF"/>
          <w:sz w:val="24"/>
          <w:szCs w:val="24"/>
          <w:lang w:eastAsia="es-MX"/>
        </w:rPr>
        <w:t>Se le tuvo al recurrente por señalada dirección electrónica para oír notificaciones.</w:t>
      </w:r>
    </w:p>
    <w:p w:rsidR="0010262D" w:rsidRPr="00CA76E0" w:rsidRDefault="0010262D" w:rsidP="009C0F89">
      <w:pPr>
        <w:numPr>
          <w:ilvl w:val="0"/>
          <w:numId w:val="2"/>
        </w:numPr>
        <w:spacing w:after="0" w:line="276" w:lineRule="auto"/>
        <w:jc w:val="both"/>
        <w:rPr>
          <w:rFonts w:ascii="Arial" w:eastAsia="Times New Roman" w:hAnsi="Arial" w:cs="Arial"/>
          <w:color w:val="2E74B5" w:themeColor="accent1" w:themeShade="BF"/>
          <w:sz w:val="24"/>
          <w:szCs w:val="24"/>
          <w:lang w:eastAsia="es-MX"/>
        </w:rPr>
      </w:pPr>
      <w:r w:rsidRPr="00CA76E0">
        <w:rPr>
          <w:rFonts w:ascii="Arial" w:eastAsia="Times New Roman" w:hAnsi="Arial" w:cs="Arial"/>
          <w:color w:val="2E74B5" w:themeColor="accent1" w:themeShade="BF"/>
          <w:sz w:val="24"/>
          <w:szCs w:val="24"/>
          <w:lang w:eastAsia="es-MX"/>
        </w:rPr>
        <w:t xml:space="preserve">Se puso a disposición de las partes el expediente para que en un plazo máximo de 7 siete días manifestaran lo que a su derecho conviniera –ofrecer pruebas y alegar–.  </w:t>
      </w:r>
    </w:p>
    <w:p w:rsidR="0010262D" w:rsidRPr="00CA76E0" w:rsidRDefault="0010262D" w:rsidP="009C0F89">
      <w:pPr>
        <w:spacing w:after="0" w:line="276" w:lineRule="auto"/>
        <w:ind w:firstLine="709"/>
        <w:jc w:val="both"/>
        <w:rPr>
          <w:rFonts w:ascii="Arial" w:eastAsia="Times New Roman" w:hAnsi="Arial" w:cs="Arial"/>
          <w:color w:val="2E74B5" w:themeColor="accent1" w:themeShade="BF"/>
          <w:sz w:val="24"/>
          <w:szCs w:val="24"/>
          <w:lang w:eastAsia="es-MX"/>
        </w:rPr>
      </w:pPr>
    </w:p>
    <w:p w:rsidR="0010262D" w:rsidRPr="00CA76E0" w:rsidRDefault="0010262D" w:rsidP="009C0F89">
      <w:pPr>
        <w:spacing w:after="0" w:line="276" w:lineRule="auto"/>
        <w:ind w:firstLine="709"/>
        <w:jc w:val="both"/>
        <w:rPr>
          <w:rFonts w:ascii="Arial" w:eastAsia="Times New Roman" w:hAnsi="Arial" w:cs="Arial"/>
          <w:color w:val="2E74B5" w:themeColor="accent1" w:themeShade="BF"/>
          <w:sz w:val="24"/>
          <w:szCs w:val="24"/>
          <w:lang w:eastAsia="es-MX"/>
        </w:rPr>
      </w:pPr>
      <w:r w:rsidRPr="00CA76E0">
        <w:rPr>
          <w:rFonts w:ascii="Arial" w:eastAsia="Times New Roman" w:hAnsi="Arial" w:cs="Arial"/>
          <w:color w:val="2E74B5" w:themeColor="accent1" w:themeShade="BF"/>
          <w:sz w:val="24"/>
          <w:szCs w:val="24"/>
          <w:lang w:eastAsia="es-MX"/>
        </w:rPr>
        <w:t>Asimismo, en ese auto la ponente expresó que el sujeto obligado debería informar a esta Comisión de Transparencia si la información que le fue solicitada:</w:t>
      </w:r>
    </w:p>
    <w:p w:rsidR="0010262D" w:rsidRPr="00CA76E0" w:rsidRDefault="0010262D" w:rsidP="009C0F89">
      <w:pPr>
        <w:spacing w:after="0" w:line="276" w:lineRule="auto"/>
        <w:ind w:firstLine="709"/>
        <w:jc w:val="both"/>
        <w:rPr>
          <w:rFonts w:ascii="Arial" w:eastAsia="Times New Roman" w:hAnsi="Arial" w:cs="Arial"/>
          <w:color w:val="2E74B5" w:themeColor="accent1" w:themeShade="BF"/>
          <w:sz w:val="24"/>
          <w:szCs w:val="24"/>
          <w:lang w:eastAsia="es-MX"/>
        </w:rPr>
      </w:pPr>
    </w:p>
    <w:p w:rsidR="0010262D" w:rsidRPr="00CA76E0" w:rsidRDefault="0010262D" w:rsidP="009C0F89">
      <w:pPr>
        <w:numPr>
          <w:ilvl w:val="0"/>
          <w:numId w:val="1"/>
        </w:numPr>
        <w:spacing w:after="0" w:line="276" w:lineRule="auto"/>
        <w:jc w:val="both"/>
        <w:rPr>
          <w:rFonts w:ascii="Arial" w:eastAsia="Times New Roman" w:hAnsi="Arial" w:cs="Arial"/>
          <w:color w:val="2E74B5" w:themeColor="accent1" w:themeShade="BF"/>
          <w:sz w:val="24"/>
          <w:szCs w:val="24"/>
          <w:lang w:eastAsia="es-MX"/>
        </w:rPr>
      </w:pPr>
      <w:r w:rsidRPr="00CA76E0">
        <w:rPr>
          <w:rFonts w:ascii="Arial" w:eastAsia="Times New Roman" w:hAnsi="Arial" w:cs="Arial"/>
          <w:color w:val="2E74B5" w:themeColor="accent1" w:themeShade="BF"/>
          <w:sz w:val="24"/>
          <w:szCs w:val="24"/>
          <w:lang w:eastAsia="es-MX"/>
        </w:rPr>
        <w:t>Se encontraba en sus archivos.</w:t>
      </w:r>
    </w:p>
    <w:p w:rsidR="0010262D" w:rsidRPr="00CA76E0" w:rsidRDefault="0010262D" w:rsidP="009C0F89">
      <w:pPr>
        <w:numPr>
          <w:ilvl w:val="0"/>
          <w:numId w:val="1"/>
        </w:numPr>
        <w:spacing w:after="0" w:line="276" w:lineRule="auto"/>
        <w:jc w:val="both"/>
        <w:rPr>
          <w:rFonts w:ascii="Arial" w:eastAsia="Times New Roman" w:hAnsi="Arial" w:cs="Arial"/>
          <w:color w:val="2E74B5" w:themeColor="accent1" w:themeShade="BF"/>
          <w:sz w:val="24"/>
          <w:szCs w:val="24"/>
          <w:lang w:eastAsia="es-MX"/>
        </w:rPr>
      </w:pPr>
      <w:r w:rsidRPr="00CA76E0">
        <w:rPr>
          <w:rFonts w:ascii="Arial" w:eastAsia="Times New Roman" w:hAnsi="Arial" w:cs="Arial"/>
          <w:color w:val="2E74B5" w:themeColor="accent1" w:themeShade="BF"/>
          <w:sz w:val="24"/>
          <w:szCs w:val="24"/>
          <w:lang w:eastAsia="es-MX"/>
        </w:rPr>
        <w:t>Si estaba obligado a documentar esa información de acuerdo a sus facultades, competencias o funciones en el formato que el solicitante pidió –conforme a las características físicas de la información o del lugar en donde se encuentre y si la información se encuentra en una base de datos–.</w:t>
      </w:r>
    </w:p>
    <w:p w:rsidR="0010262D" w:rsidRPr="00CA76E0" w:rsidRDefault="0010262D" w:rsidP="009C0F89">
      <w:pPr>
        <w:numPr>
          <w:ilvl w:val="0"/>
          <w:numId w:val="1"/>
        </w:numPr>
        <w:spacing w:after="0" w:line="276" w:lineRule="auto"/>
        <w:jc w:val="both"/>
        <w:rPr>
          <w:rFonts w:ascii="Arial" w:eastAsia="Times New Roman" w:hAnsi="Arial" w:cs="Arial"/>
          <w:color w:val="2E74B5" w:themeColor="accent1" w:themeShade="BF"/>
          <w:sz w:val="24"/>
          <w:szCs w:val="24"/>
          <w:lang w:eastAsia="es-MX"/>
        </w:rPr>
      </w:pPr>
      <w:r w:rsidRPr="00CA76E0">
        <w:rPr>
          <w:rFonts w:ascii="Arial" w:eastAsia="Times New Roman" w:hAnsi="Arial" w:cs="Arial"/>
          <w:color w:val="2E74B5" w:themeColor="accent1" w:themeShade="BF"/>
          <w:sz w:val="24"/>
          <w:szCs w:val="24"/>
          <w:lang w:eastAsia="es-MX"/>
        </w:rPr>
        <w:t xml:space="preserve">Se encontraba en una de las excepciones del derecho de acceso a la información como impedimento legal para su entrega –cuando se trate de información reservada o confidencial–. </w:t>
      </w:r>
    </w:p>
    <w:p w:rsidR="0010262D" w:rsidRPr="00CA76E0" w:rsidRDefault="0010262D" w:rsidP="009C0F89">
      <w:pPr>
        <w:spacing w:after="0" w:line="276" w:lineRule="auto"/>
        <w:ind w:firstLine="709"/>
        <w:jc w:val="both"/>
        <w:rPr>
          <w:rFonts w:ascii="Arial" w:eastAsia="Times New Roman" w:hAnsi="Arial" w:cs="Arial"/>
          <w:color w:val="2E74B5" w:themeColor="accent1" w:themeShade="BF"/>
          <w:sz w:val="24"/>
          <w:szCs w:val="24"/>
          <w:lang w:eastAsia="es-MX"/>
        </w:rPr>
      </w:pPr>
    </w:p>
    <w:p w:rsidR="0010262D" w:rsidRDefault="0010262D" w:rsidP="009C0F89">
      <w:pPr>
        <w:spacing w:after="0" w:line="276" w:lineRule="auto"/>
        <w:ind w:firstLine="709"/>
        <w:jc w:val="both"/>
        <w:rPr>
          <w:rFonts w:ascii="Arial" w:eastAsia="Times New Roman" w:hAnsi="Arial" w:cs="Arial"/>
          <w:color w:val="2E74B5" w:themeColor="accent1" w:themeShade="BF"/>
          <w:sz w:val="24"/>
          <w:szCs w:val="24"/>
          <w:lang w:eastAsia="es-MX"/>
        </w:rPr>
      </w:pPr>
      <w:r w:rsidRPr="00CA76E0">
        <w:rPr>
          <w:rFonts w:ascii="Arial" w:eastAsia="Times New Roman" w:hAnsi="Arial" w:cs="Arial"/>
          <w:color w:val="2E74B5" w:themeColor="accent1" w:themeShade="BF"/>
          <w:sz w:val="24"/>
          <w:szCs w:val="24"/>
          <w:lang w:eastAsia="es-MX"/>
        </w:rPr>
        <w:t>Por otra parte, la ponente ordenó el traslado a las autoridades con la copia simple del recurso de revisión; se les requirió a éstas para remitieran copia certificada del nombramiento que los acreditara como tales; para que señalaran personas y domicilio para oír y recibir notificaciones en esta ciudad; y que una vez, que sea decretado el cierre de instrucción no se atendería la información que fuese enviada.</w:t>
      </w:r>
    </w:p>
    <w:p w:rsidR="005E2350" w:rsidRPr="00CA76E0" w:rsidRDefault="005E2350" w:rsidP="009C0F89">
      <w:pPr>
        <w:spacing w:after="0" w:line="276" w:lineRule="auto"/>
        <w:ind w:firstLine="709"/>
        <w:jc w:val="both"/>
        <w:rPr>
          <w:rFonts w:ascii="Arial" w:eastAsia="Times New Roman" w:hAnsi="Arial" w:cs="Arial"/>
          <w:color w:val="2E74B5" w:themeColor="accent1" w:themeShade="BF"/>
          <w:sz w:val="24"/>
          <w:szCs w:val="24"/>
          <w:lang w:eastAsia="es-MX"/>
        </w:rPr>
      </w:pPr>
    </w:p>
    <w:p w:rsidR="005E2350" w:rsidRPr="006453C1" w:rsidRDefault="005E2350" w:rsidP="009C0F89">
      <w:pPr>
        <w:spacing w:after="0" w:line="276" w:lineRule="auto"/>
        <w:ind w:firstLine="567"/>
        <w:jc w:val="both"/>
        <w:rPr>
          <w:rFonts w:ascii="Arial" w:eastAsia="Times New Roman" w:hAnsi="Arial" w:cs="Arial"/>
          <w:b/>
          <w:color w:val="2E74B5" w:themeColor="accent1" w:themeShade="BF"/>
          <w:sz w:val="24"/>
          <w:szCs w:val="24"/>
          <w:lang w:eastAsia="es-MX"/>
        </w:rPr>
      </w:pPr>
      <w:r w:rsidRPr="005E2350">
        <w:rPr>
          <w:rFonts w:ascii="Arial" w:eastAsia="Times New Roman" w:hAnsi="Arial" w:cs="Arial"/>
          <w:b/>
          <w:color w:val="2E74B5" w:themeColor="accent1" w:themeShade="BF"/>
          <w:sz w:val="24"/>
          <w:szCs w:val="24"/>
          <w:lang w:eastAsia="es-MX"/>
        </w:rPr>
        <w:t xml:space="preserve">SEXTO. </w:t>
      </w:r>
      <w:r w:rsidRPr="006453C1">
        <w:rPr>
          <w:rFonts w:ascii="Arial" w:eastAsia="Times New Roman" w:hAnsi="Arial" w:cs="Arial"/>
          <w:b/>
          <w:color w:val="2E74B5" w:themeColor="accent1" w:themeShade="BF"/>
          <w:sz w:val="24"/>
          <w:szCs w:val="24"/>
          <w:lang w:eastAsia="es-MX"/>
        </w:rPr>
        <w:t>Informe de los sujetos obligados</w:t>
      </w:r>
      <w:r w:rsidRPr="006453C1">
        <w:rPr>
          <w:rFonts w:ascii="Arial" w:eastAsia="Times New Roman" w:hAnsi="Arial" w:cs="Arial"/>
          <w:color w:val="2E74B5" w:themeColor="accent1" w:themeShade="BF"/>
          <w:sz w:val="24"/>
          <w:szCs w:val="24"/>
          <w:lang w:eastAsia="es-MX"/>
        </w:rPr>
        <w:t xml:space="preserve">. Por proveído del </w:t>
      </w:r>
      <w:r>
        <w:rPr>
          <w:rFonts w:ascii="Arial" w:eastAsia="Times New Roman" w:hAnsi="Arial" w:cs="Arial"/>
          <w:color w:val="2E74B5" w:themeColor="accent1" w:themeShade="BF"/>
          <w:sz w:val="24"/>
          <w:szCs w:val="24"/>
          <w:lang w:eastAsia="es-MX"/>
        </w:rPr>
        <w:t>01 uno de junio</w:t>
      </w:r>
      <w:r w:rsidRPr="006453C1">
        <w:rPr>
          <w:rFonts w:ascii="Arial" w:eastAsia="Times New Roman" w:hAnsi="Arial" w:cs="Arial"/>
          <w:color w:val="2E74B5" w:themeColor="accent1" w:themeShade="BF"/>
          <w:sz w:val="24"/>
          <w:szCs w:val="24"/>
          <w:lang w:eastAsia="es-MX"/>
        </w:rPr>
        <w:t xml:space="preserve"> de 2018 dos mil dieciocho la ponente del presente asunto tuvo:</w:t>
      </w:r>
    </w:p>
    <w:p w:rsidR="005E2350" w:rsidRPr="006453C1" w:rsidRDefault="005E2350" w:rsidP="009C0F89">
      <w:pPr>
        <w:spacing w:after="0" w:line="276" w:lineRule="auto"/>
        <w:ind w:left="1510"/>
        <w:jc w:val="both"/>
        <w:rPr>
          <w:rFonts w:ascii="Arial" w:eastAsia="Times New Roman" w:hAnsi="Arial" w:cs="Arial"/>
          <w:color w:val="2E74B5" w:themeColor="accent1" w:themeShade="BF"/>
          <w:sz w:val="24"/>
          <w:szCs w:val="24"/>
          <w:lang w:eastAsia="es-MX"/>
        </w:rPr>
      </w:pPr>
      <w:r w:rsidRPr="006453C1">
        <w:rPr>
          <w:rFonts w:ascii="Arial" w:eastAsia="Times New Roman" w:hAnsi="Arial" w:cs="Arial"/>
          <w:color w:val="2E74B5" w:themeColor="accent1" w:themeShade="BF"/>
          <w:sz w:val="24"/>
          <w:szCs w:val="24"/>
          <w:lang w:eastAsia="es-MX"/>
        </w:rPr>
        <w:t xml:space="preserve"> </w:t>
      </w:r>
    </w:p>
    <w:p w:rsidR="005E2350" w:rsidRPr="006453C1" w:rsidRDefault="002059F8" w:rsidP="009C0F89">
      <w:pPr>
        <w:pStyle w:val="corte4fondo"/>
        <w:numPr>
          <w:ilvl w:val="0"/>
          <w:numId w:val="7"/>
        </w:numPr>
        <w:spacing w:line="276" w:lineRule="auto"/>
        <w:rPr>
          <w:rFonts w:cs="Arial"/>
          <w:color w:val="2E74B5" w:themeColor="accent1" w:themeShade="BF"/>
          <w:sz w:val="24"/>
          <w:szCs w:val="24"/>
        </w:rPr>
      </w:pPr>
      <w:r>
        <w:rPr>
          <w:rFonts w:cs="Arial"/>
          <w:color w:val="2E74B5" w:themeColor="accent1" w:themeShade="BF"/>
          <w:sz w:val="24"/>
          <w:szCs w:val="24"/>
        </w:rPr>
        <w:t>Por recibido el oficio SF-UT/054</w:t>
      </w:r>
      <w:r w:rsidR="005E2350" w:rsidRPr="006453C1">
        <w:rPr>
          <w:rFonts w:cs="Arial"/>
          <w:color w:val="2E74B5" w:themeColor="accent1" w:themeShade="BF"/>
          <w:sz w:val="24"/>
          <w:szCs w:val="24"/>
        </w:rPr>
        <w:t xml:space="preserve">/2018, firmado por el </w:t>
      </w:r>
      <w:r w:rsidR="005E2350" w:rsidRPr="006453C1">
        <w:rPr>
          <w:rFonts w:cs="Arial"/>
          <w:b/>
          <w:color w:val="2E74B5" w:themeColor="accent1" w:themeShade="BF"/>
          <w:sz w:val="24"/>
          <w:szCs w:val="24"/>
        </w:rPr>
        <w:t>JEFE DE LA UNIDAD DE TRANSPARENCIA</w:t>
      </w:r>
      <w:r w:rsidR="005E2350" w:rsidRPr="006453C1">
        <w:rPr>
          <w:rFonts w:cs="Arial"/>
          <w:color w:val="2E74B5" w:themeColor="accent1" w:themeShade="BF"/>
          <w:sz w:val="24"/>
          <w:szCs w:val="24"/>
        </w:rPr>
        <w:t xml:space="preserve"> del sujeto obligado, con </w:t>
      </w:r>
      <w:r w:rsidR="00DB1E83">
        <w:rPr>
          <w:rFonts w:cs="Arial"/>
          <w:color w:val="2E74B5" w:themeColor="accent1" w:themeShade="BF"/>
          <w:sz w:val="24"/>
          <w:szCs w:val="24"/>
        </w:rPr>
        <w:t>un</w:t>
      </w:r>
      <w:r w:rsidR="005E2350" w:rsidRPr="006453C1">
        <w:rPr>
          <w:rFonts w:cs="Arial"/>
          <w:color w:val="2E74B5" w:themeColor="accent1" w:themeShade="BF"/>
          <w:sz w:val="24"/>
          <w:szCs w:val="24"/>
        </w:rPr>
        <w:t xml:space="preserve"> anexo.</w:t>
      </w:r>
    </w:p>
    <w:p w:rsidR="005E2350" w:rsidRPr="006453C1" w:rsidRDefault="005E2350" w:rsidP="009C0F89">
      <w:pPr>
        <w:pStyle w:val="corte4fondo"/>
        <w:numPr>
          <w:ilvl w:val="0"/>
          <w:numId w:val="7"/>
        </w:numPr>
        <w:spacing w:line="276" w:lineRule="auto"/>
        <w:rPr>
          <w:rFonts w:cs="Arial"/>
          <w:color w:val="2E74B5" w:themeColor="accent1" w:themeShade="BF"/>
          <w:sz w:val="24"/>
          <w:szCs w:val="24"/>
        </w:rPr>
      </w:pPr>
      <w:r w:rsidRPr="006453C1">
        <w:rPr>
          <w:rFonts w:cs="Arial"/>
          <w:color w:val="2E74B5" w:themeColor="accent1" w:themeShade="BF"/>
          <w:sz w:val="24"/>
          <w:szCs w:val="24"/>
        </w:rPr>
        <w:t xml:space="preserve">Por reconocida su personalidad. </w:t>
      </w:r>
    </w:p>
    <w:p w:rsidR="005E2350" w:rsidRPr="006453C1" w:rsidRDefault="005E2350" w:rsidP="009C0F89">
      <w:pPr>
        <w:pStyle w:val="corte4fondo"/>
        <w:numPr>
          <w:ilvl w:val="0"/>
          <w:numId w:val="7"/>
        </w:numPr>
        <w:spacing w:line="276" w:lineRule="auto"/>
        <w:rPr>
          <w:rFonts w:cs="Arial"/>
          <w:color w:val="2E74B5" w:themeColor="accent1" w:themeShade="BF"/>
          <w:sz w:val="24"/>
          <w:szCs w:val="24"/>
        </w:rPr>
      </w:pPr>
      <w:r w:rsidRPr="006453C1">
        <w:rPr>
          <w:rFonts w:cs="Arial"/>
          <w:color w:val="2E74B5" w:themeColor="accent1" w:themeShade="BF"/>
          <w:sz w:val="24"/>
          <w:szCs w:val="24"/>
        </w:rPr>
        <w:t>Por rendido en tiempo y forma el informe solicitado.</w:t>
      </w:r>
    </w:p>
    <w:p w:rsidR="005E2350" w:rsidRPr="006453C1" w:rsidRDefault="005E2350" w:rsidP="009C0F89">
      <w:pPr>
        <w:pStyle w:val="corte4fondo"/>
        <w:numPr>
          <w:ilvl w:val="0"/>
          <w:numId w:val="7"/>
        </w:numPr>
        <w:spacing w:line="276" w:lineRule="auto"/>
        <w:rPr>
          <w:rFonts w:cs="Arial"/>
          <w:color w:val="2E74B5" w:themeColor="accent1" w:themeShade="BF"/>
          <w:sz w:val="24"/>
          <w:szCs w:val="24"/>
        </w:rPr>
      </w:pPr>
      <w:r w:rsidRPr="006453C1">
        <w:rPr>
          <w:rFonts w:cs="Arial"/>
          <w:color w:val="2E74B5" w:themeColor="accent1" w:themeShade="BF"/>
          <w:sz w:val="24"/>
          <w:szCs w:val="24"/>
        </w:rPr>
        <w:t>Por expresados los argumentos relacionados con el presente asunto.</w:t>
      </w:r>
    </w:p>
    <w:p w:rsidR="005E2350" w:rsidRPr="006453C1" w:rsidRDefault="005E2350" w:rsidP="009C0F89">
      <w:pPr>
        <w:spacing w:after="0" w:line="276" w:lineRule="auto"/>
        <w:ind w:left="1510"/>
        <w:jc w:val="both"/>
        <w:rPr>
          <w:rFonts w:ascii="Arial" w:eastAsia="Times New Roman" w:hAnsi="Arial" w:cs="Arial"/>
          <w:color w:val="2E74B5" w:themeColor="accent1" w:themeShade="BF"/>
          <w:sz w:val="24"/>
          <w:szCs w:val="24"/>
          <w:lang w:eastAsia="es-MX"/>
        </w:rPr>
      </w:pPr>
    </w:p>
    <w:p w:rsidR="005E2350" w:rsidRDefault="005E2350" w:rsidP="009C0F89">
      <w:pPr>
        <w:spacing w:after="0" w:line="276" w:lineRule="auto"/>
        <w:jc w:val="both"/>
        <w:rPr>
          <w:rFonts w:ascii="Arial" w:eastAsia="Times New Roman" w:hAnsi="Arial" w:cs="Arial"/>
          <w:color w:val="2E74B5" w:themeColor="accent1" w:themeShade="BF"/>
          <w:sz w:val="24"/>
          <w:szCs w:val="24"/>
          <w:lang w:eastAsia="es-MX"/>
        </w:rPr>
      </w:pPr>
      <w:r w:rsidRPr="006453C1">
        <w:rPr>
          <w:rFonts w:ascii="Arial" w:eastAsia="Times New Roman" w:hAnsi="Arial" w:cs="Arial"/>
          <w:color w:val="2E74B5" w:themeColor="accent1" w:themeShade="BF"/>
          <w:sz w:val="24"/>
          <w:szCs w:val="24"/>
          <w:lang w:eastAsia="es-MX"/>
        </w:rPr>
        <w:tab/>
        <w:t>Respecto de la parte recurrente, esta Comisión advirtió que no compareció a realizar las manifestaciones que a su derecho conviniera - ofrecer pruebas y alegar.</w:t>
      </w:r>
    </w:p>
    <w:p w:rsidR="002059F8" w:rsidRPr="006453C1" w:rsidRDefault="002059F8" w:rsidP="009C0F89">
      <w:pPr>
        <w:spacing w:after="0" w:line="276" w:lineRule="auto"/>
        <w:jc w:val="both"/>
        <w:rPr>
          <w:rFonts w:ascii="Arial" w:eastAsia="Times New Roman" w:hAnsi="Arial" w:cs="Arial"/>
          <w:color w:val="2E74B5" w:themeColor="accent1" w:themeShade="BF"/>
          <w:sz w:val="24"/>
          <w:szCs w:val="24"/>
          <w:lang w:eastAsia="es-MX"/>
        </w:rPr>
      </w:pPr>
    </w:p>
    <w:p w:rsidR="005E2350" w:rsidRPr="002059F8" w:rsidRDefault="002059F8" w:rsidP="002059F8">
      <w:pPr>
        <w:spacing w:after="0" w:line="276" w:lineRule="auto"/>
        <w:ind w:firstLine="708"/>
        <w:jc w:val="both"/>
        <w:rPr>
          <w:rFonts w:ascii="Arial" w:hAnsi="Arial" w:cs="Arial"/>
          <w:color w:val="2E74B5" w:themeColor="accent1" w:themeShade="BF"/>
          <w:sz w:val="24"/>
          <w:szCs w:val="24"/>
        </w:rPr>
      </w:pPr>
      <w:r w:rsidRPr="002059F8">
        <w:rPr>
          <w:rFonts w:ascii="Arial" w:hAnsi="Arial" w:cs="Arial"/>
          <w:b/>
          <w:color w:val="2E74B5" w:themeColor="accent1" w:themeShade="BF"/>
          <w:sz w:val="24"/>
          <w:szCs w:val="24"/>
        </w:rPr>
        <w:t>SÉPTIMO</w:t>
      </w:r>
      <w:r w:rsidRPr="002059F8">
        <w:rPr>
          <w:rFonts w:ascii="Arial" w:hAnsi="Arial" w:cs="Arial"/>
          <w:color w:val="2E74B5" w:themeColor="accent1" w:themeShade="BF"/>
          <w:sz w:val="24"/>
          <w:szCs w:val="24"/>
        </w:rPr>
        <w:t>. Ampliación del plazo para resolver. Por auto de 12 doce de junio de 2018 dos mil dieciocho, la ponente decretó la ampliación del plazo para resolver el presente asunto, ello de conformidad con el Lineamiento Décimo Noveno de los Lineamientos para la Recepción, Sustanciación, Resolución y Cumplimiento de los Recursos de Revisión promovidos ante la CEGAIP, emitidos en la Sesión de Pleno Ordinaria de Consejo celebrada el 07 siete de noviembre de 2017 dos mil diecisiete, y publicados en el Periódico Oficial del Gobierno del Estado el 15 de febrero de 2018 dos mil dieciocho.</w:t>
      </w:r>
    </w:p>
    <w:p w:rsidR="002059F8" w:rsidRPr="006453C1" w:rsidRDefault="002059F8" w:rsidP="009C0F89">
      <w:pPr>
        <w:spacing w:after="0" w:line="276" w:lineRule="auto"/>
        <w:jc w:val="both"/>
        <w:rPr>
          <w:rFonts w:ascii="Arial" w:eastAsia="Times New Roman" w:hAnsi="Arial" w:cs="Arial"/>
          <w:color w:val="2E74B5" w:themeColor="accent1" w:themeShade="BF"/>
          <w:sz w:val="24"/>
          <w:szCs w:val="24"/>
          <w:lang w:eastAsia="es-MX"/>
        </w:rPr>
      </w:pPr>
    </w:p>
    <w:p w:rsidR="005E2350" w:rsidRPr="006453C1" w:rsidRDefault="005E2350" w:rsidP="009C0F89">
      <w:pPr>
        <w:pStyle w:val="corte4fondo"/>
        <w:spacing w:line="276" w:lineRule="auto"/>
        <w:rPr>
          <w:rFonts w:cs="Arial"/>
          <w:color w:val="2E74B5" w:themeColor="accent1" w:themeShade="BF"/>
          <w:sz w:val="24"/>
          <w:szCs w:val="24"/>
        </w:rPr>
      </w:pPr>
      <w:r w:rsidRPr="002059F8">
        <w:rPr>
          <w:rFonts w:cs="Arial"/>
          <w:color w:val="2E74B5" w:themeColor="accent1" w:themeShade="BF"/>
          <w:sz w:val="24"/>
          <w:szCs w:val="24"/>
        </w:rPr>
        <w:t>Para concluir, la ponente declaró cerrado el periodo de instrucción y procedió a elaborar el proyecto de resolución respectivo.</w:t>
      </w:r>
    </w:p>
    <w:p w:rsidR="0010262D" w:rsidRPr="00CA76E0" w:rsidRDefault="0010262D" w:rsidP="009C0F89">
      <w:pPr>
        <w:pStyle w:val="corte4fondo"/>
        <w:tabs>
          <w:tab w:val="left" w:pos="0"/>
        </w:tabs>
        <w:spacing w:line="276" w:lineRule="auto"/>
        <w:ind w:firstLine="0"/>
        <w:rPr>
          <w:rFonts w:cs="Arial"/>
          <w:color w:val="2E74B5" w:themeColor="accent1" w:themeShade="BF"/>
          <w:sz w:val="24"/>
          <w:szCs w:val="24"/>
        </w:rPr>
      </w:pPr>
      <w:r w:rsidRPr="00CA76E0">
        <w:rPr>
          <w:rFonts w:cs="Arial"/>
          <w:color w:val="2E74B5" w:themeColor="accent1" w:themeShade="BF"/>
          <w:sz w:val="24"/>
          <w:szCs w:val="24"/>
        </w:rPr>
        <w:tab/>
      </w:r>
    </w:p>
    <w:p w:rsidR="0010262D" w:rsidRPr="00CA76E0" w:rsidRDefault="0010262D" w:rsidP="009C0F89">
      <w:pPr>
        <w:spacing w:after="0" w:line="276" w:lineRule="auto"/>
        <w:ind w:firstLine="709"/>
        <w:jc w:val="center"/>
        <w:rPr>
          <w:rFonts w:ascii="Arial" w:eastAsia="Times New Roman" w:hAnsi="Arial" w:cs="Arial"/>
          <w:b/>
          <w:color w:val="2E74B5" w:themeColor="accent1" w:themeShade="BF"/>
          <w:sz w:val="24"/>
          <w:szCs w:val="24"/>
          <w:lang w:eastAsia="es-MX"/>
        </w:rPr>
      </w:pPr>
      <w:r w:rsidRPr="00CA76E0">
        <w:rPr>
          <w:rFonts w:ascii="Arial" w:eastAsia="Times New Roman" w:hAnsi="Arial" w:cs="Arial"/>
          <w:b/>
          <w:color w:val="2E74B5" w:themeColor="accent1" w:themeShade="BF"/>
          <w:sz w:val="24"/>
          <w:szCs w:val="24"/>
          <w:lang w:eastAsia="es-MX"/>
        </w:rPr>
        <w:t>CONSIDERANDO</w:t>
      </w:r>
    </w:p>
    <w:p w:rsidR="0010262D" w:rsidRPr="00CA76E0" w:rsidRDefault="0010262D" w:rsidP="009C0F89">
      <w:pPr>
        <w:spacing w:after="0" w:line="276" w:lineRule="auto"/>
        <w:ind w:firstLine="709"/>
        <w:jc w:val="center"/>
        <w:rPr>
          <w:rFonts w:ascii="Arial" w:eastAsia="Times New Roman" w:hAnsi="Arial" w:cs="Arial"/>
          <w:b/>
          <w:color w:val="2E74B5" w:themeColor="accent1" w:themeShade="BF"/>
          <w:sz w:val="24"/>
          <w:szCs w:val="24"/>
          <w:lang w:eastAsia="es-MX"/>
        </w:rPr>
      </w:pPr>
    </w:p>
    <w:p w:rsidR="0010262D" w:rsidRPr="00CA76E0" w:rsidRDefault="0010262D" w:rsidP="009C0F89">
      <w:pPr>
        <w:spacing w:after="0" w:line="276" w:lineRule="auto"/>
        <w:ind w:firstLine="709"/>
        <w:jc w:val="both"/>
        <w:rPr>
          <w:rFonts w:ascii="Arial" w:eastAsia="Times New Roman" w:hAnsi="Arial" w:cs="Arial"/>
          <w:color w:val="2E74B5" w:themeColor="accent1" w:themeShade="BF"/>
          <w:sz w:val="24"/>
          <w:szCs w:val="24"/>
          <w:lang w:eastAsia="es-MX"/>
        </w:rPr>
      </w:pPr>
      <w:r w:rsidRPr="00CA76E0">
        <w:rPr>
          <w:rFonts w:ascii="Arial" w:eastAsia="Times New Roman" w:hAnsi="Arial" w:cs="Arial"/>
          <w:b/>
          <w:color w:val="2E74B5" w:themeColor="accent1" w:themeShade="BF"/>
          <w:sz w:val="24"/>
          <w:szCs w:val="24"/>
          <w:lang w:eastAsia="es-MX"/>
        </w:rPr>
        <w:t xml:space="preserve">PRIMERO. Competencia. </w:t>
      </w:r>
      <w:r w:rsidRPr="00CA76E0">
        <w:rPr>
          <w:rFonts w:ascii="Arial" w:eastAsia="Times New Roman" w:hAnsi="Arial" w:cs="Arial"/>
          <w:color w:val="2E74B5" w:themeColor="accent1" w:themeShade="BF"/>
          <w:sz w:val="24"/>
          <w:szCs w:val="24"/>
          <w:lang w:eastAsia="es-MX"/>
        </w:rPr>
        <w:t xml:space="preserve">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10262D" w:rsidRPr="00CA76E0" w:rsidRDefault="0010262D" w:rsidP="009C0F89">
      <w:pPr>
        <w:spacing w:after="0" w:line="276" w:lineRule="auto"/>
        <w:ind w:firstLine="709"/>
        <w:jc w:val="both"/>
        <w:rPr>
          <w:rFonts w:ascii="Arial" w:eastAsia="Times New Roman" w:hAnsi="Arial" w:cs="Arial"/>
          <w:color w:val="2E74B5" w:themeColor="accent1" w:themeShade="BF"/>
          <w:sz w:val="24"/>
          <w:szCs w:val="24"/>
          <w:lang w:eastAsia="es-MX"/>
        </w:rPr>
      </w:pPr>
    </w:p>
    <w:p w:rsidR="0010262D" w:rsidRPr="00CA76E0" w:rsidRDefault="0010262D" w:rsidP="009C0F89">
      <w:pPr>
        <w:spacing w:after="0" w:line="276" w:lineRule="auto"/>
        <w:ind w:firstLine="709"/>
        <w:jc w:val="both"/>
        <w:rPr>
          <w:rFonts w:ascii="Arial" w:eastAsia="Times New Roman" w:hAnsi="Arial" w:cs="Arial"/>
          <w:color w:val="2E74B5" w:themeColor="accent1" w:themeShade="BF"/>
          <w:sz w:val="24"/>
          <w:szCs w:val="24"/>
          <w:lang w:eastAsia="es-MX"/>
        </w:rPr>
      </w:pPr>
      <w:r w:rsidRPr="00CA76E0">
        <w:rPr>
          <w:rFonts w:ascii="Arial" w:eastAsia="Times New Roman" w:hAnsi="Arial" w:cs="Arial"/>
          <w:b/>
          <w:color w:val="2E74B5" w:themeColor="accent1" w:themeShade="BF"/>
          <w:sz w:val="24"/>
          <w:szCs w:val="24"/>
          <w:lang w:eastAsia="es-MX"/>
        </w:rPr>
        <w:t xml:space="preserve">SEGUNDO. Procedencia. </w:t>
      </w:r>
      <w:r w:rsidRPr="00CA76E0">
        <w:rPr>
          <w:rFonts w:ascii="Arial" w:eastAsia="Times New Roman" w:hAnsi="Arial" w:cs="Arial"/>
          <w:color w:val="2E74B5" w:themeColor="accent1" w:themeShade="BF"/>
          <w:sz w:val="24"/>
          <w:szCs w:val="24"/>
          <w:lang w:eastAsia="es-MX"/>
        </w:rPr>
        <w:t xml:space="preserve">El presente recurso de revisión es procedente en términos del artículo 166 de la Ley de Transparencia y Acceso a la Información Pública del Estado ya que el recurrente se inconforma por la respuesta a su solicitud de acceso a la información pública por parte del sujeto obligado. </w:t>
      </w:r>
    </w:p>
    <w:p w:rsidR="0010262D" w:rsidRPr="00CA76E0" w:rsidRDefault="0010262D" w:rsidP="009C0F89">
      <w:pPr>
        <w:spacing w:after="0" w:line="276" w:lineRule="auto"/>
        <w:ind w:firstLine="709"/>
        <w:jc w:val="both"/>
        <w:rPr>
          <w:rFonts w:ascii="Arial" w:eastAsia="Times New Roman" w:hAnsi="Arial" w:cs="Arial"/>
          <w:color w:val="2E74B5" w:themeColor="accent1" w:themeShade="BF"/>
          <w:sz w:val="24"/>
          <w:szCs w:val="24"/>
          <w:lang w:eastAsia="es-MX"/>
        </w:rPr>
      </w:pPr>
    </w:p>
    <w:p w:rsidR="0010262D" w:rsidRPr="00CA76E0" w:rsidRDefault="0010262D" w:rsidP="009C0F89">
      <w:pPr>
        <w:spacing w:after="0" w:line="276" w:lineRule="auto"/>
        <w:ind w:firstLine="709"/>
        <w:jc w:val="both"/>
        <w:rPr>
          <w:rFonts w:ascii="Arial" w:eastAsia="Times New Roman" w:hAnsi="Arial" w:cs="Arial"/>
          <w:color w:val="2E74B5" w:themeColor="accent1" w:themeShade="BF"/>
          <w:sz w:val="24"/>
          <w:szCs w:val="24"/>
          <w:lang w:eastAsia="es-MX"/>
        </w:rPr>
      </w:pPr>
      <w:r w:rsidRPr="00CA76E0">
        <w:rPr>
          <w:rFonts w:ascii="Arial" w:eastAsia="Times New Roman" w:hAnsi="Arial" w:cs="Arial"/>
          <w:b/>
          <w:color w:val="2E74B5" w:themeColor="accent1" w:themeShade="BF"/>
          <w:sz w:val="24"/>
          <w:szCs w:val="24"/>
          <w:lang w:eastAsia="es-MX"/>
        </w:rPr>
        <w:t xml:space="preserve">TERCERO. Legitimación. </w:t>
      </w:r>
      <w:r w:rsidRPr="00CA76E0">
        <w:rPr>
          <w:rFonts w:ascii="Arial" w:eastAsia="Times New Roman" w:hAnsi="Arial" w:cs="Arial"/>
          <w:color w:val="2E74B5" w:themeColor="accent1" w:themeShade="BF"/>
          <w:sz w:val="24"/>
          <w:szCs w:val="24"/>
          <w:lang w:eastAsia="es-MX"/>
        </w:rPr>
        <w:t>El recurrente se encuentra legitimado para interponer el recurso de revisión, ya que fue él quien presentó la solicitud de acceso a la información pública y la respuesta a ésta es precisamente a aquél quien le pudiera deparar perjuicio.</w:t>
      </w:r>
    </w:p>
    <w:p w:rsidR="0010262D" w:rsidRPr="00CA76E0" w:rsidRDefault="0010262D" w:rsidP="009C0F89">
      <w:pPr>
        <w:spacing w:after="0" w:line="276" w:lineRule="auto"/>
        <w:ind w:firstLine="709"/>
        <w:jc w:val="both"/>
        <w:rPr>
          <w:rFonts w:ascii="Arial" w:eastAsia="Times New Roman" w:hAnsi="Arial" w:cs="Arial"/>
          <w:color w:val="2E74B5" w:themeColor="accent1" w:themeShade="BF"/>
          <w:sz w:val="24"/>
          <w:szCs w:val="24"/>
          <w:lang w:eastAsia="es-MX"/>
        </w:rPr>
      </w:pPr>
    </w:p>
    <w:p w:rsidR="0010262D" w:rsidRPr="00CA76E0" w:rsidRDefault="0010262D" w:rsidP="009C0F89">
      <w:pPr>
        <w:spacing w:after="0" w:line="276" w:lineRule="auto"/>
        <w:ind w:firstLine="709"/>
        <w:jc w:val="both"/>
        <w:rPr>
          <w:rFonts w:ascii="Arial" w:eastAsia="Times New Roman" w:hAnsi="Arial" w:cs="Arial"/>
          <w:color w:val="2E74B5" w:themeColor="accent1" w:themeShade="BF"/>
          <w:sz w:val="24"/>
          <w:szCs w:val="24"/>
          <w:lang w:eastAsia="es-MX"/>
        </w:rPr>
      </w:pPr>
      <w:r w:rsidRPr="00CA76E0">
        <w:rPr>
          <w:rFonts w:ascii="Arial" w:eastAsia="Times New Roman" w:hAnsi="Arial" w:cs="Arial"/>
          <w:b/>
          <w:color w:val="2E74B5" w:themeColor="accent1" w:themeShade="BF"/>
          <w:sz w:val="24"/>
          <w:szCs w:val="24"/>
          <w:lang w:eastAsia="es-MX"/>
        </w:rPr>
        <w:t>CUARTO. Oportunidad del recurso</w:t>
      </w:r>
      <w:r w:rsidRPr="00CA76E0">
        <w:rPr>
          <w:rFonts w:ascii="Arial" w:eastAsia="Times New Roman" w:hAnsi="Arial" w:cs="Arial"/>
          <w:color w:val="2E74B5" w:themeColor="accent1" w:themeShade="BF"/>
          <w:sz w:val="24"/>
          <w:szCs w:val="24"/>
          <w:lang w:eastAsia="es-MX"/>
        </w:rPr>
        <w:t>.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10262D" w:rsidRPr="00CA76E0" w:rsidRDefault="0010262D" w:rsidP="009C0F89">
      <w:pPr>
        <w:spacing w:after="0" w:line="276" w:lineRule="auto"/>
        <w:ind w:firstLine="709"/>
        <w:jc w:val="both"/>
        <w:rPr>
          <w:rFonts w:ascii="Arial" w:eastAsia="Times New Roman" w:hAnsi="Arial" w:cs="Arial"/>
          <w:color w:val="2E74B5" w:themeColor="accent1" w:themeShade="BF"/>
          <w:sz w:val="24"/>
          <w:szCs w:val="24"/>
          <w:lang w:eastAsia="es-MX"/>
        </w:rPr>
      </w:pPr>
    </w:p>
    <w:p w:rsidR="0010262D" w:rsidRPr="00CA76E0" w:rsidRDefault="0010262D" w:rsidP="009C0F89">
      <w:pPr>
        <w:numPr>
          <w:ilvl w:val="0"/>
          <w:numId w:val="3"/>
        </w:numPr>
        <w:spacing w:after="0" w:line="276" w:lineRule="auto"/>
        <w:jc w:val="both"/>
        <w:rPr>
          <w:rFonts w:ascii="Arial" w:eastAsia="Times New Roman" w:hAnsi="Arial" w:cs="Arial"/>
          <w:color w:val="2E74B5" w:themeColor="accent1" w:themeShade="BF"/>
          <w:sz w:val="24"/>
          <w:szCs w:val="24"/>
          <w:lang w:eastAsia="es-MX"/>
        </w:rPr>
      </w:pPr>
      <w:r w:rsidRPr="00CA76E0">
        <w:rPr>
          <w:rFonts w:ascii="Arial" w:eastAsia="Times New Roman" w:hAnsi="Arial" w:cs="Arial"/>
          <w:color w:val="2E74B5" w:themeColor="accent1" w:themeShade="BF"/>
          <w:sz w:val="24"/>
          <w:szCs w:val="24"/>
          <w:lang w:eastAsia="es-MX"/>
        </w:rPr>
        <w:t xml:space="preserve">El </w:t>
      </w:r>
      <w:r w:rsidR="00C1126D" w:rsidRPr="00CA76E0">
        <w:rPr>
          <w:rFonts w:ascii="Arial" w:eastAsia="Times New Roman" w:hAnsi="Arial" w:cs="Arial"/>
          <w:color w:val="2E74B5" w:themeColor="accent1" w:themeShade="BF"/>
          <w:sz w:val="24"/>
          <w:szCs w:val="24"/>
          <w:lang w:eastAsia="es-MX"/>
        </w:rPr>
        <w:t xml:space="preserve">20 veinte de abril </w:t>
      </w:r>
      <w:r w:rsidRPr="00CA76E0">
        <w:rPr>
          <w:rFonts w:ascii="Arial" w:eastAsia="Times New Roman" w:hAnsi="Arial" w:cs="Arial"/>
          <w:color w:val="2E74B5" w:themeColor="accent1" w:themeShade="BF"/>
          <w:sz w:val="24"/>
          <w:szCs w:val="24"/>
          <w:lang w:eastAsia="es-MX"/>
        </w:rPr>
        <w:t>de 2018 dos mil dieciocho el solicitante de la información fue notificado de la respuesta a su solicitud.</w:t>
      </w:r>
    </w:p>
    <w:p w:rsidR="0010262D" w:rsidRPr="00CA76E0" w:rsidRDefault="0010262D" w:rsidP="009C0F89">
      <w:pPr>
        <w:numPr>
          <w:ilvl w:val="0"/>
          <w:numId w:val="3"/>
        </w:numPr>
        <w:spacing w:after="0" w:line="276" w:lineRule="auto"/>
        <w:jc w:val="both"/>
        <w:rPr>
          <w:rFonts w:ascii="Arial" w:eastAsia="Times New Roman" w:hAnsi="Arial" w:cs="Arial"/>
          <w:color w:val="2E74B5" w:themeColor="accent1" w:themeShade="BF"/>
          <w:sz w:val="24"/>
          <w:szCs w:val="24"/>
          <w:lang w:eastAsia="es-MX"/>
        </w:rPr>
      </w:pPr>
      <w:r w:rsidRPr="00CA76E0">
        <w:rPr>
          <w:rFonts w:ascii="Arial" w:eastAsia="Times New Roman" w:hAnsi="Arial" w:cs="Arial"/>
          <w:color w:val="2E74B5" w:themeColor="accent1" w:themeShade="BF"/>
          <w:sz w:val="24"/>
          <w:szCs w:val="24"/>
          <w:lang w:eastAsia="es-MX"/>
        </w:rPr>
        <w:t xml:space="preserve">Por lo tanto, el plazo de los quince días hábiles para interponer el recurso de revisión transcurrió del día </w:t>
      </w:r>
      <w:r w:rsidR="00C1126D" w:rsidRPr="00CA76E0">
        <w:rPr>
          <w:rFonts w:ascii="Arial" w:eastAsia="Times New Roman" w:hAnsi="Arial" w:cs="Arial"/>
          <w:color w:val="2E74B5" w:themeColor="accent1" w:themeShade="BF"/>
          <w:sz w:val="24"/>
          <w:szCs w:val="24"/>
          <w:lang w:eastAsia="es-MX"/>
        </w:rPr>
        <w:t xml:space="preserve">23 veintitrés de abril </w:t>
      </w:r>
      <w:r w:rsidRPr="00CA76E0">
        <w:rPr>
          <w:rFonts w:ascii="Arial" w:eastAsia="Times New Roman" w:hAnsi="Arial" w:cs="Arial"/>
          <w:color w:val="2E74B5" w:themeColor="accent1" w:themeShade="BF"/>
          <w:sz w:val="24"/>
          <w:szCs w:val="24"/>
          <w:lang w:eastAsia="es-MX"/>
        </w:rPr>
        <w:t>al</w:t>
      </w:r>
      <w:r w:rsidR="00C1126D" w:rsidRPr="00CA76E0">
        <w:rPr>
          <w:rFonts w:ascii="Arial" w:eastAsia="Times New Roman" w:hAnsi="Arial" w:cs="Arial"/>
          <w:color w:val="2E74B5" w:themeColor="accent1" w:themeShade="BF"/>
          <w:sz w:val="24"/>
          <w:szCs w:val="24"/>
          <w:lang w:eastAsia="es-MX"/>
        </w:rPr>
        <w:t xml:space="preserve"> 15 quince de mayo </w:t>
      </w:r>
      <w:r w:rsidRPr="00CA76E0">
        <w:rPr>
          <w:rFonts w:ascii="Arial" w:eastAsia="Times New Roman" w:hAnsi="Arial" w:cs="Arial"/>
          <w:color w:val="2E74B5" w:themeColor="accent1" w:themeShade="BF"/>
          <w:sz w:val="24"/>
          <w:szCs w:val="24"/>
          <w:lang w:eastAsia="es-MX"/>
        </w:rPr>
        <w:t xml:space="preserve">del año en curso. </w:t>
      </w:r>
    </w:p>
    <w:p w:rsidR="0010262D" w:rsidRPr="00CA76E0" w:rsidRDefault="0010262D" w:rsidP="009C0F89">
      <w:pPr>
        <w:numPr>
          <w:ilvl w:val="0"/>
          <w:numId w:val="3"/>
        </w:numPr>
        <w:spacing w:after="0" w:line="276" w:lineRule="auto"/>
        <w:jc w:val="both"/>
        <w:rPr>
          <w:rFonts w:ascii="Arial" w:eastAsia="Times New Roman" w:hAnsi="Arial" w:cs="Arial"/>
          <w:color w:val="2E74B5" w:themeColor="accent1" w:themeShade="BF"/>
          <w:sz w:val="24"/>
          <w:szCs w:val="24"/>
          <w:lang w:eastAsia="es-MX"/>
        </w:rPr>
      </w:pPr>
      <w:r w:rsidRPr="00CA76E0">
        <w:rPr>
          <w:rFonts w:ascii="Arial" w:eastAsia="Times New Roman" w:hAnsi="Arial" w:cs="Arial"/>
          <w:color w:val="2E74B5" w:themeColor="accent1" w:themeShade="BF"/>
          <w:sz w:val="24"/>
          <w:szCs w:val="24"/>
          <w:lang w:eastAsia="es-MX"/>
        </w:rPr>
        <w:t xml:space="preserve">Se deben de descontar de dicho cómputo por ser inhábiles los días </w:t>
      </w:r>
      <w:r w:rsidR="00C1126D" w:rsidRPr="00CA76E0">
        <w:rPr>
          <w:rFonts w:ascii="Arial" w:eastAsia="Times New Roman" w:hAnsi="Arial" w:cs="Arial"/>
          <w:color w:val="2E74B5" w:themeColor="accent1" w:themeShade="BF"/>
          <w:sz w:val="24"/>
          <w:szCs w:val="24"/>
          <w:lang w:eastAsia="es-MX"/>
        </w:rPr>
        <w:t xml:space="preserve">28 veintiocho, 29 veintinueve </w:t>
      </w:r>
      <w:r w:rsidRPr="00CA76E0">
        <w:rPr>
          <w:rFonts w:ascii="Arial" w:eastAsia="Times New Roman" w:hAnsi="Arial" w:cs="Arial"/>
          <w:color w:val="2E74B5" w:themeColor="accent1" w:themeShade="BF"/>
          <w:sz w:val="24"/>
          <w:szCs w:val="24"/>
          <w:lang w:eastAsia="es-MX"/>
        </w:rPr>
        <w:t>de abril</w:t>
      </w:r>
      <w:r w:rsidR="00C1126D" w:rsidRPr="00CA76E0">
        <w:rPr>
          <w:rFonts w:ascii="Arial" w:eastAsia="Times New Roman" w:hAnsi="Arial" w:cs="Arial"/>
          <w:color w:val="2E74B5" w:themeColor="accent1" w:themeShade="BF"/>
          <w:sz w:val="24"/>
          <w:szCs w:val="24"/>
          <w:lang w:eastAsia="es-MX"/>
        </w:rPr>
        <w:t>, 01 uno, 05 cinco, 06 seis, 10 diez, 12 doce y 13 trece de mayo</w:t>
      </w:r>
      <w:r w:rsidRPr="00CA76E0">
        <w:rPr>
          <w:rFonts w:ascii="Arial" w:eastAsia="Times New Roman" w:hAnsi="Arial" w:cs="Arial"/>
          <w:color w:val="2E74B5" w:themeColor="accent1" w:themeShade="BF"/>
          <w:sz w:val="24"/>
          <w:szCs w:val="24"/>
          <w:lang w:eastAsia="es-MX"/>
        </w:rPr>
        <w:t xml:space="preserve">.  </w:t>
      </w:r>
    </w:p>
    <w:p w:rsidR="0010262D" w:rsidRPr="00CA76E0" w:rsidRDefault="0010262D" w:rsidP="009C0F89">
      <w:pPr>
        <w:numPr>
          <w:ilvl w:val="0"/>
          <w:numId w:val="3"/>
        </w:numPr>
        <w:spacing w:after="0" w:line="276" w:lineRule="auto"/>
        <w:jc w:val="both"/>
        <w:rPr>
          <w:rFonts w:ascii="Arial" w:eastAsia="Times New Roman" w:hAnsi="Arial" w:cs="Arial"/>
          <w:color w:val="2E74B5" w:themeColor="accent1" w:themeShade="BF"/>
          <w:sz w:val="24"/>
          <w:szCs w:val="24"/>
          <w:lang w:eastAsia="es-MX"/>
        </w:rPr>
      </w:pPr>
      <w:r w:rsidRPr="00CA76E0">
        <w:rPr>
          <w:rFonts w:ascii="Arial" w:eastAsia="Times New Roman" w:hAnsi="Arial" w:cs="Arial"/>
          <w:color w:val="2E74B5" w:themeColor="accent1" w:themeShade="BF"/>
          <w:sz w:val="24"/>
          <w:szCs w:val="24"/>
          <w:lang w:eastAsia="es-MX"/>
        </w:rPr>
        <w:lastRenderedPageBreak/>
        <w:t xml:space="preserve">Consecuentemente si el </w:t>
      </w:r>
      <w:r w:rsidR="00027AAF" w:rsidRPr="00CA76E0">
        <w:rPr>
          <w:rFonts w:ascii="Arial" w:eastAsia="Times New Roman" w:hAnsi="Arial" w:cs="Arial"/>
          <w:color w:val="2E74B5" w:themeColor="accent1" w:themeShade="BF"/>
          <w:sz w:val="24"/>
          <w:szCs w:val="24"/>
          <w:lang w:eastAsia="es-MX"/>
        </w:rPr>
        <w:t xml:space="preserve">26 veintiséis </w:t>
      </w:r>
      <w:r w:rsidRPr="00CA76E0">
        <w:rPr>
          <w:rFonts w:ascii="Arial" w:eastAsia="Times New Roman" w:hAnsi="Arial" w:cs="Arial"/>
          <w:color w:val="2E74B5" w:themeColor="accent1" w:themeShade="BF"/>
          <w:sz w:val="24"/>
          <w:szCs w:val="24"/>
          <w:lang w:eastAsia="es-MX"/>
        </w:rPr>
        <w:t xml:space="preserve">de abril de este año el recurrente interpuso el citado medio de impugnación ante esta Comisión de Transparencia, resulta claro que es oportuna su presentación.  </w:t>
      </w:r>
    </w:p>
    <w:p w:rsidR="0010262D" w:rsidRPr="00CA76E0" w:rsidRDefault="0010262D" w:rsidP="009C0F89">
      <w:pPr>
        <w:pStyle w:val="corte4fondo"/>
        <w:spacing w:line="276" w:lineRule="auto"/>
        <w:rPr>
          <w:rFonts w:cs="Arial"/>
          <w:color w:val="2E74B5" w:themeColor="accent1" w:themeShade="BF"/>
          <w:sz w:val="24"/>
          <w:szCs w:val="24"/>
        </w:rPr>
      </w:pPr>
    </w:p>
    <w:p w:rsidR="00220CAC" w:rsidRDefault="001321C7" w:rsidP="001321C7">
      <w:pPr>
        <w:pStyle w:val="corte4fondo"/>
        <w:spacing w:line="276" w:lineRule="auto"/>
        <w:ind w:firstLine="708"/>
        <w:rPr>
          <w:rFonts w:cs="Arial"/>
          <w:color w:val="2E74B5" w:themeColor="accent1" w:themeShade="BF"/>
          <w:sz w:val="24"/>
          <w:szCs w:val="24"/>
        </w:rPr>
      </w:pPr>
      <w:r>
        <w:rPr>
          <w:rFonts w:cs="Arial"/>
          <w:b/>
          <w:color w:val="2E74B5" w:themeColor="accent1" w:themeShade="BF"/>
          <w:sz w:val="24"/>
          <w:szCs w:val="24"/>
        </w:rPr>
        <w:t xml:space="preserve">QUINTO. </w:t>
      </w:r>
      <w:r w:rsidR="00220CAC" w:rsidRPr="006453C1">
        <w:rPr>
          <w:rFonts w:cs="Arial"/>
          <w:b/>
          <w:color w:val="2E74B5" w:themeColor="accent1" w:themeShade="BF"/>
          <w:sz w:val="24"/>
          <w:szCs w:val="24"/>
        </w:rPr>
        <w:t>Certeza del acto reclamado</w:t>
      </w:r>
      <w:r w:rsidR="00220CAC" w:rsidRPr="006453C1">
        <w:rPr>
          <w:rFonts w:cs="Arial"/>
          <w:color w:val="2E74B5" w:themeColor="accent1" w:themeShade="BF"/>
          <w:sz w:val="24"/>
          <w:szCs w:val="24"/>
        </w:rPr>
        <w:t xml:space="preserve">. Son ciertos los actos reclamados atribuidos al sujeto obligado en virtud de que el </w:t>
      </w:r>
      <w:r w:rsidR="00220CAC" w:rsidRPr="006453C1">
        <w:rPr>
          <w:rFonts w:cs="Arial"/>
          <w:b/>
          <w:color w:val="2E74B5" w:themeColor="accent1" w:themeShade="BF"/>
          <w:sz w:val="24"/>
          <w:szCs w:val="24"/>
        </w:rPr>
        <w:t xml:space="preserve">JEFE DE LA UNIDAD DE TRANSPARENCIA </w:t>
      </w:r>
      <w:r w:rsidR="00220CAC" w:rsidRPr="006453C1">
        <w:rPr>
          <w:rFonts w:cs="Arial"/>
          <w:color w:val="2E74B5" w:themeColor="accent1" w:themeShade="BF"/>
          <w:sz w:val="24"/>
          <w:szCs w:val="24"/>
        </w:rPr>
        <w:t>así lo reconoció en su informe.</w:t>
      </w:r>
    </w:p>
    <w:p w:rsidR="00220CAC" w:rsidRDefault="00220CAC" w:rsidP="009C0F89">
      <w:pPr>
        <w:pStyle w:val="corte4fondo"/>
        <w:spacing w:line="276" w:lineRule="auto"/>
        <w:ind w:firstLine="0"/>
        <w:rPr>
          <w:rFonts w:cs="Arial"/>
          <w:color w:val="2E74B5" w:themeColor="accent1" w:themeShade="BF"/>
          <w:sz w:val="24"/>
          <w:szCs w:val="24"/>
        </w:rPr>
      </w:pPr>
    </w:p>
    <w:p w:rsidR="0010262D" w:rsidRPr="00CA76E0" w:rsidRDefault="0010262D" w:rsidP="009C0F89">
      <w:pPr>
        <w:pStyle w:val="corte4fondo"/>
        <w:spacing w:line="276" w:lineRule="auto"/>
        <w:ind w:firstLine="0"/>
        <w:rPr>
          <w:rFonts w:cs="Arial"/>
          <w:color w:val="2E74B5" w:themeColor="accent1" w:themeShade="BF"/>
          <w:sz w:val="24"/>
          <w:szCs w:val="24"/>
        </w:rPr>
      </w:pPr>
      <w:r w:rsidRPr="00CA76E0">
        <w:rPr>
          <w:rFonts w:cs="Arial"/>
          <w:b/>
          <w:color w:val="2E74B5" w:themeColor="accent1" w:themeShade="BF"/>
          <w:sz w:val="24"/>
          <w:szCs w:val="24"/>
        </w:rPr>
        <w:tab/>
        <w:t>SEXTO</w:t>
      </w:r>
      <w:r w:rsidRPr="00CA76E0">
        <w:rPr>
          <w:rFonts w:cs="Arial"/>
          <w:color w:val="2E74B5" w:themeColor="accent1" w:themeShade="BF"/>
          <w:sz w:val="24"/>
          <w:szCs w:val="24"/>
        </w:rPr>
        <w:t xml:space="preserve">. </w:t>
      </w:r>
      <w:r w:rsidRPr="00CA76E0">
        <w:rPr>
          <w:rFonts w:cs="Arial"/>
          <w:b/>
          <w:color w:val="2E74B5" w:themeColor="accent1" w:themeShade="BF"/>
          <w:sz w:val="24"/>
          <w:szCs w:val="24"/>
        </w:rPr>
        <w:t xml:space="preserve">Causales de improcedencia. </w:t>
      </w:r>
      <w:r w:rsidRPr="00CA76E0">
        <w:rPr>
          <w:rFonts w:cs="Arial"/>
          <w:color w:val="2E74B5" w:themeColor="accent1" w:themeShade="BF"/>
          <w:sz w:val="24"/>
          <w:szCs w:val="24"/>
        </w:rPr>
        <w:t>Las causales de improcedencia previstas en el artículo 179 de la Ley de Transparencia son de estudio oficioso y preferente a cualquier otra cuestión planteada, por lo tanto, al no haber otra causal de improcedencia invocada por las partes o advertida por este Órgano Colegiado, se analiza el fondo de la cuestión planteada.</w:t>
      </w:r>
    </w:p>
    <w:p w:rsidR="00027AAF" w:rsidRPr="00CA76E0" w:rsidRDefault="00027AAF" w:rsidP="009C0F89">
      <w:pPr>
        <w:pStyle w:val="corte4fondo"/>
        <w:spacing w:line="276" w:lineRule="auto"/>
        <w:rPr>
          <w:rFonts w:cs="Arial"/>
          <w:b/>
          <w:color w:val="2E74B5" w:themeColor="accent1" w:themeShade="BF"/>
          <w:sz w:val="24"/>
          <w:szCs w:val="24"/>
        </w:rPr>
      </w:pPr>
    </w:p>
    <w:p w:rsidR="0010262D" w:rsidRPr="00CA76E0" w:rsidRDefault="00DB1E83" w:rsidP="009C0F89">
      <w:pPr>
        <w:pStyle w:val="corte4fondo"/>
        <w:spacing w:line="276" w:lineRule="auto"/>
        <w:rPr>
          <w:rFonts w:cs="Arial"/>
          <w:color w:val="2E74B5" w:themeColor="accent1" w:themeShade="BF"/>
          <w:sz w:val="24"/>
          <w:szCs w:val="24"/>
        </w:rPr>
      </w:pPr>
      <w:r w:rsidRPr="00CA76E0">
        <w:rPr>
          <w:rFonts w:cs="Arial"/>
          <w:b/>
          <w:color w:val="2E74B5" w:themeColor="accent1" w:themeShade="BF"/>
          <w:sz w:val="24"/>
          <w:szCs w:val="24"/>
        </w:rPr>
        <w:t>OCTAVO</w:t>
      </w:r>
      <w:r w:rsidR="00027AAF" w:rsidRPr="00CA76E0">
        <w:rPr>
          <w:rFonts w:cs="Arial"/>
          <w:b/>
          <w:color w:val="2E74B5" w:themeColor="accent1" w:themeShade="BF"/>
          <w:sz w:val="24"/>
          <w:szCs w:val="24"/>
        </w:rPr>
        <w:t>.</w:t>
      </w:r>
      <w:r w:rsidR="0010262D" w:rsidRPr="00CA76E0">
        <w:rPr>
          <w:rFonts w:cs="Arial"/>
          <w:b/>
          <w:color w:val="2E74B5" w:themeColor="accent1" w:themeShade="BF"/>
          <w:sz w:val="24"/>
          <w:szCs w:val="24"/>
        </w:rPr>
        <w:t xml:space="preserve"> Estudio de los agravios</w:t>
      </w:r>
      <w:r w:rsidR="0010262D" w:rsidRPr="00CA76E0">
        <w:rPr>
          <w:rFonts w:cs="Arial"/>
          <w:color w:val="2E74B5" w:themeColor="accent1" w:themeShade="BF"/>
          <w:sz w:val="24"/>
          <w:szCs w:val="24"/>
        </w:rPr>
        <w:t xml:space="preserve">.  </w:t>
      </w:r>
    </w:p>
    <w:p w:rsidR="0010262D" w:rsidRPr="00CA76E0" w:rsidRDefault="0010262D" w:rsidP="009C0F89">
      <w:pPr>
        <w:pStyle w:val="corte4fondo"/>
        <w:spacing w:line="276" w:lineRule="auto"/>
        <w:rPr>
          <w:rFonts w:cs="Arial"/>
          <w:color w:val="2E74B5" w:themeColor="accent1" w:themeShade="BF"/>
          <w:sz w:val="24"/>
          <w:szCs w:val="24"/>
        </w:rPr>
      </w:pPr>
    </w:p>
    <w:p w:rsidR="0010262D" w:rsidRPr="00CA76E0" w:rsidRDefault="0010262D" w:rsidP="009C0F89">
      <w:pPr>
        <w:pStyle w:val="corte4fondo"/>
        <w:spacing w:line="276" w:lineRule="auto"/>
        <w:ind w:firstLine="0"/>
        <w:rPr>
          <w:rFonts w:cs="Arial"/>
          <w:color w:val="2E74B5" w:themeColor="accent1" w:themeShade="BF"/>
          <w:sz w:val="24"/>
          <w:szCs w:val="24"/>
        </w:rPr>
      </w:pPr>
      <w:r w:rsidRPr="00CA76E0">
        <w:rPr>
          <w:rFonts w:cs="Arial"/>
          <w:color w:val="2E74B5" w:themeColor="accent1" w:themeShade="BF"/>
          <w:sz w:val="24"/>
          <w:szCs w:val="24"/>
        </w:rPr>
        <w:tab/>
      </w:r>
      <w:r w:rsidR="005631BF" w:rsidRPr="009C0F89">
        <w:rPr>
          <w:rFonts w:cs="Arial"/>
          <w:b/>
          <w:color w:val="2E74B5" w:themeColor="accent1" w:themeShade="BF"/>
          <w:sz w:val="24"/>
          <w:szCs w:val="24"/>
        </w:rPr>
        <w:t>8</w:t>
      </w:r>
      <w:r w:rsidRPr="009C0F89">
        <w:rPr>
          <w:rFonts w:cs="Arial"/>
          <w:b/>
          <w:color w:val="2E74B5" w:themeColor="accent1" w:themeShade="BF"/>
          <w:sz w:val="24"/>
          <w:szCs w:val="24"/>
        </w:rPr>
        <w:t>.</w:t>
      </w:r>
      <w:r w:rsidRPr="00CA76E0">
        <w:rPr>
          <w:rFonts w:cs="Arial"/>
          <w:b/>
          <w:color w:val="2E74B5" w:themeColor="accent1" w:themeShade="BF"/>
          <w:sz w:val="24"/>
          <w:szCs w:val="24"/>
        </w:rPr>
        <w:t>1. Agravios.</w:t>
      </w:r>
      <w:r w:rsidRPr="00CA76E0">
        <w:rPr>
          <w:rFonts w:cs="Arial"/>
          <w:color w:val="2E74B5" w:themeColor="accent1" w:themeShade="BF"/>
          <w:sz w:val="24"/>
          <w:szCs w:val="24"/>
        </w:rPr>
        <w:t xml:space="preserve"> El recurrente expresó como agravios:</w:t>
      </w:r>
    </w:p>
    <w:p w:rsidR="0010262D" w:rsidRPr="00CA76E0" w:rsidRDefault="0010262D" w:rsidP="009C0F89">
      <w:pPr>
        <w:pStyle w:val="corte4fondo"/>
        <w:spacing w:line="276" w:lineRule="auto"/>
        <w:rPr>
          <w:rFonts w:cs="Arial"/>
          <w:color w:val="2E74B5" w:themeColor="accent1" w:themeShade="BF"/>
          <w:sz w:val="24"/>
          <w:szCs w:val="24"/>
        </w:rPr>
      </w:pPr>
    </w:p>
    <w:p w:rsidR="0010262D" w:rsidRPr="00E53720" w:rsidRDefault="0010262D" w:rsidP="009C0F89">
      <w:pPr>
        <w:pStyle w:val="corte4fondo"/>
        <w:spacing w:line="276" w:lineRule="auto"/>
        <w:ind w:left="851"/>
        <w:rPr>
          <w:rFonts w:cs="Arial"/>
          <w:i/>
          <w:color w:val="2E74B5" w:themeColor="accent1" w:themeShade="BF"/>
          <w:sz w:val="20"/>
        </w:rPr>
      </w:pPr>
      <w:r w:rsidRPr="00E53720">
        <w:rPr>
          <w:rFonts w:cs="Arial"/>
          <w:i/>
          <w:color w:val="2E74B5" w:themeColor="accent1" w:themeShade="BF"/>
          <w:sz w:val="20"/>
        </w:rPr>
        <w:t>“…</w:t>
      </w:r>
      <w:r w:rsidR="00E53720" w:rsidRPr="00E53720">
        <w:rPr>
          <w:rFonts w:cs="Arial"/>
          <w:i/>
          <w:color w:val="2E74B5" w:themeColor="accent1" w:themeShade="BF"/>
          <w:sz w:val="20"/>
        </w:rPr>
        <w:t>EL ENTE OBLIGADO NO PROPORCIONA LA INFORMACIÓN EN LOS TÉRMINOS SOLICITADA</w:t>
      </w:r>
      <w:r w:rsidRPr="00E53720">
        <w:rPr>
          <w:rFonts w:cs="Arial"/>
          <w:i/>
          <w:color w:val="2E74B5" w:themeColor="accent1" w:themeShade="BF"/>
          <w:sz w:val="20"/>
        </w:rPr>
        <w:t>…</w:t>
      </w:r>
      <w:r w:rsidR="00027AAF" w:rsidRPr="00E53720">
        <w:rPr>
          <w:rFonts w:cs="Arial"/>
          <w:i/>
          <w:color w:val="2E74B5" w:themeColor="accent1" w:themeShade="BF"/>
          <w:sz w:val="20"/>
        </w:rPr>
        <w:t>”</w:t>
      </w:r>
    </w:p>
    <w:p w:rsidR="0010262D" w:rsidRPr="00E53720" w:rsidRDefault="0010262D" w:rsidP="009C0F89">
      <w:pPr>
        <w:pStyle w:val="corte4fondo"/>
        <w:spacing w:line="276" w:lineRule="auto"/>
        <w:ind w:left="851" w:firstLine="0"/>
        <w:rPr>
          <w:rFonts w:cs="Arial"/>
          <w:color w:val="2E74B5" w:themeColor="accent1" w:themeShade="BF"/>
          <w:sz w:val="24"/>
          <w:szCs w:val="24"/>
        </w:rPr>
      </w:pPr>
    </w:p>
    <w:p w:rsidR="005631BF" w:rsidRPr="00CA76E0" w:rsidRDefault="005631BF" w:rsidP="009C0F89">
      <w:pPr>
        <w:pStyle w:val="corte4fondo"/>
        <w:spacing w:line="276" w:lineRule="auto"/>
        <w:ind w:left="851" w:firstLine="0"/>
        <w:rPr>
          <w:rFonts w:cs="Arial"/>
          <w:color w:val="2E74B5" w:themeColor="accent1" w:themeShade="BF"/>
          <w:sz w:val="24"/>
          <w:szCs w:val="24"/>
        </w:rPr>
      </w:pPr>
      <w:r w:rsidRPr="00CA76E0">
        <w:rPr>
          <w:rFonts w:cs="Arial"/>
          <w:b/>
          <w:color w:val="2E74B5" w:themeColor="accent1" w:themeShade="BF"/>
          <w:sz w:val="24"/>
          <w:szCs w:val="24"/>
        </w:rPr>
        <w:t>8.1.1. Agravio fundado</w:t>
      </w:r>
      <w:r w:rsidR="00EC6050">
        <w:rPr>
          <w:rFonts w:cs="Arial"/>
          <w:b/>
          <w:color w:val="2E74B5" w:themeColor="accent1" w:themeShade="BF"/>
          <w:sz w:val="24"/>
          <w:szCs w:val="24"/>
        </w:rPr>
        <w:t xml:space="preserve"> pero inoperante</w:t>
      </w:r>
      <w:r w:rsidRPr="00CA76E0">
        <w:rPr>
          <w:rFonts w:cs="Arial"/>
          <w:color w:val="2E74B5" w:themeColor="accent1" w:themeShade="BF"/>
          <w:sz w:val="24"/>
          <w:szCs w:val="24"/>
        </w:rPr>
        <w:t>.</w:t>
      </w:r>
    </w:p>
    <w:p w:rsidR="005631BF" w:rsidRPr="00CA76E0" w:rsidRDefault="005631BF" w:rsidP="009C0F89">
      <w:pPr>
        <w:pStyle w:val="corte4fondo"/>
        <w:tabs>
          <w:tab w:val="left" w:pos="567"/>
        </w:tabs>
        <w:spacing w:line="276" w:lineRule="auto"/>
        <w:rPr>
          <w:rFonts w:cs="Arial"/>
          <w:color w:val="2E74B5" w:themeColor="accent1" w:themeShade="BF"/>
          <w:sz w:val="24"/>
          <w:szCs w:val="24"/>
        </w:rPr>
      </w:pPr>
    </w:p>
    <w:p w:rsidR="005631BF" w:rsidRPr="00CA76E0" w:rsidRDefault="005631BF" w:rsidP="009C0F89">
      <w:pPr>
        <w:pStyle w:val="corte4fondo"/>
        <w:spacing w:line="276" w:lineRule="auto"/>
        <w:ind w:firstLine="0"/>
        <w:rPr>
          <w:rFonts w:cs="Arial"/>
          <w:color w:val="2E74B5" w:themeColor="accent1" w:themeShade="BF"/>
          <w:sz w:val="23"/>
          <w:szCs w:val="23"/>
        </w:rPr>
      </w:pPr>
      <w:r w:rsidRPr="00CA76E0">
        <w:rPr>
          <w:rFonts w:cs="Arial"/>
          <w:color w:val="2E74B5" w:themeColor="accent1" w:themeShade="BF"/>
          <w:sz w:val="23"/>
          <w:szCs w:val="23"/>
        </w:rPr>
        <w:tab/>
        <w:t>El artículo 11, de la Ley de Transparencia refiere que:</w:t>
      </w:r>
    </w:p>
    <w:p w:rsidR="005631BF" w:rsidRPr="00CA76E0" w:rsidRDefault="005631BF" w:rsidP="009C0F89">
      <w:pPr>
        <w:pStyle w:val="corte4fondo"/>
        <w:spacing w:line="276" w:lineRule="auto"/>
        <w:ind w:firstLine="0"/>
        <w:rPr>
          <w:rFonts w:cs="Arial"/>
          <w:color w:val="2E74B5" w:themeColor="accent1" w:themeShade="BF"/>
          <w:sz w:val="23"/>
          <w:szCs w:val="23"/>
        </w:rPr>
      </w:pPr>
    </w:p>
    <w:p w:rsidR="005631BF" w:rsidRPr="00CA76E0" w:rsidRDefault="005631BF" w:rsidP="009C0F89">
      <w:pPr>
        <w:pStyle w:val="corte4fondo"/>
        <w:spacing w:line="276" w:lineRule="auto"/>
        <w:ind w:left="708" w:firstLine="0"/>
        <w:rPr>
          <w:rFonts w:cs="Arial"/>
          <w:color w:val="2E74B5" w:themeColor="accent1" w:themeShade="BF"/>
          <w:sz w:val="20"/>
        </w:rPr>
      </w:pPr>
      <w:r w:rsidRPr="00CA76E0">
        <w:rPr>
          <w:rFonts w:cs="Arial"/>
          <w:b/>
          <w:color w:val="2E74B5" w:themeColor="accent1" w:themeShade="BF"/>
          <w:sz w:val="20"/>
        </w:rPr>
        <w:t>ARTÍCULO 11</w:t>
      </w:r>
      <w:r w:rsidRPr="00CA76E0">
        <w:rPr>
          <w:rFonts w:cs="Arial"/>
          <w:color w:val="2E74B5" w:themeColor="accent1" w:themeShade="BF"/>
          <w:sz w:val="20"/>
        </w:rPr>
        <w:t>. Toda la información en posesión de los sujetos obligados será pública, completa, oportuna y accesible, sujeta a un claro régimen de excepciones que deberán estar definidas y ser además legítimas y estrictamente necesarias en una sociedad democrática.</w:t>
      </w:r>
    </w:p>
    <w:p w:rsidR="005631BF" w:rsidRPr="00CA76E0" w:rsidRDefault="005631BF" w:rsidP="009C0F89">
      <w:pPr>
        <w:pStyle w:val="corte4fondo"/>
        <w:spacing w:line="276" w:lineRule="auto"/>
        <w:ind w:firstLine="0"/>
        <w:rPr>
          <w:rFonts w:cs="Arial"/>
          <w:color w:val="2E74B5" w:themeColor="accent1" w:themeShade="BF"/>
          <w:sz w:val="23"/>
          <w:szCs w:val="23"/>
        </w:rPr>
      </w:pPr>
    </w:p>
    <w:p w:rsidR="005631BF" w:rsidRPr="00CA76E0" w:rsidRDefault="005631BF" w:rsidP="009C0F89">
      <w:pPr>
        <w:pStyle w:val="corte4fondo"/>
        <w:spacing w:line="276" w:lineRule="auto"/>
        <w:ind w:firstLine="0"/>
        <w:rPr>
          <w:rFonts w:cs="Arial"/>
          <w:color w:val="2E74B5" w:themeColor="accent1" w:themeShade="BF"/>
          <w:sz w:val="23"/>
          <w:szCs w:val="23"/>
        </w:rPr>
      </w:pPr>
      <w:r w:rsidRPr="00CA76E0">
        <w:rPr>
          <w:rFonts w:cs="Arial"/>
          <w:color w:val="2E74B5" w:themeColor="accent1" w:themeShade="BF"/>
          <w:sz w:val="23"/>
          <w:szCs w:val="23"/>
        </w:rPr>
        <w:tab/>
        <w:t>Así, toda la información –con sus excepciones– en posesión de los sujetos obligados, aparte de ser pública, debe de ser completa.</w:t>
      </w:r>
    </w:p>
    <w:p w:rsidR="005631BF" w:rsidRPr="00CA76E0" w:rsidRDefault="005631BF" w:rsidP="009C0F89">
      <w:pPr>
        <w:pStyle w:val="corte4fondo"/>
        <w:spacing w:line="276" w:lineRule="auto"/>
        <w:ind w:firstLine="0"/>
        <w:rPr>
          <w:rFonts w:cs="Arial"/>
          <w:color w:val="2E74B5" w:themeColor="accent1" w:themeShade="BF"/>
          <w:sz w:val="23"/>
          <w:szCs w:val="23"/>
        </w:rPr>
      </w:pPr>
    </w:p>
    <w:p w:rsidR="005631BF" w:rsidRPr="00CA76E0" w:rsidRDefault="005631BF" w:rsidP="009C0F89">
      <w:pPr>
        <w:pStyle w:val="corte4fondo"/>
        <w:spacing w:line="276" w:lineRule="auto"/>
        <w:ind w:firstLine="0"/>
        <w:rPr>
          <w:rFonts w:cs="Arial"/>
          <w:color w:val="2E74B5" w:themeColor="accent1" w:themeShade="BF"/>
          <w:sz w:val="23"/>
          <w:szCs w:val="23"/>
        </w:rPr>
      </w:pPr>
      <w:r w:rsidRPr="00CA76E0">
        <w:rPr>
          <w:rFonts w:cs="Arial"/>
          <w:color w:val="2E74B5" w:themeColor="accent1" w:themeShade="BF"/>
          <w:sz w:val="23"/>
          <w:szCs w:val="23"/>
        </w:rPr>
        <w:tab/>
        <w:t>En el caso, el análisis a la solicitud de acceso a la información pública por parte del sujeto obligado no fue de forma exhaustiva, es decir, la autoridad no atendió todos los puntos de la solicitud de acceso a la información pública, ya que no dio contestación sobre el acceso a los documentos materia del agravio.</w:t>
      </w:r>
    </w:p>
    <w:p w:rsidR="005631BF" w:rsidRPr="00CA76E0" w:rsidRDefault="005631BF" w:rsidP="009C0F89">
      <w:pPr>
        <w:pStyle w:val="corte4fondo"/>
        <w:spacing w:line="276" w:lineRule="auto"/>
        <w:ind w:firstLine="0"/>
        <w:rPr>
          <w:rFonts w:cs="Arial"/>
          <w:color w:val="2E74B5" w:themeColor="accent1" w:themeShade="BF"/>
          <w:sz w:val="23"/>
          <w:szCs w:val="23"/>
        </w:rPr>
      </w:pPr>
    </w:p>
    <w:p w:rsidR="005631BF" w:rsidRPr="00CA76E0" w:rsidRDefault="005631BF" w:rsidP="009C0F89">
      <w:pPr>
        <w:pStyle w:val="corte4fondo"/>
        <w:spacing w:line="276" w:lineRule="auto"/>
        <w:ind w:firstLine="0"/>
        <w:rPr>
          <w:rFonts w:cs="Arial"/>
          <w:color w:val="2E74B5" w:themeColor="accent1" w:themeShade="BF"/>
          <w:sz w:val="23"/>
          <w:szCs w:val="23"/>
        </w:rPr>
      </w:pPr>
      <w:r w:rsidRPr="00CA76E0">
        <w:rPr>
          <w:rFonts w:cs="Arial"/>
          <w:color w:val="2E74B5" w:themeColor="accent1" w:themeShade="BF"/>
          <w:sz w:val="23"/>
          <w:szCs w:val="23"/>
        </w:rPr>
        <w:tab/>
        <w:t>En efecto, recordemos que el solicitante pidió:</w:t>
      </w:r>
    </w:p>
    <w:p w:rsidR="005631BF" w:rsidRPr="00CA76E0" w:rsidRDefault="005631BF" w:rsidP="009C0F89">
      <w:pPr>
        <w:pStyle w:val="corte4fondo"/>
        <w:spacing w:line="276" w:lineRule="auto"/>
        <w:ind w:firstLine="0"/>
        <w:rPr>
          <w:rFonts w:cs="Arial"/>
          <w:color w:val="2E74B5" w:themeColor="accent1" w:themeShade="BF"/>
          <w:sz w:val="23"/>
          <w:szCs w:val="23"/>
        </w:rPr>
      </w:pPr>
    </w:p>
    <w:p w:rsidR="005631BF" w:rsidRPr="00CA76E0" w:rsidRDefault="005631BF" w:rsidP="009C0F89">
      <w:pPr>
        <w:pStyle w:val="corte4fondo"/>
        <w:spacing w:line="276" w:lineRule="auto"/>
        <w:ind w:firstLine="0"/>
        <w:rPr>
          <w:rFonts w:cs="Arial"/>
          <w:i/>
          <w:color w:val="2E74B5" w:themeColor="accent1" w:themeShade="BF"/>
          <w:sz w:val="20"/>
        </w:rPr>
      </w:pPr>
      <w:r w:rsidRPr="00EC6050">
        <w:rPr>
          <w:rFonts w:cs="Arial"/>
          <w:i/>
          <w:color w:val="2E74B5" w:themeColor="accent1" w:themeShade="BF"/>
          <w:sz w:val="20"/>
        </w:rPr>
        <w:t>“…</w:t>
      </w:r>
      <w:r w:rsidR="00EC6050" w:rsidRPr="00EC6050">
        <w:rPr>
          <w:rFonts w:cs="Arial"/>
          <w:i/>
          <w:color w:val="2E74B5" w:themeColor="accent1" w:themeShade="BF"/>
          <w:sz w:val="20"/>
        </w:rPr>
        <w:t xml:space="preserve">PROPORCIONE EL NOMBRE Y CARGO DE LAS PERSONAS QUE FUERON ASESORADAS Y CAPACITADAS POR LA EMPRESA BELL HELICOPTER TEXTRON </w:t>
      </w:r>
      <w:proofErr w:type="gramStart"/>
      <w:r w:rsidR="00EC6050" w:rsidRPr="00EC6050">
        <w:rPr>
          <w:rFonts w:cs="Arial"/>
          <w:i/>
          <w:color w:val="2E74B5" w:themeColor="accent1" w:themeShade="BF"/>
          <w:sz w:val="20"/>
        </w:rPr>
        <w:t>INC,,</w:t>
      </w:r>
      <w:proofErr w:type="gramEnd"/>
      <w:r w:rsidR="00EC6050" w:rsidRPr="00EC6050">
        <w:rPr>
          <w:rFonts w:cs="Arial"/>
          <w:i/>
          <w:color w:val="2E74B5" w:themeColor="accent1" w:themeShade="BF"/>
          <w:sz w:val="20"/>
        </w:rPr>
        <w:t xml:space="preserve"> EL TEMARIO DE LOS </w:t>
      </w:r>
      <w:r w:rsidR="00EC6050" w:rsidRPr="00FE2817">
        <w:rPr>
          <w:rFonts w:cs="Arial"/>
          <w:i/>
          <w:color w:val="2E74B5" w:themeColor="accent1" w:themeShade="BF"/>
          <w:sz w:val="20"/>
        </w:rPr>
        <w:t xml:space="preserve">TEMAS APLICADOS, EL NUMERO DE HORAS DE ASESORÍA Y CAPACITACIÓN, ASÍ COMO EL COMPROBANTE FISCAL QUE AMPARE LA EMISIÓN DEL CHEQUE NUMERO SP0000020976, DE FECHA 8 DE AGOSTO DE 2017 EN FAVOR DE LA REFERIDA COMPAÑÍA POR DICHO CONCEPTO. </w:t>
      </w:r>
      <w:r w:rsidRPr="00FE2817">
        <w:rPr>
          <w:rFonts w:cs="Arial"/>
          <w:i/>
          <w:color w:val="2E74B5" w:themeColor="accent1" w:themeShade="BF"/>
          <w:sz w:val="20"/>
        </w:rPr>
        <w:t>…”</w:t>
      </w:r>
    </w:p>
    <w:p w:rsidR="005631BF" w:rsidRPr="00CA76E0" w:rsidRDefault="005631BF" w:rsidP="009C0F89">
      <w:pPr>
        <w:pStyle w:val="corte4fondo"/>
        <w:spacing w:line="276" w:lineRule="auto"/>
        <w:ind w:firstLine="0"/>
        <w:rPr>
          <w:rFonts w:cs="Arial"/>
          <w:color w:val="2E74B5" w:themeColor="accent1" w:themeShade="BF"/>
          <w:sz w:val="23"/>
          <w:szCs w:val="23"/>
        </w:rPr>
      </w:pPr>
    </w:p>
    <w:p w:rsidR="00FD4974" w:rsidRDefault="005631BF" w:rsidP="009C0F89">
      <w:pPr>
        <w:pStyle w:val="corte4fondo"/>
        <w:spacing w:line="276" w:lineRule="auto"/>
        <w:ind w:firstLine="0"/>
        <w:rPr>
          <w:rFonts w:cs="Arial"/>
          <w:color w:val="2E74B5" w:themeColor="accent1" w:themeShade="BF"/>
          <w:sz w:val="24"/>
          <w:szCs w:val="24"/>
        </w:rPr>
      </w:pPr>
      <w:r w:rsidRPr="00CA76E0">
        <w:rPr>
          <w:rFonts w:cs="Arial"/>
          <w:color w:val="2E74B5" w:themeColor="accent1" w:themeShade="BF"/>
          <w:sz w:val="23"/>
          <w:szCs w:val="23"/>
        </w:rPr>
        <w:tab/>
      </w:r>
      <w:r w:rsidRPr="00CA76E0">
        <w:rPr>
          <w:rFonts w:cs="Arial"/>
          <w:color w:val="2E74B5" w:themeColor="accent1" w:themeShade="BF"/>
          <w:sz w:val="24"/>
          <w:szCs w:val="24"/>
        </w:rPr>
        <w:t xml:space="preserve">Y si en la respuesta a la solicitud de acceso a la información pública el sujeto obligado, </w:t>
      </w:r>
      <w:r w:rsidR="00FE2817" w:rsidRPr="00CA76E0">
        <w:rPr>
          <w:rFonts w:cs="Arial"/>
          <w:color w:val="2E74B5" w:themeColor="accent1" w:themeShade="BF"/>
          <w:sz w:val="24"/>
          <w:szCs w:val="24"/>
        </w:rPr>
        <w:t xml:space="preserve">puso a disposición cierta información, en el sentido de que expresó por este conducto adjunto el documento que ampara la transferencia y desglose del pago </w:t>
      </w:r>
      <w:r w:rsidR="00FE2817" w:rsidRPr="00CA76E0">
        <w:rPr>
          <w:rFonts w:cs="Arial"/>
          <w:color w:val="2E74B5" w:themeColor="accent1" w:themeShade="BF"/>
          <w:sz w:val="24"/>
          <w:szCs w:val="24"/>
        </w:rPr>
        <w:lastRenderedPageBreak/>
        <w:t>solicitado para consulta del peticionario según informe emitido por la Dirección de Caja General, empero en el caso no entregó o adjuntó la información referente</w:t>
      </w:r>
      <w:r w:rsidR="00FE2817">
        <w:rPr>
          <w:rFonts w:cs="Arial"/>
          <w:color w:val="2E74B5" w:themeColor="accent1" w:themeShade="BF"/>
          <w:sz w:val="24"/>
          <w:szCs w:val="24"/>
        </w:rPr>
        <w:t xml:space="preserve"> </w:t>
      </w:r>
      <w:r w:rsidR="00FE2817" w:rsidRPr="00CA76E0">
        <w:rPr>
          <w:rFonts w:cs="Arial"/>
          <w:color w:val="2E74B5" w:themeColor="accent1" w:themeShade="BF"/>
          <w:sz w:val="23"/>
          <w:szCs w:val="23"/>
        </w:rPr>
        <w:t>al</w:t>
      </w:r>
      <w:r w:rsidR="00FE2817">
        <w:rPr>
          <w:rFonts w:cs="Arial"/>
          <w:color w:val="2E74B5" w:themeColor="accent1" w:themeShade="BF"/>
          <w:sz w:val="23"/>
          <w:szCs w:val="23"/>
        </w:rPr>
        <w:t xml:space="preserve"> </w:t>
      </w:r>
      <w:r w:rsidR="00FE2817" w:rsidRPr="00903912">
        <w:rPr>
          <w:rFonts w:cs="Arial"/>
          <w:color w:val="2E74B5" w:themeColor="accent1" w:themeShade="BF"/>
          <w:sz w:val="24"/>
          <w:szCs w:val="24"/>
        </w:rPr>
        <w:t>nombre y cargo de las personas que fueron asesorada</w:t>
      </w:r>
      <w:r w:rsidR="00FE2817">
        <w:rPr>
          <w:rFonts w:cs="Arial"/>
          <w:color w:val="2E74B5" w:themeColor="accent1" w:themeShade="BF"/>
          <w:sz w:val="24"/>
          <w:szCs w:val="24"/>
        </w:rPr>
        <w:t xml:space="preserve">s y capacitadas por la empresa Bell </w:t>
      </w:r>
      <w:proofErr w:type="spellStart"/>
      <w:r w:rsidR="00FE2817">
        <w:rPr>
          <w:rFonts w:cs="Arial"/>
          <w:color w:val="2E74B5" w:themeColor="accent1" w:themeShade="BF"/>
          <w:sz w:val="24"/>
          <w:szCs w:val="24"/>
        </w:rPr>
        <w:t>H</w:t>
      </w:r>
      <w:r w:rsidR="00FE2817" w:rsidRPr="00903912">
        <w:rPr>
          <w:rFonts w:cs="Arial"/>
          <w:color w:val="2E74B5" w:themeColor="accent1" w:themeShade="BF"/>
          <w:sz w:val="24"/>
          <w:szCs w:val="24"/>
        </w:rPr>
        <w:t>elicopter</w:t>
      </w:r>
      <w:proofErr w:type="spellEnd"/>
      <w:r w:rsidR="00FE2817" w:rsidRPr="00903912">
        <w:rPr>
          <w:rFonts w:cs="Arial"/>
          <w:color w:val="2E74B5" w:themeColor="accent1" w:themeShade="BF"/>
          <w:sz w:val="24"/>
          <w:szCs w:val="24"/>
        </w:rPr>
        <w:t xml:space="preserve"> </w:t>
      </w:r>
      <w:proofErr w:type="spellStart"/>
      <w:r w:rsidR="00FE2817">
        <w:rPr>
          <w:rFonts w:cs="Arial"/>
          <w:color w:val="2E74B5" w:themeColor="accent1" w:themeShade="BF"/>
          <w:sz w:val="24"/>
          <w:szCs w:val="24"/>
        </w:rPr>
        <w:t>Textron</w:t>
      </w:r>
      <w:proofErr w:type="spellEnd"/>
      <w:r w:rsidR="00FE2817">
        <w:rPr>
          <w:rFonts w:cs="Arial"/>
          <w:color w:val="2E74B5" w:themeColor="accent1" w:themeShade="BF"/>
          <w:sz w:val="24"/>
          <w:szCs w:val="24"/>
        </w:rPr>
        <w:t xml:space="preserve"> </w:t>
      </w:r>
      <w:proofErr w:type="spellStart"/>
      <w:r w:rsidR="00FE2817">
        <w:rPr>
          <w:rFonts w:cs="Arial"/>
          <w:color w:val="2E74B5" w:themeColor="accent1" w:themeShade="BF"/>
          <w:sz w:val="24"/>
          <w:szCs w:val="24"/>
        </w:rPr>
        <w:t>I</w:t>
      </w:r>
      <w:r w:rsidR="00FE2817" w:rsidRPr="00903912">
        <w:rPr>
          <w:rFonts w:cs="Arial"/>
          <w:color w:val="2E74B5" w:themeColor="accent1" w:themeShade="BF"/>
          <w:sz w:val="24"/>
          <w:szCs w:val="24"/>
        </w:rPr>
        <w:t>nc</w:t>
      </w:r>
      <w:proofErr w:type="spellEnd"/>
      <w:r w:rsidR="00FE2817" w:rsidRPr="00903912">
        <w:rPr>
          <w:rFonts w:cs="Arial"/>
          <w:color w:val="2E74B5" w:themeColor="accent1" w:themeShade="BF"/>
          <w:sz w:val="24"/>
          <w:szCs w:val="24"/>
        </w:rPr>
        <w:t>, el</w:t>
      </w:r>
      <w:r w:rsidR="00FE2817">
        <w:rPr>
          <w:rFonts w:cs="Arial"/>
          <w:color w:val="2E74B5" w:themeColor="accent1" w:themeShade="BF"/>
          <w:sz w:val="24"/>
          <w:szCs w:val="24"/>
        </w:rPr>
        <w:t xml:space="preserve"> temario de los temas aplicados y</w:t>
      </w:r>
      <w:r w:rsidR="00FE2817" w:rsidRPr="00903912">
        <w:rPr>
          <w:rFonts w:cs="Arial"/>
          <w:color w:val="2E74B5" w:themeColor="accent1" w:themeShade="BF"/>
          <w:sz w:val="24"/>
          <w:szCs w:val="24"/>
        </w:rPr>
        <w:t xml:space="preserve"> el número de h</w:t>
      </w:r>
      <w:r w:rsidR="00FE2817">
        <w:rPr>
          <w:rFonts w:cs="Arial"/>
          <w:color w:val="2E74B5" w:themeColor="accent1" w:themeShade="BF"/>
          <w:sz w:val="24"/>
          <w:szCs w:val="24"/>
        </w:rPr>
        <w:t>oras de asesoría y capacitación.</w:t>
      </w:r>
    </w:p>
    <w:p w:rsidR="00FE2817" w:rsidRPr="00CA76E0" w:rsidRDefault="00FE2817" w:rsidP="009C0F89">
      <w:pPr>
        <w:pStyle w:val="corte4fondo"/>
        <w:spacing w:line="276" w:lineRule="auto"/>
        <w:ind w:firstLine="0"/>
        <w:rPr>
          <w:rFonts w:cs="Arial"/>
          <w:color w:val="2E74B5" w:themeColor="accent1" w:themeShade="BF"/>
          <w:sz w:val="24"/>
          <w:szCs w:val="24"/>
        </w:rPr>
      </w:pPr>
    </w:p>
    <w:p w:rsidR="00FE2817" w:rsidRPr="00903912" w:rsidRDefault="005631BF" w:rsidP="009C0F89">
      <w:pPr>
        <w:pStyle w:val="corte4fondo"/>
        <w:spacing w:line="276" w:lineRule="auto"/>
        <w:ind w:firstLine="0"/>
        <w:rPr>
          <w:rFonts w:cs="Arial"/>
          <w:color w:val="2E74B5" w:themeColor="accent1" w:themeShade="BF"/>
          <w:sz w:val="24"/>
          <w:szCs w:val="24"/>
        </w:rPr>
      </w:pPr>
      <w:r w:rsidRPr="00CA76E0">
        <w:rPr>
          <w:rFonts w:cs="Arial"/>
          <w:color w:val="2E74B5" w:themeColor="accent1" w:themeShade="BF"/>
          <w:sz w:val="24"/>
          <w:szCs w:val="24"/>
        </w:rPr>
        <w:tab/>
      </w:r>
      <w:r w:rsidR="0007293B" w:rsidRPr="00CA76E0">
        <w:rPr>
          <w:rFonts w:cs="Arial"/>
          <w:color w:val="2E74B5" w:themeColor="accent1" w:themeShade="BF"/>
          <w:sz w:val="24"/>
          <w:szCs w:val="24"/>
        </w:rPr>
        <w:t xml:space="preserve">Así, esa respuesta es incompleta en virtud de que </w:t>
      </w:r>
      <w:r w:rsidR="005618CF" w:rsidRPr="00CA76E0">
        <w:rPr>
          <w:rFonts w:cs="Arial"/>
          <w:color w:val="2E74B5" w:themeColor="accent1" w:themeShade="BF"/>
          <w:sz w:val="24"/>
          <w:szCs w:val="24"/>
        </w:rPr>
        <w:t>d</w:t>
      </w:r>
      <w:r w:rsidRPr="00CA76E0">
        <w:rPr>
          <w:rFonts w:cs="Arial"/>
          <w:color w:val="2E74B5" w:themeColor="accent1" w:themeShade="BF"/>
          <w:sz w:val="23"/>
          <w:szCs w:val="23"/>
        </w:rPr>
        <w:t>e la respuesta se puede apreciar</w:t>
      </w:r>
      <w:r w:rsidR="005618CF" w:rsidRPr="00CA76E0">
        <w:rPr>
          <w:rFonts w:cs="Arial"/>
          <w:color w:val="2E74B5" w:themeColor="accent1" w:themeShade="BF"/>
          <w:sz w:val="23"/>
          <w:szCs w:val="23"/>
        </w:rPr>
        <w:t xml:space="preserve"> </w:t>
      </w:r>
      <w:r w:rsidR="00FE2817">
        <w:rPr>
          <w:rFonts w:cs="Arial"/>
          <w:color w:val="2E74B5" w:themeColor="accent1" w:themeShade="BF"/>
          <w:sz w:val="24"/>
          <w:szCs w:val="24"/>
        </w:rPr>
        <w:t xml:space="preserve">únicamente se avocó </w:t>
      </w:r>
      <w:r w:rsidR="00FE2817" w:rsidRPr="00FD4974">
        <w:rPr>
          <w:rFonts w:cs="Arial"/>
          <w:color w:val="2E74B5" w:themeColor="accent1" w:themeShade="BF"/>
          <w:sz w:val="24"/>
          <w:szCs w:val="24"/>
        </w:rPr>
        <w:t>a expresar lo siguiente: por este conducto adjunto</w:t>
      </w:r>
      <w:r w:rsidR="00FE2817" w:rsidRPr="00CA76E0">
        <w:rPr>
          <w:rFonts w:cs="Arial"/>
          <w:color w:val="2E74B5" w:themeColor="accent1" w:themeShade="BF"/>
          <w:sz w:val="24"/>
          <w:szCs w:val="24"/>
        </w:rPr>
        <w:t xml:space="preserve"> el documento que ampara la transferencia y desglose del pago solicitado para consulta del peticionario según informe emitido por la Dirección de Caja General</w:t>
      </w:r>
      <w:r w:rsidRPr="00CA76E0">
        <w:rPr>
          <w:rFonts w:cs="Arial"/>
          <w:color w:val="2E74B5" w:themeColor="accent1" w:themeShade="BF"/>
          <w:sz w:val="23"/>
          <w:szCs w:val="23"/>
        </w:rPr>
        <w:t xml:space="preserve">, es decir, que por más que el </w:t>
      </w:r>
      <w:r w:rsidR="005618CF" w:rsidRPr="00CA76E0">
        <w:rPr>
          <w:rFonts w:cs="Arial"/>
          <w:color w:val="2E74B5" w:themeColor="accent1" w:themeShade="BF"/>
          <w:sz w:val="23"/>
          <w:szCs w:val="23"/>
        </w:rPr>
        <w:t>sujeto obligado h</w:t>
      </w:r>
      <w:r w:rsidR="00EF73A2" w:rsidRPr="00CA76E0">
        <w:rPr>
          <w:rFonts w:cs="Arial"/>
          <w:color w:val="2E74B5" w:themeColor="accent1" w:themeShade="BF"/>
          <w:sz w:val="23"/>
          <w:szCs w:val="23"/>
        </w:rPr>
        <w:t>aya dicho que adjuntaba el documento que ampara la transferencia y desglose del pago solicitado,</w:t>
      </w:r>
      <w:r w:rsidRPr="00CA76E0">
        <w:rPr>
          <w:rFonts w:cs="Arial"/>
          <w:color w:val="2E74B5" w:themeColor="accent1" w:themeShade="BF"/>
          <w:sz w:val="23"/>
          <w:szCs w:val="23"/>
        </w:rPr>
        <w:t xml:space="preserve"> lo cierto es que </w:t>
      </w:r>
      <w:r w:rsidR="00EF73A2" w:rsidRPr="00CA76E0">
        <w:rPr>
          <w:rFonts w:cs="Arial"/>
          <w:color w:val="2E74B5" w:themeColor="accent1" w:themeShade="BF"/>
          <w:sz w:val="23"/>
          <w:szCs w:val="23"/>
        </w:rPr>
        <w:t>en ningún momento refirió lo relativo al</w:t>
      </w:r>
      <w:r w:rsidR="00FE2817">
        <w:rPr>
          <w:rFonts w:cs="Arial"/>
          <w:color w:val="2E74B5" w:themeColor="accent1" w:themeShade="BF"/>
          <w:sz w:val="23"/>
          <w:szCs w:val="23"/>
        </w:rPr>
        <w:t xml:space="preserve"> </w:t>
      </w:r>
      <w:r w:rsidR="00FE2817" w:rsidRPr="00903912">
        <w:rPr>
          <w:rFonts w:cs="Arial"/>
          <w:color w:val="2E74B5" w:themeColor="accent1" w:themeShade="BF"/>
          <w:sz w:val="24"/>
          <w:szCs w:val="24"/>
        </w:rPr>
        <w:t>nombre y cargo de las personas que fueron asesorada</w:t>
      </w:r>
      <w:r w:rsidR="00FE2817">
        <w:rPr>
          <w:rFonts w:cs="Arial"/>
          <w:color w:val="2E74B5" w:themeColor="accent1" w:themeShade="BF"/>
          <w:sz w:val="24"/>
          <w:szCs w:val="24"/>
        </w:rPr>
        <w:t xml:space="preserve">s y capacitadas por la empresa Bell </w:t>
      </w:r>
      <w:proofErr w:type="spellStart"/>
      <w:r w:rsidR="00FE2817">
        <w:rPr>
          <w:rFonts w:cs="Arial"/>
          <w:color w:val="2E74B5" w:themeColor="accent1" w:themeShade="BF"/>
          <w:sz w:val="24"/>
          <w:szCs w:val="24"/>
        </w:rPr>
        <w:t>H</w:t>
      </w:r>
      <w:r w:rsidR="00FE2817" w:rsidRPr="00903912">
        <w:rPr>
          <w:rFonts w:cs="Arial"/>
          <w:color w:val="2E74B5" w:themeColor="accent1" w:themeShade="BF"/>
          <w:sz w:val="24"/>
          <w:szCs w:val="24"/>
        </w:rPr>
        <w:t>elicopter</w:t>
      </w:r>
      <w:proofErr w:type="spellEnd"/>
      <w:r w:rsidR="00FE2817" w:rsidRPr="00903912">
        <w:rPr>
          <w:rFonts w:cs="Arial"/>
          <w:color w:val="2E74B5" w:themeColor="accent1" w:themeShade="BF"/>
          <w:sz w:val="24"/>
          <w:szCs w:val="24"/>
        </w:rPr>
        <w:t xml:space="preserve"> </w:t>
      </w:r>
      <w:proofErr w:type="spellStart"/>
      <w:r w:rsidR="00FE2817">
        <w:rPr>
          <w:rFonts w:cs="Arial"/>
          <w:color w:val="2E74B5" w:themeColor="accent1" w:themeShade="BF"/>
          <w:sz w:val="24"/>
          <w:szCs w:val="24"/>
        </w:rPr>
        <w:t>Textron</w:t>
      </w:r>
      <w:proofErr w:type="spellEnd"/>
      <w:r w:rsidR="00FE2817">
        <w:rPr>
          <w:rFonts w:cs="Arial"/>
          <w:color w:val="2E74B5" w:themeColor="accent1" w:themeShade="BF"/>
          <w:sz w:val="24"/>
          <w:szCs w:val="24"/>
        </w:rPr>
        <w:t xml:space="preserve"> </w:t>
      </w:r>
      <w:proofErr w:type="spellStart"/>
      <w:r w:rsidR="00FE2817">
        <w:rPr>
          <w:rFonts w:cs="Arial"/>
          <w:color w:val="2E74B5" w:themeColor="accent1" w:themeShade="BF"/>
          <w:sz w:val="24"/>
          <w:szCs w:val="24"/>
        </w:rPr>
        <w:t>I</w:t>
      </w:r>
      <w:r w:rsidR="00FE2817" w:rsidRPr="00903912">
        <w:rPr>
          <w:rFonts w:cs="Arial"/>
          <w:color w:val="2E74B5" w:themeColor="accent1" w:themeShade="BF"/>
          <w:sz w:val="24"/>
          <w:szCs w:val="24"/>
        </w:rPr>
        <w:t>nc</w:t>
      </w:r>
      <w:proofErr w:type="spellEnd"/>
      <w:r w:rsidR="00FE2817" w:rsidRPr="00903912">
        <w:rPr>
          <w:rFonts w:cs="Arial"/>
          <w:color w:val="2E74B5" w:themeColor="accent1" w:themeShade="BF"/>
          <w:sz w:val="24"/>
          <w:szCs w:val="24"/>
        </w:rPr>
        <w:t>,, el</w:t>
      </w:r>
      <w:r w:rsidR="00FE2817">
        <w:rPr>
          <w:rFonts w:cs="Arial"/>
          <w:color w:val="2E74B5" w:themeColor="accent1" w:themeShade="BF"/>
          <w:sz w:val="24"/>
          <w:szCs w:val="24"/>
        </w:rPr>
        <w:t xml:space="preserve"> temario de los temas aplicados y</w:t>
      </w:r>
      <w:r w:rsidR="00FE2817" w:rsidRPr="00903912">
        <w:rPr>
          <w:rFonts w:cs="Arial"/>
          <w:color w:val="2E74B5" w:themeColor="accent1" w:themeShade="BF"/>
          <w:sz w:val="24"/>
          <w:szCs w:val="24"/>
        </w:rPr>
        <w:t xml:space="preserve"> el número de h</w:t>
      </w:r>
      <w:r w:rsidR="00FE2817">
        <w:rPr>
          <w:rFonts w:cs="Arial"/>
          <w:color w:val="2E74B5" w:themeColor="accent1" w:themeShade="BF"/>
          <w:sz w:val="24"/>
          <w:szCs w:val="24"/>
        </w:rPr>
        <w:t>oras de asesoría y capacitación.</w:t>
      </w:r>
    </w:p>
    <w:p w:rsidR="00EF73A2" w:rsidRPr="00CA76E0" w:rsidRDefault="00EF73A2" w:rsidP="009C0F89">
      <w:pPr>
        <w:pStyle w:val="corte4fondo"/>
        <w:spacing w:line="276" w:lineRule="auto"/>
        <w:ind w:firstLine="0"/>
        <w:rPr>
          <w:rFonts w:cs="Arial"/>
          <w:b/>
          <w:color w:val="2E74B5" w:themeColor="accent1" w:themeShade="BF"/>
          <w:sz w:val="23"/>
          <w:szCs w:val="23"/>
          <w:highlight w:val="red"/>
        </w:rPr>
      </w:pPr>
    </w:p>
    <w:p w:rsidR="00FE2817" w:rsidRPr="00CA76E0" w:rsidRDefault="005631BF" w:rsidP="00DB1E83">
      <w:pPr>
        <w:pStyle w:val="corte4fondo"/>
        <w:spacing w:line="276" w:lineRule="auto"/>
        <w:ind w:firstLine="0"/>
        <w:rPr>
          <w:rFonts w:cs="Arial"/>
          <w:color w:val="2E74B5" w:themeColor="accent1" w:themeShade="BF"/>
          <w:sz w:val="24"/>
          <w:szCs w:val="24"/>
        </w:rPr>
      </w:pPr>
      <w:r w:rsidRPr="00CA76E0">
        <w:rPr>
          <w:rFonts w:cs="Arial"/>
          <w:color w:val="2E74B5" w:themeColor="accent1" w:themeShade="BF"/>
          <w:sz w:val="23"/>
          <w:szCs w:val="23"/>
        </w:rPr>
        <w:tab/>
      </w:r>
      <w:r w:rsidR="00FE2817">
        <w:rPr>
          <w:rFonts w:cs="Arial"/>
          <w:color w:val="2E74B5" w:themeColor="accent1" w:themeShade="BF"/>
          <w:sz w:val="24"/>
          <w:szCs w:val="24"/>
        </w:rPr>
        <w:t xml:space="preserve">Sin embargo, </w:t>
      </w:r>
      <w:r w:rsidR="00A6255C">
        <w:rPr>
          <w:rFonts w:cs="Arial"/>
          <w:color w:val="2E74B5" w:themeColor="accent1" w:themeShade="BF"/>
          <w:sz w:val="24"/>
          <w:szCs w:val="24"/>
        </w:rPr>
        <w:t xml:space="preserve">del informe o escrito de manifestaciones que realizó el sujeto obligado ante esta </w:t>
      </w:r>
      <w:r w:rsidR="003A145B">
        <w:rPr>
          <w:rFonts w:cs="Arial"/>
          <w:color w:val="2E74B5" w:themeColor="accent1" w:themeShade="BF"/>
          <w:sz w:val="24"/>
          <w:szCs w:val="24"/>
        </w:rPr>
        <w:t>C</w:t>
      </w:r>
      <w:r w:rsidR="00A6255C">
        <w:rPr>
          <w:rFonts w:cs="Arial"/>
          <w:color w:val="2E74B5" w:themeColor="accent1" w:themeShade="BF"/>
          <w:sz w:val="24"/>
          <w:szCs w:val="24"/>
        </w:rPr>
        <w:t xml:space="preserve">omisión se advierte </w:t>
      </w:r>
      <w:r w:rsidR="003A145B">
        <w:rPr>
          <w:rFonts w:cs="Arial"/>
          <w:color w:val="2E74B5" w:themeColor="accent1" w:themeShade="BF"/>
          <w:sz w:val="24"/>
          <w:szCs w:val="24"/>
        </w:rPr>
        <w:t xml:space="preserve">que </w:t>
      </w:r>
      <w:r w:rsidR="00A6255C">
        <w:rPr>
          <w:rFonts w:cs="Arial"/>
          <w:color w:val="2E74B5" w:themeColor="accent1" w:themeShade="BF"/>
          <w:sz w:val="24"/>
          <w:szCs w:val="24"/>
        </w:rPr>
        <w:t>adjuntó en copia certificada el anexo que contiene la transferencia, y a su vez manifestó que es la única información que le compete a dicha dependencia y para el efecto orientó al peticionario de conformidad con el artículo 158 de la Ley de Transparencia a efecto de que dirija su solicitud de información a la Oficialía Mayor de Gobiern</w:t>
      </w:r>
      <w:r w:rsidR="000B6468">
        <w:rPr>
          <w:rFonts w:cs="Arial"/>
          <w:color w:val="2E74B5" w:themeColor="accent1" w:themeShade="BF"/>
          <w:sz w:val="24"/>
          <w:szCs w:val="24"/>
        </w:rPr>
        <w:t>o del Estado.</w:t>
      </w:r>
    </w:p>
    <w:p w:rsidR="005631BF" w:rsidRDefault="005631BF" w:rsidP="009C0F89">
      <w:pPr>
        <w:pStyle w:val="corte4fondo"/>
        <w:spacing w:line="276" w:lineRule="auto"/>
        <w:ind w:firstLine="0"/>
        <w:rPr>
          <w:rFonts w:cs="Arial"/>
          <w:color w:val="2E74B5" w:themeColor="accent1" w:themeShade="BF"/>
          <w:sz w:val="23"/>
          <w:szCs w:val="23"/>
        </w:rPr>
      </w:pPr>
    </w:p>
    <w:p w:rsidR="00BE3B08" w:rsidRDefault="00565295" w:rsidP="003A145B">
      <w:pPr>
        <w:pStyle w:val="corte4fondo"/>
        <w:spacing w:line="276" w:lineRule="auto"/>
        <w:ind w:firstLine="708"/>
        <w:rPr>
          <w:rFonts w:cs="Arial"/>
          <w:color w:val="FF0000"/>
          <w:sz w:val="24"/>
          <w:szCs w:val="24"/>
        </w:rPr>
      </w:pPr>
      <w:r w:rsidRPr="002D0BC8">
        <w:rPr>
          <w:rFonts w:cs="Arial"/>
          <w:color w:val="2E74B5" w:themeColor="accent1" w:themeShade="BF"/>
          <w:sz w:val="24"/>
          <w:szCs w:val="24"/>
        </w:rPr>
        <w:t>Esto es que, aunque es f</w:t>
      </w:r>
      <w:r w:rsidRPr="00565295">
        <w:rPr>
          <w:rFonts w:cs="Arial"/>
          <w:color w:val="2E74B5" w:themeColor="accent1" w:themeShade="BF"/>
          <w:sz w:val="24"/>
          <w:szCs w:val="24"/>
        </w:rPr>
        <w:t>undado el motivo de inconformidad porque el sujeto obligado en su respuesta</w:t>
      </w:r>
      <w:r>
        <w:rPr>
          <w:rFonts w:cs="Arial"/>
          <w:color w:val="FF0000"/>
          <w:sz w:val="24"/>
          <w:szCs w:val="24"/>
        </w:rPr>
        <w:t xml:space="preserve"> </w:t>
      </w:r>
      <w:r w:rsidRPr="00565295">
        <w:rPr>
          <w:rFonts w:cs="Arial"/>
          <w:color w:val="2E74B5" w:themeColor="accent1" w:themeShade="BF"/>
          <w:sz w:val="24"/>
          <w:szCs w:val="24"/>
        </w:rPr>
        <w:t xml:space="preserve">inicial no atendió </w:t>
      </w:r>
      <w:r>
        <w:rPr>
          <w:rFonts w:cs="Arial"/>
          <w:color w:val="2E74B5" w:themeColor="accent1" w:themeShade="BF"/>
          <w:sz w:val="24"/>
          <w:szCs w:val="24"/>
        </w:rPr>
        <w:t xml:space="preserve">a cabalidad los puntos de la solicitud, lo cierto es que de acuerdo a </w:t>
      </w:r>
      <w:r w:rsidRPr="002D0BC8">
        <w:rPr>
          <w:rFonts w:cs="Arial"/>
          <w:color w:val="2E74B5" w:themeColor="accent1" w:themeShade="BF"/>
          <w:sz w:val="24"/>
          <w:szCs w:val="24"/>
        </w:rPr>
        <w:t xml:space="preserve">competencia </w:t>
      </w:r>
      <w:r w:rsidR="00BE3B08" w:rsidRPr="002D0BC8">
        <w:rPr>
          <w:rFonts w:cs="Arial"/>
          <w:color w:val="2E74B5" w:themeColor="accent1" w:themeShade="BF"/>
          <w:sz w:val="24"/>
          <w:szCs w:val="24"/>
        </w:rPr>
        <w:t>y facultades</w:t>
      </w:r>
      <w:r w:rsidR="00BE3B08">
        <w:rPr>
          <w:rFonts w:cs="Arial"/>
          <w:color w:val="2E74B5" w:themeColor="accent1" w:themeShade="BF"/>
          <w:sz w:val="24"/>
          <w:szCs w:val="24"/>
        </w:rPr>
        <w:t xml:space="preserve"> </w:t>
      </w:r>
      <w:r w:rsidR="00BE3B08" w:rsidRPr="002D0BC8">
        <w:rPr>
          <w:rFonts w:cs="Arial"/>
          <w:color w:val="2E74B5" w:themeColor="accent1" w:themeShade="BF"/>
          <w:sz w:val="24"/>
          <w:szCs w:val="24"/>
        </w:rPr>
        <w:t xml:space="preserve">está claro que esa información no pertenece a dicha </w:t>
      </w:r>
      <w:r w:rsidR="00BE3B08" w:rsidRPr="002D0BC8">
        <w:rPr>
          <w:rFonts w:cs="Arial"/>
          <w:b/>
          <w:color w:val="2E74B5" w:themeColor="accent1" w:themeShade="BF"/>
          <w:sz w:val="24"/>
          <w:szCs w:val="24"/>
        </w:rPr>
        <w:t>SECRETARÍA DE FINANZAS</w:t>
      </w:r>
      <w:r w:rsidR="00BE3B08" w:rsidRPr="002D0BC8">
        <w:rPr>
          <w:rFonts w:cs="Arial"/>
          <w:color w:val="2E74B5" w:themeColor="accent1" w:themeShade="BF"/>
          <w:sz w:val="24"/>
          <w:szCs w:val="24"/>
        </w:rPr>
        <w:t xml:space="preserve"> dada la naturaleza de ésta.</w:t>
      </w:r>
    </w:p>
    <w:p w:rsidR="00565295" w:rsidRDefault="00565295" w:rsidP="009C0F89">
      <w:pPr>
        <w:pStyle w:val="corte4fondo"/>
        <w:spacing w:line="276" w:lineRule="auto"/>
        <w:ind w:firstLine="0"/>
        <w:rPr>
          <w:rFonts w:cs="Arial"/>
          <w:color w:val="FF0000"/>
          <w:sz w:val="24"/>
          <w:szCs w:val="24"/>
        </w:rPr>
      </w:pPr>
    </w:p>
    <w:p w:rsidR="00565295" w:rsidRDefault="00EA139A" w:rsidP="009C0F89">
      <w:pPr>
        <w:pStyle w:val="corte4fondo"/>
        <w:spacing w:line="276" w:lineRule="auto"/>
        <w:ind w:firstLine="708"/>
        <w:rPr>
          <w:rFonts w:cs="Arial"/>
          <w:color w:val="2E74B5" w:themeColor="accent1" w:themeShade="BF"/>
          <w:sz w:val="24"/>
          <w:szCs w:val="24"/>
        </w:rPr>
      </w:pPr>
      <w:r>
        <w:rPr>
          <w:rFonts w:cs="Arial"/>
          <w:color w:val="2E74B5" w:themeColor="accent1" w:themeShade="BF"/>
          <w:sz w:val="24"/>
          <w:szCs w:val="24"/>
        </w:rPr>
        <w:t>De ahí que, ni aú</w:t>
      </w:r>
      <w:r w:rsidR="00BE3B08" w:rsidRPr="002D0BC8">
        <w:rPr>
          <w:rFonts w:cs="Arial"/>
          <w:color w:val="2E74B5" w:themeColor="accent1" w:themeShade="BF"/>
          <w:sz w:val="24"/>
          <w:szCs w:val="24"/>
        </w:rPr>
        <w:t xml:space="preserve">n con lo fundado del agravio como quedó visto, el solicitante puede allegarse de la información, puesto que, se reitera, la </w:t>
      </w:r>
      <w:r w:rsidR="00BE3B08" w:rsidRPr="002D0BC8">
        <w:rPr>
          <w:rFonts w:cs="Arial"/>
          <w:b/>
          <w:color w:val="2E74B5" w:themeColor="accent1" w:themeShade="BF"/>
          <w:sz w:val="24"/>
          <w:szCs w:val="24"/>
        </w:rPr>
        <w:t>SECRETARÍA DE FINANZAS</w:t>
      </w:r>
      <w:r w:rsidR="00BE3B08" w:rsidRPr="002D0BC8">
        <w:rPr>
          <w:rFonts w:cs="Arial"/>
          <w:color w:val="2E74B5" w:themeColor="accent1" w:themeShade="BF"/>
          <w:sz w:val="24"/>
          <w:szCs w:val="24"/>
        </w:rPr>
        <w:t xml:space="preserve"> no posee la información derivado de sus propias facultades, es por ello que el motivo de inconformidad se tor</w:t>
      </w:r>
      <w:bookmarkStart w:id="0" w:name="_GoBack"/>
      <w:bookmarkEnd w:id="0"/>
      <w:r w:rsidR="00BE3B08" w:rsidRPr="002D0BC8">
        <w:rPr>
          <w:rFonts w:cs="Arial"/>
          <w:color w:val="2E74B5" w:themeColor="accent1" w:themeShade="BF"/>
          <w:sz w:val="24"/>
          <w:szCs w:val="24"/>
        </w:rPr>
        <w:t>na inoperante</w:t>
      </w:r>
      <w:r w:rsidR="00BE3B08">
        <w:rPr>
          <w:rFonts w:cs="Arial"/>
          <w:color w:val="2E74B5" w:themeColor="accent1" w:themeShade="BF"/>
          <w:sz w:val="24"/>
          <w:szCs w:val="24"/>
        </w:rPr>
        <w:t>.</w:t>
      </w:r>
    </w:p>
    <w:p w:rsidR="00BE3B08" w:rsidRDefault="00BE3B08" w:rsidP="009C0F89">
      <w:pPr>
        <w:pStyle w:val="corte4fondo"/>
        <w:spacing w:line="276" w:lineRule="auto"/>
        <w:ind w:firstLine="708"/>
        <w:rPr>
          <w:rFonts w:cs="Arial"/>
          <w:color w:val="2E74B5" w:themeColor="accent1" w:themeShade="BF"/>
          <w:sz w:val="24"/>
          <w:szCs w:val="24"/>
        </w:rPr>
      </w:pPr>
    </w:p>
    <w:p w:rsidR="00BE3B08" w:rsidRPr="002D0BC8" w:rsidRDefault="00BE3B08" w:rsidP="009C0F89">
      <w:pPr>
        <w:pStyle w:val="corte4fondo"/>
        <w:spacing w:line="276" w:lineRule="auto"/>
        <w:ind w:firstLine="708"/>
        <w:rPr>
          <w:rFonts w:cs="Arial"/>
          <w:color w:val="2E74B5" w:themeColor="accent1" w:themeShade="BF"/>
          <w:sz w:val="24"/>
          <w:szCs w:val="24"/>
        </w:rPr>
      </w:pPr>
      <w:r w:rsidRPr="002D0BC8">
        <w:rPr>
          <w:rFonts w:cs="Arial"/>
          <w:color w:val="2E74B5" w:themeColor="accent1" w:themeShade="BF"/>
          <w:sz w:val="24"/>
          <w:szCs w:val="24"/>
        </w:rPr>
        <w:t xml:space="preserve">De ahí que la propia </w:t>
      </w:r>
      <w:r w:rsidRPr="002D0BC8">
        <w:rPr>
          <w:rFonts w:cs="Arial"/>
          <w:b/>
          <w:color w:val="2E74B5" w:themeColor="accent1" w:themeShade="BF"/>
          <w:sz w:val="24"/>
          <w:szCs w:val="24"/>
        </w:rPr>
        <w:t>SECRETARÍA DE FINANZAS</w:t>
      </w:r>
      <w:r w:rsidRPr="002D0BC8">
        <w:rPr>
          <w:rFonts w:cs="Arial"/>
          <w:color w:val="2E74B5" w:themeColor="accent1" w:themeShade="BF"/>
          <w:sz w:val="24"/>
          <w:szCs w:val="24"/>
        </w:rPr>
        <w:t xml:space="preserve"> orientó al solicitante a quien debería de poseer la información. </w:t>
      </w:r>
    </w:p>
    <w:p w:rsidR="00BE3B08" w:rsidRPr="002D0BC8" w:rsidRDefault="00BE3B08" w:rsidP="009C0F89">
      <w:pPr>
        <w:pStyle w:val="corte4fondo"/>
        <w:spacing w:line="276" w:lineRule="auto"/>
        <w:ind w:firstLine="0"/>
        <w:rPr>
          <w:rFonts w:cs="Arial"/>
          <w:color w:val="2E74B5" w:themeColor="accent1" w:themeShade="BF"/>
          <w:sz w:val="24"/>
          <w:szCs w:val="24"/>
        </w:rPr>
      </w:pPr>
    </w:p>
    <w:p w:rsidR="0097731F" w:rsidRPr="0097731F" w:rsidRDefault="00BE3B08" w:rsidP="009C0F89">
      <w:pPr>
        <w:pStyle w:val="corte4fondo"/>
        <w:spacing w:line="276" w:lineRule="auto"/>
        <w:ind w:firstLine="708"/>
        <w:rPr>
          <w:rFonts w:cs="Arial"/>
          <w:color w:val="2E74B5" w:themeColor="accent1" w:themeShade="BF"/>
          <w:sz w:val="24"/>
          <w:szCs w:val="24"/>
        </w:rPr>
      </w:pPr>
      <w:r w:rsidRPr="0097731F">
        <w:rPr>
          <w:rFonts w:cs="Arial"/>
          <w:color w:val="2E74B5" w:themeColor="accent1" w:themeShade="BF"/>
          <w:sz w:val="24"/>
          <w:szCs w:val="24"/>
        </w:rPr>
        <w:t xml:space="preserve">Lo anterior, se corrobora </w:t>
      </w:r>
      <w:r w:rsidR="0097731F" w:rsidRPr="0097731F">
        <w:rPr>
          <w:rFonts w:cs="Arial"/>
          <w:color w:val="2E74B5" w:themeColor="accent1" w:themeShade="BF"/>
          <w:sz w:val="24"/>
          <w:szCs w:val="24"/>
        </w:rPr>
        <w:t>toda vez que de conformidad con el artículo 41 de la L</w:t>
      </w:r>
      <w:r w:rsidRPr="0097731F">
        <w:rPr>
          <w:rFonts w:cs="Arial"/>
          <w:color w:val="2E74B5" w:themeColor="accent1" w:themeShade="BF"/>
          <w:sz w:val="24"/>
          <w:szCs w:val="24"/>
        </w:rPr>
        <w:t xml:space="preserve">ey </w:t>
      </w:r>
      <w:r w:rsidR="0097731F" w:rsidRPr="0097731F">
        <w:rPr>
          <w:rFonts w:cs="Arial"/>
          <w:color w:val="2E74B5" w:themeColor="accent1" w:themeShade="BF"/>
          <w:sz w:val="24"/>
          <w:szCs w:val="24"/>
        </w:rPr>
        <w:t>Orgánica</w:t>
      </w:r>
      <w:r w:rsidRPr="0097731F">
        <w:rPr>
          <w:rFonts w:cs="Arial"/>
          <w:color w:val="2E74B5" w:themeColor="accent1" w:themeShade="BF"/>
          <w:sz w:val="24"/>
          <w:szCs w:val="24"/>
        </w:rPr>
        <w:t xml:space="preserve"> de la </w:t>
      </w:r>
      <w:r w:rsidR="0097731F" w:rsidRPr="0097731F">
        <w:rPr>
          <w:rFonts w:cs="Arial"/>
          <w:color w:val="2E74B5" w:themeColor="accent1" w:themeShade="BF"/>
          <w:sz w:val="24"/>
          <w:szCs w:val="24"/>
        </w:rPr>
        <w:t xml:space="preserve">Administración Pública del Estado de san Luis Potosí, a la Oficialía Mayor Corresponde el Despacho de los siguientes asuntos: </w:t>
      </w:r>
    </w:p>
    <w:p w:rsidR="0097731F" w:rsidRPr="0097731F" w:rsidRDefault="0097731F" w:rsidP="009C0F89">
      <w:pPr>
        <w:pStyle w:val="corte4fondo"/>
        <w:spacing w:line="276" w:lineRule="auto"/>
        <w:ind w:firstLine="708"/>
        <w:rPr>
          <w:rFonts w:cs="Arial"/>
          <w:color w:val="2E74B5" w:themeColor="accent1" w:themeShade="BF"/>
          <w:sz w:val="24"/>
          <w:szCs w:val="24"/>
        </w:rPr>
      </w:pPr>
    </w:p>
    <w:p w:rsidR="0097731F" w:rsidRPr="0097731F" w:rsidRDefault="00BE3B08" w:rsidP="009C0F89">
      <w:pPr>
        <w:pStyle w:val="corte4fondo"/>
        <w:spacing w:line="240" w:lineRule="auto"/>
        <w:ind w:firstLine="708"/>
        <w:rPr>
          <w:rFonts w:cs="Arial"/>
          <w:i/>
          <w:color w:val="2E74B5" w:themeColor="accent1" w:themeShade="BF"/>
          <w:sz w:val="20"/>
        </w:rPr>
      </w:pPr>
      <w:r w:rsidRPr="0097731F">
        <w:rPr>
          <w:rFonts w:cs="Arial"/>
          <w:b/>
          <w:i/>
          <w:color w:val="2E74B5" w:themeColor="accent1" w:themeShade="BF"/>
          <w:sz w:val="20"/>
        </w:rPr>
        <w:t xml:space="preserve"> </w:t>
      </w:r>
      <w:r w:rsidR="0097731F">
        <w:rPr>
          <w:rFonts w:cs="Arial"/>
          <w:b/>
          <w:i/>
          <w:color w:val="2E74B5" w:themeColor="accent1" w:themeShade="BF"/>
          <w:sz w:val="20"/>
        </w:rPr>
        <w:t>“…</w:t>
      </w:r>
      <w:r w:rsidR="0097731F" w:rsidRPr="0097731F">
        <w:rPr>
          <w:rFonts w:cs="Arial"/>
          <w:b/>
          <w:i/>
          <w:color w:val="2E74B5" w:themeColor="accent1" w:themeShade="BF"/>
          <w:sz w:val="20"/>
        </w:rPr>
        <w:t>ARTICULO 41</w:t>
      </w:r>
      <w:r w:rsidR="0097731F" w:rsidRPr="0097731F">
        <w:rPr>
          <w:rFonts w:cs="Arial"/>
          <w:i/>
          <w:color w:val="2E74B5" w:themeColor="accent1" w:themeShade="BF"/>
          <w:sz w:val="20"/>
        </w:rPr>
        <w:t xml:space="preserve">. A la Oficialía Mayor corresponde el despacho de los siguientes asuntos: </w:t>
      </w:r>
    </w:p>
    <w:p w:rsidR="0097731F" w:rsidRPr="0097731F" w:rsidRDefault="0097731F" w:rsidP="009C0F89">
      <w:pPr>
        <w:pStyle w:val="corte4fondo"/>
        <w:spacing w:line="240" w:lineRule="auto"/>
        <w:ind w:firstLine="708"/>
        <w:rPr>
          <w:rFonts w:cs="Arial"/>
          <w:i/>
          <w:color w:val="2E74B5" w:themeColor="accent1" w:themeShade="BF"/>
          <w:sz w:val="20"/>
        </w:rPr>
      </w:pPr>
      <w:r w:rsidRPr="0097731F">
        <w:rPr>
          <w:rFonts w:cs="Arial"/>
          <w:i/>
          <w:color w:val="2E74B5" w:themeColor="accent1" w:themeShade="BF"/>
          <w:sz w:val="20"/>
        </w:rPr>
        <w:t xml:space="preserve"> </w:t>
      </w:r>
    </w:p>
    <w:p w:rsidR="0097731F" w:rsidRPr="0097731F" w:rsidRDefault="0097731F" w:rsidP="009C0F89">
      <w:pPr>
        <w:pStyle w:val="corte4fondo"/>
        <w:spacing w:line="240" w:lineRule="auto"/>
        <w:ind w:firstLine="708"/>
        <w:rPr>
          <w:rFonts w:cs="Arial"/>
          <w:i/>
          <w:color w:val="2E74B5" w:themeColor="accent1" w:themeShade="BF"/>
          <w:sz w:val="20"/>
        </w:rPr>
      </w:pPr>
      <w:r w:rsidRPr="0097731F">
        <w:rPr>
          <w:rFonts w:cs="Arial"/>
          <w:i/>
          <w:color w:val="2E74B5" w:themeColor="accent1" w:themeShade="BF"/>
          <w:sz w:val="20"/>
        </w:rPr>
        <w:t xml:space="preserve">I. Proponer e instrumentar la política de administración de recursos humanos, adquisiciones, prestación de servicios generales, y patrimonio inmobiliario del Ejecutivo del Estado, conforme a las disposiciones jurídicas aplicables; </w:t>
      </w:r>
    </w:p>
    <w:p w:rsidR="0097731F" w:rsidRPr="0097731F" w:rsidRDefault="0097731F" w:rsidP="009C0F89">
      <w:pPr>
        <w:pStyle w:val="corte4fondo"/>
        <w:spacing w:line="240" w:lineRule="auto"/>
        <w:ind w:firstLine="708"/>
        <w:rPr>
          <w:rFonts w:cs="Arial"/>
          <w:i/>
          <w:color w:val="2E74B5" w:themeColor="accent1" w:themeShade="BF"/>
          <w:sz w:val="20"/>
        </w:rPr>
      </w:pPr>
      <w:r w:rsidRPr="0097731F">
        <w:rPr>
          <w:rFonts w:cs="Arial"/>
          <w:i/>
          <w:color w:val="2E74B5" w:themeColor="accent1" w:themeShade="BF"/>
          <w:sz w:val="20"/>
        </w:rPr>
        <w:t xml:space="preserve"> </w:t>
      </w:r>
    </w:p>
    <w:p w:rsidR="0097731F" w:rsidRPr="0097731F" w:rsidRDefault="0097731F" w:rsidP="009C0F89">
      <w:pPr>
        <w:pStyle w:val="corte4fondo"/>
        <w:spacing w:line="240" w:lineRule="auto"/>
        <w:ind w:firstLine="708"/>
        <w:rPr>
          <w:rFonts w:cs="Arial"/>
          <w:i/>
          <w:color w:val="2E74B5" w:themeColor="accent1" w:themeShade="BF"/>
          <w:sz w:val="20"/>
        </w:rPr>
      </w:pPr>
      <w:r w:rsidRPr="0097731F">
        <w:rPr>
          <w:rFonts w:cs="Arial"/>
          <w:i/>
          <w:color w:val="2E74B5" w:themeColor="accent1" w:themeShade="BF"/>
          <w:sz w:val="20"/>
        </w:rPr>
        <w:t xml:space="preserve">II. Llevar la administración de sueldos de los trabajadores al servicio del Poder Ejecutivo estatal, estableciendo los lineamientos generales, políticas y programas relativos a los nombramientos, desarrollo, transferencia y separación del personal, con base en las disposiciones legales aplicables; </w:t>
      </w:r>
    </w:p>
    <w:p w:rsidR="0097731F" w:rsidRPr="0097731F" w:rsidRDefault="0097731F" w:rsidP="009C0F89">
      <w:pPr>
        <w:pStyle w:val="corte4fondo"/>
        <w:spacing w:line="240" w:lineRule="auto"/>
        <w:ind w:firstLine="708"/>
        <w:rPr>
          <w:rFonts w:cs="Arial"/>
          <w:i/>
          <w:color w:val="2E74B5" w:themeColor="accent1" w:themeShade="BF"/>
          <w:sz w:val="20"/>
        </w:rPr>
      </w:pPr>
      <w:r w:rsidRPr="0097731F">
        <w:rPr>
          <w:rFonts w:cs="Arial"/>
          <w:i/>
          <w:color w:val="2E74B5" w:themeColor="accent1" w:themeShade="BF"/>
          <w:sz w:val="20"/>
        </w:rPr>
        <w:t xml:space="preserve"> </w:t>
      </w:r>
    </w:p>
    <w:p w:rsidR="0097731F" w:rsidRPr="0097731F" w:rsidRDefault="0097731F" w:rsidP="009C0F89">
      <w:pPr>
        <w:pStyle w:val="corte4fondo"/>
        <w:spacing w:line="240" w:lineRule="auto"/>
        <w:ind w:firstLine="708"/>
        <w:rPr>
          <w:rFonts w:cs="Arial"/>
          <w:i/>
          <w:color w:val="2E74B5" w:themeColor="accent1" w:themeShade="BF"/>
          <w:sz w:val="20"/>
        </w:rPr>
      </w:pPr>
      <w:r w:rsidRPr="0097731F">
        <w:rPr>
          <w:rFonts w:cs="Arial"/>
          <w:i/>
          <w:color w:val="2E74B5" w:themeColor="accent1" w:themeShade="BF"/>
          <w:sz w:val="20"/>
        </w:rPr>
        <w:lastRenderedPageBreak/>
        <w:t xml:space="preserve">III. Coadyuvar con las diversas dependencias del Ejecutivo, en la elaboración de sus manuales de organización y de procedimientos, así como auxiliarlas en la formulación de sus proyectos de reglamentos interiores; </w:t>
      </w:r>
    </w:p>
    <w:p w:rsidR="0097731F" w:rsidRPr="0097731F" w:rsidRDefault="0097731F" w:rsidP="009C0F89">
      <w:pPr>
        <w:pStyle w:val="corte4fondo"/>
        <w:spacing w:line="240" w:lineRule="auto"/>
        <w:ind w:firstLine="708"/>
        <w:rPr>
          <w:rFonts w:cs="Arial"/>
          <w:i/>
          <w:color w:val="2E74B5" w:themeColor="accent1" w:themeShade="BF"/>
          <w:sz w:val="20"/>
        </w:rPr>
      </w:pPr>
      <w:r w:rsidRPr="0097731F">
        <w:rPr>
          <w:rFonts w:cs="Arial"/>
          <w:i/>
          <w:color w:val="2E74B5" w:themeColor="accent1" w:themeShade="BF"/>
          <w:sz w:val="20"/>
        </w:rPr>
        <w:t xml:space="preserve"> </w:t>
      </w:r>
    </w:p>
    <w:p w:rsidR="0097731F" w:rsidRPr="0097731F" w:rsidRDefault="0097731F" w:rsidP="009C0F89">
      <w:pPr>
        <w:pStyle w:val="corte4fondo"/>
        <w:spacing w:line="240" w:lineRule="auto"/>
        <w:ind w:firstLine="708"/>
        <w:rPr>
          <w:rFonts w:cs="Arial"/>
          <w:i/>
          <w:color w:val="2E74B5" w:themeColor="accent1" w:themeShade="BF"/>
          <w:sz w:val="20"/>
        </w:rPr>
      </w:pPr>
      <w:r w:rsidRPr="0097731F">
        <w:rPr>
          <w:rFonts w:cs="Arial"/>
          <w:i/>
          <w:color w:val="2E74B5" w:themeColor="accent1" w:themeShade="BF"/>
          <w:sz w:val="20"/>
        </w:rPr>
        <w:t xml:space="preserve">IV. Tramitar los nombramientos, remociones, renuncias, licencias y jubilaciones de los funcionarios y trabajadores de la administración pública estatal, a excepción de los titulares de las dependencias; </w:t>
      </w:r>
    </w:p>
    <w:p w:rsidR="0097731F" w:rsidRPr="0097731F" w:rsidRDefault="0097731F" w:rsidP="009C0F89">
      <w:pPr>
        <w:pStyle w:val="corte4fondo"/>
        <w:spacing w:line="240" w:lineRule="auto"/>
        <w:ind w:firstLine="708"/>
        <w:rPr>
          <w:rFonts w:cs="Arial"/>
          <w:i/>
          <w:color w:val="2E74B5" w:themeColor="accent1" w:themeShade="BF"/>
          <w:sz w:val="20"/>
        </w:rPr>
      </w:pPr>
      <w:r w:rsidRPr="0097731F">
        <w:rPr>
          <w:rFonts w:cs="Arial"/>
          <w:i/>
          <w:color w:val="2E74B5" w:themeColor="accent1" w:themeShade="BF"/>
          <w:sz w:val="20"/>
        </w:rPr>
        <w:t xml:space="preserve"> </w:t>
      </w:r>
    </w:p>
    <w:p w:rsidR="0097731F" w:rsidRPr="0097731F" w:rsidRDefault="0097731F" w:rsidP="009C0F89">
      <w:pPr>
        <w:pStyle w:val="corte4fondo"/>
        <w:spacing w:line="240" w:lineRule="auto"/>
        <w:ind w:firstLine="708"/>
        <w:rPr>
          <w:rFonts w:cs="Arial"/>
          <w:i/>
          <w:color w:val="2E74B5" w:themeColor="accent1" w:themeShade="BF"/>
          <w:sz w:val="20"/>
        </w:rPr>
      </w:pPr>
      <w:r w:rsidRPr="0097731F">
        <w:rPr>
          <w:rFonts w:cs="Arial"/>
          <w:i/>
          <w:color w:val="2E74B5" w:themeColor="accent1" w:themeShade="BF"/>
          <w:sz w:val="20"/>
        </w:rPr>
        <w:t xml:space="preserve">V. Promover la capacitación y el adiestramiento del personal de la administración pública estatal; </w:t>
      </w:r>
    </w:p>
    <w:p w:rsidR="0097731F" w:rsidRPr="0097731F" w:rsidRDefault="0097731F" w:rsidP="009C0F89">
      <w:pPr>
        <w:pStyle w:val="corte4fondo"/>
        <w:spacing w:line="240" w:lineRule="auto"/>
        <w:ind w:firstLine="708"/>
        <w:rPr>
          <w:rFonts w:cs="Arial"/>
          <w:i/>
          <w:color w:val="2E74B5" w:themeColor="accent1" w:themeShade="BF"/>
          <w:sz w:val="20"/>
        </w:rPr>
      </w:pPr>
      <w:r w:rsidRPr="0097731F">
        <w:rPr>
          <w:rFonts w:cs="Arial"/>
          <w:i/>
          <w:color w:val="2E74B5" w:themeColor="accent1" w:themeShade="BF"/>
          <w:sz w:val="20"/>
        </w:rPr>
        <w:t xml:space="preserve"> </w:t>
      </w:r>
    </w:p>
    <w:p w:rsidR="0097731F" w:rsidRPr="0097731F" w:rsidRDefault="0097731F" w:rsidP="009C0F89">
      <w:pPr>
        <w:pStyle w:val="corte4fondo"/>
        <w:spacing w:line="240" w:lineRule="auto"/>
        <w:ind w:firstLine="708"/>
        <w:rPr>
          <w:rFonts w:cs="Arial"/>
          <w:i/>
          <w:color w:val="2E74B5" w:themeColor="accent1" w:themeShade="BF"/>
          <w:sz w:val="20"/>
        </w:rPr>
      </w:pPr>
      <w:r w:rsidRPr="0097731F">
        <w:rPr>
          <w:rFonts w:cs="Arial"/>
          <w:i/>
          <w:color w:val="2E74B5" w:themeColor="accent1" w:themeShade="BF"/>
          <w:sz w:val="20"/>
        </w:rPr>
        <w:t xml:space="preserve">VI. Conducir las relaciones con los representantes de los trabajadores y vigilar el cumplimiento de las disposiciones que rigen las relaciones laborales entre el Poder Ejecutivo y sus trabajadores, así como coadyuvar con los titulares de las dependencias en los procesos laborales, ante el Tribunal Estatal de Conciliación y Arbitraje para los trabajadores al servicio de las instituciones públicas del Estado; </w:t>
      </w:r>
    </w:p>
    <w:p w:rsidR="0097731F" w:rsidRPr="0097731F" w:rsidRDefault="0097731F" w:rsidP="009C0F89">
      <w:pPr>
        <w:pStyle w:val="corte4fondo"/>
        <w:spacing w:line="240" w:lineRule="auto"/>
        <w:ind w:firstLine="708"/>
        <w:rPr>
          <w:rFonts w:cs="Arial"/>
          <w:i/>
          <w:color w:val="2E74B5" w:themeColor="accent1" w:themeShade="BF"/>
          <w:sz w:val="20"/>
        </w:rPr>
      </w:pPr>
      <w:r w:rsidRPr="0097731F">
        <w:rPr>
          <w:rFonts w:cs="Arial"/>
          <w:i/>
          <w:color w:val="2E74B5" w:themeColor="accent1" w:themeShade="BF"/>
          <w:sz w:val="20"/>
        </w:rPr>
        <w:t xml:space="preserve"> </w:t>
      </w:r>
    </w:p>
    <w:p w:rsidR="0097731F" w:rsidRPr="0097731F" w:rsidRDefault="0097731F" w:rsidP="009C0F89">
      <w:pPr>
        <w:pStyle w:val="corte4fondo"/>
        <w:spacing w:line="240" w:lineRule="auto"/>
        <w:ind w:firstLine="708"/>
        <w:rPr>
          <w:rFonts w:cs="Arial"/>
          <w:i/>
          <w:color w:val="2E74B5" w:themeColor="accent1" w:themeShade="BF"/>
          <w:sz w:val="20"/>
        </w:rPr>
      </w:pPr>
      <w:r w:rsidRPr="0097731F">
        <w:rPr>
          <w:rFonts w:cs="Arial"/>
          <w:i/>
          <w:color w:val="2E74B5" w:themeColor="accent1" w:themeShade="BF"/>
          <w:sz w:val="20"/>
        </w:rPr>
        <w:t xml:space="preserve">VII. Mantener actualizado el escalafón de los trabajadores y vigilar la adecuada difusión de los movimientos y procesos </w:t>
      </w:r>
      <w:proofErr w:type="spellStart"/>
      <w:r w:rsidRPr="0097731F">
        <w:rPr>
          <w:rFonts w:cs="Arial"/>
          <w:i/>
          <w:color w:val="2E74B5" w:themeColor="accent1" w:themeShade="BF"/>
          <w:sz w:val="20"/>
        </w:rPr>
        <w:t>escalafonarios</w:t>
      </w:r>
      <w:proofErr w:type="spellEnd"/>
      <w:r w:rsidRPr="0097731F">
        <w:rPr>
          <w:rFonts w:cs="Arial"/>
          <w:i/>
          <w:color w:val="2E74B5" w:themeColor="accent1" w:themeShade="BF"/>
          <w:sz w:val="20"/>
        </w:rPr>
        <w:t xml:space="preserve">; </w:t>
      </w:r>
    </w:p>
    <w:p w:rsidR="0097731F" w:rsidRPr="0097731F" w:rsidRDefault="0097731F" w:rsidP="009C0F89">
      <w:pPr>
        <w:pStyle w:val="corte4fondo"/>
        <w:spacing w:line="240" w:lineRule="auto"/>
        <w:ind w:firstLine="708"/>
        <w:rPr>
          <w:rFonts w:cs="Arial"/>
          <w:i/>
          <w:color w:val="2E74B5" w:themeColor="accent1" w:themeShade="BF"/>
          <w:sz w:val="20"/>
        </w:rPr>
      </w:pPr>
      <w:r w:rsidRPr="0097731F">
        <w:rPr>
          <w:rFonts w:cs="Arial"/>
          <w:i/>
          <w:color w:val="2E74B5" w:themeColor="accent1" w:themeShade="BF"/>
          <w:sz w:val="20"/>
        </w:rPr>
        <w:t xml:space="preserve"> </w:t>
      </w:r>
    </w:p>
    <w:p w:rsidR="0097731F" w:rsidRPr="0097731F" w:rsidRDefault="0097731F" w:rsidP="009C0F89">
      <w:pPr>
        <w:pStyle w:val="corte4fondo"/>
        <w:spacing w:line="240" w:lineRule="auto"/>
        <w:ind w:firstLine="708"/>
        <w:rPr>
          <w:rFonts w:cs="Arial"/>
          <w:i/>
          <w:color w:val="2E74B5" w:themeColor="accent1" w:themeShade="BF"/>
          <w:sz w:val="20"/>
        </w:rPr>
      </w:pPr>
      <w:r w:rsidRPr="0097731F">
        <w:rPr>
          <w:rFonts w:cs="Arial"/>
          <w:i/>
          <w:color w:val="2E74B5" w:themeColor="accent1" w:themeShade="BF"/>
          <w:sz w:val="20"/>
        </w:rPr>
        <w:t xml:space="preserve">VIII. Ejecutar los acuerdos de los titulares de las dependencias, relativos a la imposición, reducción y revocación de las sanciones administrativas, de acuerdo a la Ley de los Trabajadores al Servicio de las Instituciones Públicas del Estado, a que se hagan acreedores los trabajadores de la administración pública estatal, sin perjuicio de las que compete imponer a la Contraloría General del Estado; </w:t>
      </w:r>
    </w:p>
    <w:p w:rsidR="0097731F" w:rsidRPr="0097731F" w:rsidRDefault="0097731F" w:rsidP="009C0F89">
      <w:pPr>
        <w:pStyle w:val="corte4fondo"/>
        <w:spacing w:line="240" w:lineRule="auto"/>
        <w:ind w:firstLine="708"/>
        <w:rPr>
          <w:rFonts w:cs="Arial"/>
          <w:i/>
          <w:color w:val="2E74B5" w:themeColor="accent1" w:themeShade="BF"/>
          <w:sz w:val="20"/>
        </w:rPr>
      </w:pPr>
      <w:r w:rsidRPr="0097731F">
        <w:rPr>
          <w:rFonts w:cs="Arial"/>
          <w:i/>
          <w:color w:val="2E74B5" w:themeColor="accent1" w:themeShade="BF"/>
          <w:sz w:val="20"/>
        </w:rPr>
        <w:t xml:space="preserve"> </w:t>
      </w:r>
    </w:p>
    <w:p w:rsidR="0097731F" w:rsidRPr="0097731F" w:rsidRDefault="0097731F" w:rsidP="009C0F89">
      <w:pPr>
        <w:pStyle w:val="corte4fondo"/>
        <w:spacing w:line="240" w:lineRule="auto"/>
        <w:ind w:firstLine="708"/>
        <w:rPr>
          <w:rFonts w:cs="Arial"/>
          <w:i/>
          <w:color w:val="2E74B5" w:themeColor="accent1" w:themeShade="BF"/>
          <w:sz w:val="20"/>
        </w:rPr>
      </w:pPr>
      <w:r w:rsidRPr="0097731F">
        <w:rPr>
          <w:rFonts w:cs="Arial"/>
          <w:i/>
          <w:color w:val="2E74B5" w:themeColor="accent1" w:themeShade="BF"/>
          <w:sz w:val="20"/>
        </w:rPr>
        <w:t xml:space="preserve">IX. Proporcionar y administrar las prestaciones económicas y los servicios que correspondan al personal de la administración pública estatal; </w:t>
      </w:r>
    </w:p>
    <w:p w:rsidR="0097731F" w:rsidRPr="0097731F" w:rsidRDefault="0097731F" w:rsidP="009C0F89">
      <w:pPr>
        <w:pStyle w:val="corte4fondo"/>
        <w:spacing w:line="240" w:lineRule="auto"/>
        <w:ind w:firstLine="708"/>
        <w:rPr>
          <w:rFonts w:cs="Arial"/>
          <w:i/>
          <w:color w:val="2E74B5" w:themeColor="accent1" w:themeShade="BF"/>
          <w:sz w:val="20"/>
        </w:rPr>
      </w:pPr>
      <w:r w:rsidRPr="0097731F">
        <w:rPr>
          <w:rFonts w:cs="Arial"/>
          <w:i/>
          <w:color w:val="2E74B5" w:themeColor="accent1" w:themeShade="BF"/>
          <w:sz w:val="20"/>
        </w:rPr>
        <w:t xml:space="preserve"> </w:t>
      </w:r>
    </w:p>
    <w:p w:rsidR="0097731F" w:rsidRPr="0097731F" w:rsidRDefault="0097731F" w:rsidP="009C0F89">
      <w:pPr>
        <w:pStyle w:val="corte4fondo"/>
        <w:spacing w:line="240" w:lineRule="auto"/>
        <w:ind w:firstLine="708"/>
        <w:rPr>
          <w:rFonts w:cs="Arial"/>
          <w:i/>
          <w:color w:val="2E74B5" w:themeColor="accent1" w:themeShade="BF"/>
          <w:sz w:val="20"/>
        </w:rPr>
      </w:pPr>
      <w:r w:rsidRPr="0097731F">
        <w:rPr>
          <w:rFonts w:cs="Arial"/>
          <w:i/>
          <w:color w:val="2E74B5" w:themeColor="accent1" w:themeShade="BF"/>
          <w:sz w:val="20"/>
        </w:rPr>
        <w:t xml:space="preserve">X. Expedir los acuerdos e instructivos de las condiciones generales de trabajo, así como difundir y vigilar su cumplimiento entre el personal de la administración pública estatal; </w:t>
      </w:r>
    </w:p>
    <w:p w:rsidR="0097731F" w:rsidRPr="0097731F" w:rsidRDefault="0097731F" w:rsidP="009C0F89">
      <w:pPr>
        <w:pStyle w:val="corte4fondo"/>
        <w:spacing w:line="240" w:lineRule="auto"/>
        <w:ind w:firstLine="708"/>
        <w:rPr>
          <w:rFonts w:cs="Arial"/>
          <w:i/>
          <w:color w:val="2E74B5" w:themeColor="accent1" w:themeShade="BF"/>
          <w:sz w:val="20"/>
        </w:rPr>
      </w:pPr>
      <w:r w:rsidRPr="0097731F">
        <w:rPr>
          <w:rFonts w:cs="Arial"/>
          <w:i/>
          <w:color w:val="2E74B5" w:themeColor="accent1" w:themeShade="BF"/>
          <w:sz w:val="20"/>
        </w:rPr>
        <w:t xml:space="preserve"> </w:t>
      </w:r>
    </w:p>
    <w:p w:rsidR="0097731F" w:rsidRPr="0097731F" w:rsidRDefault="0097731F" w:rsidP="009C0F89">
      <w:pPr>
        <w:pStyle w:val="corte4fondo"/>
        <w:spacing w:line="240" w:lineRule="auto"/>
        <w:ind w:firstLine="708"/>
        <w:rPr>
          <w:rFonts w:cs="Arial"/>
          <w:i/>
          <w:color w:val="2E74B5" w:themeColor="accent1" w:themeShade="BF"/>
          <w:sz w:val="20"/>
        </w:rPr>
      </w:pPr>
      <w:r w:rsidRPr="0097731F">
        <w:rPr>
          <w:rFonts w:cs="Arial"/>
          <w:i/>
          <w:color w:val="2E74B5" w:themeColor="accent1" w:themeShade="BF"/>
          <w:sz w:val="20"/>
        </w:rPr>
        <w:t xml:space="preserve">XI. Atender las necesidades de los servicios médicos, asistenciales, sociales y culturales del personal al servicio del Gobierno del Estado, a través de las instituciones con las cuales se conviniere su prestación; </w:t>
      </w:r>
    </w:p>
    <w:p w:rsidR="0097731F" w:rsidRPr="0097731F" w:rsidRDefault="0097731F" w:rsidP="009C0F89">
      <w:pPr>
        <w:pStyle w:val="corte4fondo"/>
        <w:spacing w:line="240" w:lineRule="auto"/>
        <w:ind w:firstLine="708"/>
        <w:rPr>
          <w:rFonts w:cs="Arial"/>
          <w:i/>
          <w:color w:val="2E74B5" w:themeColor="accent1" w:themeShade="BF"/>
          <w:sz w:val="20"/>
        </w:rPr>
      </w:pPr>
      <w:r w:rsidRPr="0097731F">
        <w:rPr>
          <w:rFonts w:cs="Arial"/>
          <w:i/>
          <w:color w:val="2E74B5" w:themeColor="accent1" w:themeShade="BF"/>
          <w:sz w:val="20"/>
        </w:rPr>
        <w:t xml:space="preserve"> </w:t>
      </w:r>
    </w:p>
    <w:p w:rsidR="0097731F" w:rsidRPr="0097731F" w:rsidRDefault="0097731F" w:rsidP="009C0F89">
      <w:pPr>
        <w:pStyle w:val="corte4fondo"/>
        <w:spacing w:line="240" w:lineRule="auto"/>
        <w:ind w:firstLine="708"/>
        <w:rPr>
          <w:rFonts w:cs="Arial"/>
          <w:i/>
          <w:color w:val="2E74B5" w:themeColor="accent1" w:themeShade="BF"/>
          <w:sz w:val="20"/>
        </w:rPr>
      </w:pPr>
      <w:r w:rsidRPr="0097731F">
        <w:rPr>
          <w:rFonts w:cs="Arial"/>
          <w:i/>
          <w:color w:val="2E74B5" w:themeColor="accent1" w:themeShade="BF"/>
          <w:sz w:val="20"/>
        </w:rPr>
        <w:t xml:space="preserve">XII. Aplicar las políticas y normas para la adquisición de bienes y servicios que requiera el funcionamiento de la administración pública estatal; </w:t>
      </w:r>
    </w:p>
    <w:p w:rsidR="0097731F" w:rsidRPr="0097731F" w:rsidRDefault="0097731F" w:rsidP="009C0F89">
      <w:pPr>
        <w:pStyle w:val="corte4fondo"/>
        <w:spacing w:line="240" w:lineRule="auto"/>
        <w:ind w:firstLine="708"/>
        <w:rPr>
          <w:rFonts w:cs="Arial"/>
          <w:i/>
          <w:color w:val="2E74B5" w:themeColor="accent1" w:themeShade="BF"/>
          <w:sz w:val="20"/>
        </w:rPr>
      </w:pPr>
      <w:r w:rsidRPr="0097731F">
        <w:rPr>
          <w:rFonts w:cs="Arial"/>
          <w:i/>
          <w:color w:val="2E74B5" w:themeColor="accent1" w:themeShade="BF"/>
          <w:sz w:val="20"/>
        </w:rPr>
        <w:t xml:space="preserve"> </w:t>
      </w:r>
    </w:p>
    <w:p w:rsidR="0097731F" w:rsidRPr="0097731F" w:rsidRDefault="0097731F" w:rsidP="009C0F89">
      <w:pPr>
        <w:pStyle w:val="corte4fondo"/>
        <w:spacing w:line="240" w:lineRule="auto"/>
        <w:ind w:firstLine="708"/>
        <w:rPr>
          <w:rFonts w:cs="Arial"/>
          <w:i/>
          <w:color w:val="2E74B5" w:themeColor="accent1" w:themeShade="BF"/>
          <w:sz w:val="20"/>
        </w:rPr>
      </w:pPr>
      <w:r w:rsidRPr="0097731F">
        <w:rPr>
          <w:rFonts w:cs="Arial"/>
          <w:i/>
          <w:color w:val="2E74B5" w:themeColor="accent1" w:themeShade="BF"/>
          <w:sz w:val="20"/>
        </w:rPr>
        <w:t xml:space="preserve">XIII. Realizar las adquisiciones de los bienes y contratar los servicios que requieran las dependencias de la administración pública estatal, con apego a la normatividad aplicable; </w:t>
      </w:r>
    </w:p>
    <w:p w:rsidR="0097731F" w:rsidRPr="0097731F" w:rsidRDefault="0097731F" w:rsidP="009C0F89">
      <w:pPr>
        <w:pStyle w:val="corte4fondo"/>
        <w:spacing w:line="240" w:lineRule="auto"/>
        <w:ind w:firstLine="708"/>
        <w:rPr>
          <w:rFonts w:cs="Arial"/>
          <w:i/>
          <w:color w:val="2E74B5" w:themeColor="accent1" w:themeShade="BF"/>
          <w:sz w:val="20"/>
        </w:rPr>
      </w:pPr>
      <w:r w:rsidRPr="0097731F">
        <w:rPr>
          <w:rFonts w:cs="Arial"/>
          <w:i/>
          <w:color w:val="2E74B5" w:themeColor="accent1" w:themeShade="BF"/>
          <w:sz w:val="20"/>
        </w:rPr>
        <w:t xml:space="preserve"> </w:t>
      </w:r>
    </w:p>
    <w:p w:rsidR="0097731F" w:rsidRPr="0097731F" w:rsidRDefault="0097731F" w:rsidP="009C0F89">
      <w:pPr>
        <w:pStyle w:val="corte4fondo"/>
        <w:spacing w:line="240" w:lineRule="auto"/>
        <w:ind w:firstLine="708"/>
        <w:rPr>
          <w:rFonts w:cs="Arial"/>
          <w:i/>
          <w:color w:val="2E74B5" w:themeColor="accent1" w:themeShade="BF"/>
          <w:sz w:val="20"/>
        </w:rPr>
      </w:pPr>
      <w:r w:rsidRPr="0097731F">
        <w:rPr>
          <w:rFonts w:cs="Arial"/>
          <w:i/>
          <w:color w:val="2E74B5" w:themeColor="accent1" w:themeShade="BF"/>
          <w:sz w:val="20"/>
        </w:rPr>
        <w:t xml:space="preserve">XIV. Proveer oportunamente a las dependencias del Ejecutivo del Estado de los elementos necesarios para el desarrollo de sus funciones; </w:t>
      </w:r>
    </w:p>
    <w:p w:rsidR="0097731F" w:rsidRPr="0097731F" w:rsidRDefault="0097731F" w:rsidP="009C0F89">
      <w:pPr>
        <w:pStyle w:val="corte4fondo"/>
        <w:spacing w:line="240" w:lineRule="auto"/>
        <w:ind w:firstLine="708"/>
        <w:rPr>
          <w:rFonts w:cs="Arial"/>
          <w:i/>
          <w:color w:val="2E74B5" w:themeColor="accent1" w:themeShade="BF"/>
          <w:sz w:val="20"/>
        </w:rPr>
      </w:pPr>
      <w:r w:rsidRPr="0097731F">
        <w:rPr>
          <w:rFonts w:cs="Arial"/>
          <w:i/>
          <w:color w:val="2E74B5" w:themeColor="accent1" w:themeShade="BF"/>
          <w:sz w:val="20"/>
        </w:rPr>
        <w:t xml:space="preserve"> </w:t>
      </w:r>
    </w:p>
    <w:p w:rsidR="0097731F" w:rsidRPr="0097731F" w:rsidRDefault="0097731F" w:rsidP="009C0F89">
      <w:pPr>
        <w:pStyle w:val="corte4fondo"/>
        <w:spacing w:line="240" w:lineRule="auto"/>
        <w:ind w:firstLine="708"/>
        <w:rPr>
          <w:rFonts w:cs="Arial"/>
          <w:i/>
          <w:color w:val="2E74B5" w:themeColor="accent1" w:themeShade="BF"/>
          <w:sz w:val="20"/>
        </w:rPr>
      </w:pPr>
      <w:r w:rsidRPr="0097731F">
        <w:rPr>
          <w:rFonts w:cs="Arial"/>
          <w:i/>
          <w:color w:val="2E74B5" w:themeColor="accent1" w:themeShade="BF"/>
          <w:sz w:val="20"/>
        </w:rPr>
        <w:t xml:space="preserve">XV. Levantar y tener al corriente el inventario de los bienes muebles e inmuebles propiedad del Gobierno del Estado; </w:t>
      </w:r>
    </w:p>
    <w:p w:rsidR="0097731F" w:rsidRPr="0097731F" w:rsidRDefault="0097731F" w:rsidP="009C0F89">
      <w:pPr>
        <w:pStyle w:val="corte4fondo"/>
        <w:spacing w:line="240" w:lineRule="auto"/>
        <w:ind w:firstLine="708"/>
        <w:rPr>
          <w:rFonts w:cs="Arial"/>
          <w:i/>
          <w:color w:val="2E74B5" w:themeColor="accent1" w:themeShade="BF"/>
          <w:sz w:val="20"/>
        </w:rPr>
      </w:pPr>
      <w:r w:rsidRPr="0097731F">
        <w:rPr>
          <w:rFonts w:cs="Arial"/>
          <w:i/>
          <w:color w:val="2E74B5" w:themeColor="accent1" w:themeShade="BF"/>
          <w:sz w:val="20"/>
        </w:rPr>
        <w:t xml:space="preserve"> </w:t>
      </w:r>
    </w:p>
    <w:p w:rsidR="0097731F" w:rsidRPr="0097731F" w:rsidRDefault="0097731F" w:rsidP="009C0F89">
      <w:pPr>
        <w:pStyle w:val="corte4fondo"/>
        <w:spacing w:line="240" w:lineRule="auto"/>
        <w:ind w:firstLine="708"/>
        <w:rPr>
          <w:rFonts w:cs="Arial"/>
          <w:i/>
          <w:color w:val="2E74B5" w:themeColor="accent1" w:themeShade="BF"/>
          <w:sz w:val="20"/>
        </w:rPr>
      </w:pPr>
      <w:r w:rsidRPr="0097731F">
        <w:rPr>
          <w:rFonts w:cs="Arial"/>
          <w:i/>
          <w:color w:val="2E74B5" w:themeColor="accent1" w:themeShade="BF"/>
          <w:sz w:val="20"/>
        </w:rPr>
        <w:t xml:space="preserve">XVI. Administrar los bienes muebles e inmuebles propiedad del Gobierno del Estado, cuidando su mantenimiento, conservación y acondicionamiento. En el caso de los bienes inmuebles, la conservación y acondicionamiento lo encargará a la Secretaría de Desarrollo Urbano, Comunicaciones y Obras Públicas; </w:t>
      </w:r>
    </w:p>
    <w:p w:rsidR="0097731F" w:rsidRPr="0097731F" w:rsidRDefault="0097731F" w:rsidP="009C0F89">
      <w:pPr>
        <w:pStyle w:val="corte4fondo"/>
        <w:spacing w:line="240" w:lineRule="auto"/>
        <w:ind w:firstLine="708"/>
        <w:rPr>
          <w:rFonts w:cs="Arial"/>
          <w:i/>
          <w:color w:val="2E74B5" w:themeColor="accent1" w:themeShade="BF"/>
          <w:sz w:val="20"/>
        </w:rPr>
      </w:pPr>
      <w:r w:rsidRPr="0097731F">
        <w:rPr>
          <w:rFonts w:cs="Arial"/>
          <w:i/>
          <w:color w:val="2E74B5" w:themeColor="accent1" w:themeShade="BF"/>
          <w:sz w:val="20"/>
        </w:rPr>
        <w:t xml:space="preserve"> </w:t>
      </w:r>
    </w:p>
    <w:p w:rsidR="0097731F" w:rsidRPr="0097731F" w:rsidRDefault="0097731F" w:rsidP="009C0F89">
      <w:pPr>
        <w:pStyle w:val="corte4fondo"/>
        <w:spacing w:line="240" w:lineRule="auto"/>
        <w:ind w:firstLine="708"/>
        <w:rPr>
          <w:rFonts w:cs="Arial"/>
          <w:i/>
          <w:color w:val="2E74B5" w:themeColor="accent1" w:themeShade="BF"/>
          <w:sz w:val="20"/>
        </w:rPr>
      </w:pPr>
      <w:r w:rsidRPr="0097731F">
        <w:rPr>
          <w:rFonts w:cs="Arial"/>
          <w:i/>
          <w:color w:val="2E74B5" w:themeColor="accent1" w:themeShade="BF"/>
          <w:sz w:val="20"/>
        </w:rPr>
        <w:t xml:space="preserve">XVII. Administrar, controlar y vigilar los almacenes generales del Ejecutivo del Estado; </w:t>
      </w:r>
    </w:p>
    <w:p w:rsidR="0097731F" w:rsidRPr="0097731F" w:rsidRDefault="0097731F" w:rsidP="009C0F89">
      <w:pPr>
        <w:pStyle w:val="corte4fondo"/>
        <w:spacing w:line="240" w:lineRule="auto"/>
        <w:ind w:firstLine="708"/>
        <w:rPr>
          <w:rFonts w:cs="Arial"/>
          <w:i/>
          <w:color w:val="2E74B5" w:themeColor="accent1" w:themeShade="BF"/>
          <w:sz w:val="20"/>
        </w:rPr>
      </w:pPr>
      <w:r w:rsidRPr="0097731F">
        <w:rPr>
          <w:rFonts w:cs="Arial"/>
          <w:i/>
          <w:color w:val="2E74B5" w:themeColor="accent1" w:themeShade="BF"/>
          <w:sz w:val="20"/>
        </w:rPr>
        <w:t xml:space="preserve"> </w:t>
      </w:r>
    </w:p>
    <w:p w:rsidR="0097731F" w:rsidRPr="0097731F" w:rsidRDefault="0097731F" w:rsidP="009C0F89">
      <w:pPr>
        <w:pStyle w:val="corte4fondo"/>
        <w:spacing w:line="240" w:lineRule="auto"/>
        <w:ind w:firstLine="708"/>
        <w:rPr>
          <w:rFonts w:cs="Arial"/>
          <w:i/>
          <w:color w:val="2E74B5" w:themeColor="accent1" w:themeShade="BF"/>
          <w:sz w:val="20"/>
        </w:rPr>
      </w:pPr>
      <w:r w:rsidRPr="0097731F">
        <w:rPr>
          <w:rFonts w:cs="Arial"/>
          <w:i/>
          <w:color w:val="2E74B5" w:themeColor="accent1" w:themeShade="BF"/>
          <w:sz w:val="20"/>
        </w:rPr>
        <w:t xml:space="preserve">XVIII. Normar, coordinar y evaluar la actuación de las coordinaciones administrativas de las dependencias de la administración pública estatal, así como asesorar y apoyar el desempeño de las áreas administrativas de las entidades paraestatales; </w:t>
      </w:r>
    </w:p>
    <w:p w:rsidR="0097731F" w:rsidRPr="0097731F" w:rsidRDefault="0097731F" w:rsidP="009C0F89">
      <w:pPr>
        <w:pStyle w:val="corte4fondo"/>
        <w:spacing w:line="240" w:lineRule="auto"/>
        <w:ind w:firstLine="708"/>
        <w:rPr>
          <w:rFonts w:cs="Arial"/>
          <w:i/>
          <w:color w:val="2E74B5" w:themeColor="accent1" w:themeShade="BF"/>
          <w:sz w:val="20"/>
        </w:rPr>
      </w:pPr>
      <w:r w:rsidRPr="0097731F">
        <w:rPr>
          <w:rFonts w:cs="Arial"/>
          <w:i/>
          <w:color w:val="2E74B5" w:themeColor="accent1" w:themeShade="BF"/>
          <w:sz w:val="20"/>
        </w:rPr>
        <w:t xml:space="preserve"> </w:t>
      </w:r>
    </w:p>
    <w:p w:rsidR="0097731F" w:rsidRPr="0097731F" w:rsidRDefault="0097731F" w:rsidP="009C0F89">
      <w:pPr>
        <w:pStyle w:val="corte4fondo"/>
        <w:spacing w:line="240" w:lineRule="auto"/>
        <w:ind w:firstLine="708"/>
        <w:rPr>
          <w:rFonts w:cs="Arial"/>
          <w:i/>
          <w:color w:val="2E74B5" w:themeColor="accent1" w:themeShade="BF"/>
          <w:sz w:val="20"/>
        </w:rPr>
      </w:pPr>
      <w:r w:rsidRPr="0097731F">
        <w:rPr>
          <w:rFonts w:cs="Arial"/>
          <w:i/>
          <w:color w:val="2E74B5" w:themeColor="accent1" w:themeShade="BF"/>
          <w:sz w:val="20"/>
        </w:rPr>
        <w:t xml:space="preserve">XIX. Celebrar y ejecutar actos de dominio y administración sobre bienes muebles e inmuebles propiedad del Estado, excepto la enajenación de éstos últimos, en los términos que determine la Constitución Política del Estado y las leyes aplicables; </w:t>
      </w:r>
    </w:p>
    <w:p w:rsidR="0097731F" w:rsidRPr="0097731F" w:rsidRDefault="0097731F" w:rsidP="009C0F89">
      <w:pPr>
        <w:pStyle w:val="corte4fondo"/>
        <w:spacing w:line="240" w:lineRule="auto"/>
        <w:ind w:firstLine="708"/>
        <w:rPr>
          <w:rFonts w:cs="Arial"/>
          <w:i/>
          <w:color w:val="2E74B5" w:themeColor="accent1" w:themeShade="BF"/>
          <w:sz w:val="20"/>
        </w:rPr>
      </w:pPr>
      <w:r w:rsidRPr="0097731F">
        <w:rPr>
          <w:rFonts w:cs="Arial"/>
          <w:i/>
          <w:color w:val="2E74B5" w:themeColor="accent1" w:themeShade="BF"/>
          <w:sz w:val="20"/>
        </w:rPr>
        <w:t xml:space="preserve"> </w:t>
      </w:r>
    </w:p>
    <w:p w:rsidR="0097731F" w:rsidRPr="0097731F" w:rsidRDefault="0097731F" w:rsidP="009C0F89">
      <w:pPr>
        <w:pStyle w:val="corte4fondo"/>
        <w:spacing w:line="240" w:lineRule="auto"/>
        <w:ind w:firstLine="708"/>
        <w:rPr>
          <w:rFonts w:cs="Arial"/>
          <w:i/>
          <w:color w:val="2E74B5" w:themeColor="accent1" w:themeShade="BF"/>
          <w:sz w:val="20"/>
        </w:rPr>
      </w:pPr>
      <w:r w:rsidRPr="0097731F">
        <w:rPr>
          <w:rFonts w:cs="Arial"/>
          <w:i/>
          <w:color w:val="2E74B5" w:themeColor="accent1" w:themeShade="BF"/>
          <w:sz w:val="20"/>
        </w:rPr>
        <w:t xml:space="preserve">XX. Organizar, dirigir y controlar los servicios de vigilancia e intendencia de las dependencias de la administración pública estatal; </w:t>
      </w:r>
    </w:p>
    <w:p w:rsidR="0097731F" w:rsidRPr="0097731F" w:rsidRDefault="0097731F" w:rsidP="009C0F89">
      <w:pPr>
        <w:pStyle w:val="corte4fondo"/>
        <w:spacing w:line="240" w:lineRule="auto"/>
        <w:ind w:firstLine="708"/>
        <w:rPr>
          <w:rFonts w:cs="Arial"/>
          <w:i/>
          <w:color w:val="2E74B5" w:themeColor="accent1" w:themeShade="BF"/>
          <w:sz w:val="20"/>
        </w:rPr>
      </w:pPr>
      <w:r w:rsidRPr="0097731F">
        <w:rPr>
          <w:rFonts w:cs="Arial"/>
          <w:i/>
          <w:color w:val="2E74B5" w:themeColor="accent1" w:themeShade="BF"/>
          <w:sz w:val="20"/>
        </w:rPr>
        <w:lastRenderedPageBreak/>
        <w:t xml:space="preserve"> </w:t>
      </w:r>
    </w:p>
    <w:p w:rsidR="0097731F" w:rsidRPr="0097731F" w:rsidRDefault="0097731F" w:rsidP="009C0F89">
      <w:pPr>
        <w:pStyle w:val="corte4fondo"/>
        <w:spacing w:line="240" w:lineRule="auto"/>
        <w:ind w:firstLine="708"/>
        <w:rPr>
          <w:rFonts w:cs="Arial"/>
          <w:i/>
          <w:color w:val="2E74B5" w:themeColor="accent1" w:themeShade="BF"/>
          <w:sz w:val="20"/>
        </w:rPr>
      </w:pPr>
      <w:r w:rsidRPr="0097731F">
        <w:rPr>
          <w:rFonts w:cs="Arial"/>
          <w:i/>
          <w:color w:val="2E74B5" w:themeColor="accent1" w:themeShade="BF"/>
          <w:sz w:val="20"/>
        </w:rPr>
        <w:t xml:space="preserve">XXI. Resolver los conflictos administrativos, cuyo conocimiento le corresponda según lo determinen las leyes; </w:t>
      </w:r>
    </w:p>
    <w:p w:rsidR="0097731F" w:rsidRPr="0097731F" w:rsidRDefault="0097731F" w:rsidP="009C0F89">
      <w:pPr>
        <w:pStyle w:val="corte4fondo"/>
        <w:spacing w:line="240" w:lineRule="auto"/>
        <w:ind w:firstLine="708"/>
        <w:rPr>
          <w:rFonts w:cs="Arial"/>
          <w:i/>
          <w:color w:val="2E74B5" w:themeColor="accent1" w:themeShade="BF"/>
          <w:sz w:val="20"/>
        </w:rPr>
      </w:pPr>
      <w:r w:rsidRPr="0097731F">
        <w:rPr>
          <w:rFonts w:cs="Arial"/>
          <w:i/>
          <w:color w:val="2E74B5" w:themeColor="accent1" w:themeShade="BF"/>
          <w:sz w:val="20"/>
        </w:rPr>
        <w:t xml:space="preserve"> </w:t>
      </w:r>
    </w:p>
    <w:p w:rsidR="0097731F" w:rsidRPr="0097731F" w:rsidRDefault="0097731F" w:rsidP="009C0F89">
      <w:pPr>
        <w:pStyle w:val="corte4fondo"/>
        <w:spacing w:line="240" w:lineRule="auto"/>
        <w:ind w:firstLine="708"/>
        <w:rPr>
          <w:rFonts w:cs="Arial"/>
          <w:i/>
          <w:color w:val="2E74B5" w:themeColor="accent1" w:themeShade="BF"/>
          <w:sz w:val="20"/>
        </w:rPr>
      </w:pPr>
      <w:r w:rsidRPr="0097731F">
        <w:rPr>
          <w:rFonts w:cs="Arial"/>
          <w:i/>
          <w:color w:val="2E74B5" w:themeColor="accent1" w:themeShade="BF"/>
          <w:sz w:val="20"/>
        </w:rPr>
        <w:t xml:space="preserve">XXII. Administrar el Archivo General del Estado; </w:t>
      </w:r>
    </w:p>
    <w:p w:rsidR="0097731F" w:rsidRPr="0097731F" w:rsidRDefault="0097731F" w:rsidP="009C0F89">
      <w:pPr>
        <w:pStyle w:val="corte4fondo"/>
        <w:spacing w:line="240" w:lineRule="auto"/>
        <w:ind w:firstLine="708"/>
        <w:rPr>
          <w:rFonts w:cs="Arial"/>
          <w:i/>
          <w:color w:val="2E74B5" w:themeColor="accent1" w:themeShade="BF"/>
          <w:sz w:val="20"/>
        </w:rPr>
      </w:pPr>
      <w:r w:rsidRPr="0097731F">
        <w:rPr>
          <w:rFonts w:cs="Arial"/>
          <w:i/>
          <w:color w:val="2E74B5" w:themeColor="accent1" w:themeShade="BF"/>
          <w:sz w:val="20"/>
        </w:rPr>
        <w:t xml:space="preserve"> </w:t>
      </w:r>
    </w:p>
    <w:p w:rsidR="0097731F" w:rsidRPr="0097731F" w:rsidRDefault="0097731F" w:rsidP="009C0F89">
      <w:pPr>
        <w:pStyle w:val="corte4fondo"/>
        <w:spacing w:line="240" w:lineRule="auto"/>
        <w:ind w:firstLine="708"/>
        <w:rPr>
          <w:rFonts w:cs="Arial"/>
          <w:i/>
          <w:color w:val="2E74B5" w:themeColor="accent1" w:themeShade="BF"/>
          <w:sz w:val="20"/>
        </w:rPr>
      </w:pPr>
      <w:r w:rsidRPr="0097731F">
        <w:rPr>
          <w:rFonts w:cs="Arial"/>
          <w:i/>
          <w:color w:val="2E74B5" w:themeColor="accent1" w:themeShade="BF"/>
          <w:sz w:val="20"/>
        </w:rPr>
        <w:t xml:space="preserve">XXIII. Coordinar y supervisar, junto con las demás dependencias interesadas, la edición de publicaciones oficiales del Ejecutivo del Estado; </w:t>
      </w:r>
    </w:p>
    <w:p w:rsidR="0097731F" w:rsidRPr="0097731F" w:rsidRDefault="0097731F" w:rsidP="009C0F89">
      <w:pPr>
        <w:pStyle w:val="corte4fondo"/>
        <w:spacing w:line="240" w:lineRule="auto"/>
        <w:ind w:firstLine="708"/>
        <w:rPr>
          <w:rFonts w:cs="Arial"/>
          <w:i/>
          <w:color w:val="2E74B5" w:themeColor="accent1" w:themeShade="BF"/>
          <w:sz w:val="20"/>
        </w:rPr>
      </w:pPr>
      <w:r w:rsidRPr="0097731F">
        <w:rPr>
          <w:rFonts w:cs="Arial"/>
          <w:i/>
          <w:color w:val="2E74B5" w:themeColor="accent1" w:themeShade="BF"/>
          <w:sz w:val="20"/>
        </w:rPr>
        <w:t xml:space="preserve"> </w:t>
      </w:r>
    </w:p>
    <w:p w:rsidR="0097731F" w:rsidRPr="0097731F" w:rsidRDefault="0097731F" w:rsidP="009C0F89">
      <w:pPr>
        <w:pStyle w:val="corte4fondo"/>
        <w:spacing w:line="240" w:lineRule="auto"/>
        <w:ind w:firstLine="708"/>
        <w:rPr>
          <w:rFonts w:cs="Arial"/>
          <w:i/>
          <w:color w:val="2E74B5" w:themeColor="accent1" w:themeShade="BF"/>
          <w:sz w:val="20"/>
        </w:rPr>
      </w:pPr>
      <w:r w:rsidRPr="0097731F">
        <w:rPr>
          <w:rFonts w:cs="Arial"/>
          <w:i/>
          <w:color w:val="2E74B5" w:themeColor="accent1" w:themeShade="BF"/>
          <w:sz w:val="20"/>
        </w:rPr>
        <w:t xml:space="preserve">XXIV. Llevar el control administrativo de las dependencias del Ejecutivo; </w:t>
      </w:r>
    </w:p>
    <w:p w:rsidR="0097731F" w:rsidRPr="0097731F" w:rsidRDefault="0097731F" w:rsidP="009C0F89">
      <w:pPr>
        <w:pStyle w:val="corte4fondo"/>
        <w:spacing w:line="240" w:lineRule="auto"/>
        <w:ind w:firstLine="708"/>
        <w:rPr>
          <w:rFonts w:cs="Arial"/>
          <w:i/>
          <w:color w:val="2E74B5" w:themeColor="accent1" w:themeShade="BF"/>
          <w:sz w:val="20"/>
        </w:rPr>
      </w:pPr>
      <w:r w:rsidRPr="0097731F">
        <w:rPr>
          <w:rFonts w:cs="Arial"/>
          <w:i/>
          <w:color w:val="2E74B5" w:themeColor="accent1" w:themeShade="BF"/>
          <w:sz w:val="20"/>
        </w:rPr>
        <w:t xml:space="preserve"> </w:t>
      </w:r>
    </w:p>
    <w:p w:rsidR="0097731F" w:rsidRPr="0097731F" w:rsidRDefault="0097731F" w:rsidP="009C0F89">
      <w:pPr>
        <w:pStyle w:val="corte4fondo"/>
        <w:spacing w:line="240" w:lineRule="auto"/>
        <w:ind w:firstLine="708"/>
        <w:rPr>
          <w:rFonts w:cs="Arial"/>
          <w:i/>
          <w:color w:val="2E74B5" w:themeColor="accent1" w:themeShade="BF"/>
          <w:sz w:val="20"/>
        </w:rPr>
      </w:pPr>
      <w:r w:rsidRPr="0097731F">
        <w:rPr>
          <w:rFonts w:cs="Arial"/>
          <w:i/>
          <w:color w:val="2E74B5" w:themeColor="accent1" w:themeShade="BF"/>
          <w:sz w:val="20"/>
        </w:rPr>
        <w:t xml:space="preserve">XXV. Atender y dar seguimiento a los diferentes juicios, procesos o trámites administrativos, de aquellos asuntos que competen a la Oficialía Mayor, para lo cual podrá otorgar poderes o mandatos a servidores públicos subalternos o a particulares; </w:t>
      </w:r>
    </w:p>
    <w:p w:rsidR="0097731F" w:rsidRPr="0097731F" w:rsidRDefault="0097731F" w:rsidP="009C0F89">
      <w:pPr>
        <w:pStyle w:val="corte4fondo"/>
        <w:spacing w:line="240" w:lineRule="auto"/>
        <w:ind w:firstLine="708"/>
        <w:rPr>
          <w:rFonts w:cs="Arial"/>
          <w:i/>
          <w:color w:val="2E74B5" w:themeColor="accent1" w:themeShade="BF"/>
          <w:sz w:val="20"/>
        </w:rPr>
      </w:pPr>
      <w:r w:rsidRPr="0097731F">
        <w:rPr>
          <w:rFonts w:cs="Arial"/>
          <w:i/>
          <w:color w:val="2E74B5" w:themeColor="accent1" w:themeShade="BF"/>
          <w:sz w:val="20"/>
        </w:rPr>
        <w:t xml:space="preserve"> </w:t>
      </w:r>
    </w:p>
    <w:p w:rsidR="0097731F" w:rsidRPr="0097731F" w:rsidRDefault="0097731F" w:rsidP="009C0F89">
      <w:pPr>
        <w:pStyle w:val="corte4fondo"/>
        <w:spacing w:line="240" w:lineRule="auto"/>
        <w:ind w:firstLine="708"/>
        <w:rPr>
          <w:rFonts w:cs="Arial"/>
          <w:i/>
          <w:color w:val="2E74B5" w:themeColor="accent1" w:themeShade="BF"/>
          <w:sz w:val="20"/>
        </w:rPr>
      </w:pPr>
      <w:r w:rsidRPr="0097731F">
        <w:rPr>
          <w:rFonts w:cs="Arial"/>
          <w:i/>
          <w:color w:val="2E74B5" w:themeColor="accent1" w:themeShade="BF"/>
          <w:sz w:val="20"/>
        </w:rPr>
        <w:t xml:space="preserve">XXVI. Expedir certificaciones y constancias respecto de los documentos o datos que obren en sus archivos; y </w:t>
      </w:r>
    </w:p>
    <w:p w:rsidR="0097731F" w:rsidRPr="0097731F" w:rsidRDefault="0097731F" w:rsidP="009C0F89">
      <w:pPr>
        <w:pStyle w:val="corte4fondo"/>
        <w:spacing w:line="240" w:lineRule="auto"/>
        <w:ind w:firstLine="708"/>
        <w:rPr>
          <w:rFonts w:cs="Arial"/>
          <w:i/>
          <w:color w:val="2E74B5" w:themeColor="accent1" w:themeShade="BF"/>
          <w:sz w:val="20"/>
        </w:rPr>
      </w:pPr>
      <w:r w:rsidRPr="0097731F">
        <w:rPr>
          <w:rFonts w:cs="Arial"/>
          <w:i/>
          <w:color w:val="2E74B5" w:themeColor="accent1" w:themeShade="BF"/>
          <w:sz w:val="20"/>
        </w:rPr>
        <w:t xml:space="preserve"> </w:t>
      </w:r>
    </w:p>
    <w:p w:rsidR="00BE3B08" w:rsidRPr="0097731F" w:rsidRDefault="0097731F" w:rsidP="009C0F89">
      <w:pPr>
        <w:pStyle w:val="corte4fondo"/>
        <w:spacing w:line="276" w:lineRule="auto"/>
        <w:ind w:firstLine="708"/>
        <w:rPr>
          <w:rFonts w:cs="Arial"/>
          <w:i/>
          <w:color w:val="2E74B5" w:themeColor="accent1" w:themeShade="BF"/>
          <w:sz w:val="20"/>
        </w:rPr>
      </w:pPr>
      <w:r w:rsidRPr="0097731F">
        <w:rPr>
          <w:rFonts w:cs="Arial"/>
          <w:i/>
          <w:color w:val="2E74B5" w:themeColor="accent1" w:themeShade="BF"/>
          <w:sz w:val="20"/>
        </w:rPr>
        <w:t>XXVII. Las demás que le señalen las leyes y reglamentos vigentes en el Estado.</w:t>
      </w:r>
    </w:p>
    <w:p w:rsidR="00B46A37" w:rsidRPr="009C0F89" w:rsidRDefault="00B46A37" w:rsidP="009C0F89">
      <w:pPr>
        <w:pStyle w:val="corte4fondo"/>
        <w:spacing w:line="276" w:lineRule="auto"/>
        <w:ind w:firstLine="0"/>
        <w:rPr>
          <w:rFonts w:cs="Arial"/>
          <w:b/>
          <w:color w:val="2E74B5" w:themeColor="accent1" w:themeShade="BF"/>
          <w:sz w:val="23"/>
          <w:szCs w:val="23"/>
        </w:rPr>
      </w:pPr>
    </w:p>
    <w:p w:rsidR="00BE3B08" w:rsidRPr="009C0F89" w:rsidRDefault="009C0F89" w:rsidP="009C0F89">
      <w:pPr>
        <w:pStyle w:val="corte4fondo"/>
        <w:spacing w:line="276" w:lineRule="auto"/>
        <w:ind w:firstLine="0"/>
        <w:rPr>
          <w:rFonts w:cs="Arial"/>
          <w:b/>
          <w:color w:val="2E74B5" w:themeColor="accent1" w:themeShade="BF"/>
          <w:sz w:val="23"/>
          <w:szCs w:val="23"/>
        </w:rPr>
      </w:pPr>
      <w:r w:rsidRPr="009C0F89">
        <w:rPr>
          <w:rFonts w:cs="Arial"/>
          <w:b/>
          <w:color w:val="2E74B5" w:themeColor="accent1" w:themeShade="BF"/>
          <w:sz w:val="23"/>
          <w:szCs w:val="23"/>
        </w:rPr>
        <w:t>8</w:t>
      </w:r>
      <w:r w:rsidR="00B46A37" w:rsidRPr="009C0F89">
        <w:rPr>
          <w:rFonts w:cs="Arial"/>
          <w:b/>
          <w:color w:val="2E74B5" w:themeColor="accent1" w:themeShade="BF"/>
          <w:sz w:val="23"/>
          <w:szCs w:val="23"/>
        </w:rPr>
        <w:t xml:space="preserve">.2. Recomendación. </w:t>
      </w:r>
    </w:p>
    <w:p w:rsidR="00B46A37" w:rsidRDefault="00B46A37" w:rsidP="009C0F89">
      <w:pPr>
        <w:pStyle w:val="corte4fondo"/>
        <w:spacing w:line="276" w:lineRule="auto"/>
        <w:ind w:firstLine="0"/>
        <w:rPr>
          <w:rFonts w:cs="Arial"/>
          <w:color w:val="2E74B5" w:themeColor="accent1" w:themeShade="BF"/>
          <w:sz w:val="23"/>
          <w:szCs w:val="23"/>
        </w:rPr>
      </w:pPr>
    </w:p>
    <w:p w:rsidR="00B46A37" w:rsidRPr="009C0F89" w:rsidRDefault="00B46A37" w:rsidP="009C0F89">
      <w:pPr>
        <w:pStyle w:val="xmsonormal"/>
        <w:shd w:val="clear" w:color="auto" w:fill="FFFFFF"/>
        <w:spacing w:before="0" w:beforeAutospacing="0" w:after="0" w:afterAutospacing="0" w:line="276" w:lineRule="auto"/>
        <w:ind w:firstLine="708"/>
        <w:jc w:val="both"/>
        <w:rPr>
          <w:rFonts w:ascii="Arial" w:hAnsi="Arial" w:cs="Arial"/>
          <w:color w:val="2E74B5" w:themeColor="accent1" w:themeShade="BF"/>
        </w:rPr>
      </w:pPr>
      <w:r w:rsidRPr="009C0F89">
        <w:rPr>
          <w:rFonts w:ascii="Arial" w:hAnsi="Arial" w:cs="Arial"/>
          <w:color w:val="2E74B5" w:themeColor="accent1" w:themeShade="BF"/>
        </w:rPr>
        <w:t xml:space="preserve">Asimismo, en virtud de que en el presente caso </w:t>
      </w:r>
      <w:r w:rsidR="00437BD3" w:rsidRPr="009C0F89">
        <w:rPr>
          <w:rFonts w:ascii="Arial" w:hAnsi="Arial" w:cs="Arial"/>
          <w:color w:val="2E74B5" w:themeColor="accent1" w:themeShade="BF"/>
        </w:rPr>
        <w:t xml:space="preserve">el </w:t>
      </w:r>
      <w:r w:rsidRPr="009C0F89">
        <w:rPr>
          <w:rFonts w:ascii="Arial" w:hAnsi="Arial" w:cs="Arial"/>
          <w:color w:val="2E74B5" w:themeColor="accent1" w:themeShade="BF"/>
        </w:rPr>
        <w:t xml:space="preserve">sujeto obligado que en este caso lo es la </w:t>
      </w:r>
      <w:r w:rsidRPr="009C0F89">
        <w:rPr>
          <w:rFonts w:ascii="Arial" w:hAnsi="Arial" w:cs="Arial"/>
          <w:b/>
          <w:color w:val="2E74B5" w:themeColor="accent1" w:themeShade="BF"/>
        </w:rPr>
        <w:t>Secretaría de Finanzas</w:t>
      </w:r>
      <w:r w:rsidRPr="009C0F89">
        <w:rPr>
          <w:rFonts w:ascii="Arial" w:hAnsi="Arial" w:cs="Arial"/>
          <w:color w:val="2E74B5" w:themeColor="accent1" w:themeShade="BF"/>
        </w:rPr>
        <w:t>,</w:t>
      </w:r>
      <w:r w:rsidR="00437BD3" w:rsidRPr="009C0F89">
        <w:rPr>
          <w:rFonts w:ascii="Arial" w:hAnsi="Arial" w:cs="Arial"/>
          <w:color w:val="2E74B5" w:themeColor="accent1" w:themeShade="BF"/>
        </w:rPr>
        <w:t xml:space="preserve"> a través de su escrito de manifestaciones ante esta Comisión previsto en la fracción II del artículo 174 de la Ley de la materia, informó lo relativo a su </w:t>
      </w:r>
      <w:r w:rsidR="009C0F89" w:rsidRPr="009C0F89">
        <w:rPr>
          <w:rFonts w:ascii="Arial" w:hAnsi="Arial" w:cs="Arial"/>
          <w:color w:val="2E74B5" w:themeColor="accent1" w:themeShade="BF"/>
        </w:rPr>
        <w:t>parcial incompetencia, es</w:t>
      </w:r>
      <w:r w:rsidRPr="009C0F89">
        <w:rPr>
          <w:rFonts w:ascii="Arial" w:hAnsi="Arial" w:cs="Arial"/>
          <w:color w:val="2E74B5" w:themeColor="accent1" w:themeShade="BF"/>
        </w:rPr>
        <w:t xml:space="preserve"> procedente que la suscrita Comisionada Ponente emita </w:t>
      </w:r>
      <w:r w:rsidRPr="009C0F89">
        <w:rPr>
          <w:rFonts w:ascii="Arial" w:hAnsi="Arial" w:cs="Arial"/>
          <w:b/>
          <w:bCs/>
          <w:color w:val="2E74B5" w:themeColor="accent1" w:themeShade="BF"/>
        </w:rPr>
        <w:t>RECOMENDACIÓN </w:t>
      </w:r>
      <w:r w:rsidRPr="009C0F89">
        <w:rPr>
          <w:rFonts w:ascii="Arial" w:hAnsi="Arial" w:cs="Arial"/>
          <w:color w:val="2E74B5" w:themeColor="accent1" w:themeShade="BF"/>
        </w:rPr>
        <w:t>al sujeto obligado para que, en el trámite de futuros recursos de revisión, se apegue estrictamente</w:t>
      </w:r>
      <w:r w:rsidR="00437BD3" w:rsidRPr="009C0F89">
        <w:rPr>
          <w:rFonts w:ascii="Arial" w:hAnsi="Arial" w:cs="Arial"/>
          <w:color w:val="2E74B5" w:themeColor="accent1" w:themeShade="BF"/>
        </w:rPr>
        <w:t xml:space="preserve"> al artículo 158 de la Ley de la materia</w:t>
      </w:r>
      <w:r w:rsidRPr="009C0F89">
        <w:rPr>
          <w:rFonts w:ascii="Arial" w:hAnsi="Arial" w:cs="Arial"/>
          <w:color w:val="2E74B5" w:themeColor="accent1" w:themeShade="BF"/>
        </w:rPr>
        <w:t>. </w:t>
      </w:r>
    </w:p>
    <w:p w:rsidR="009C0F89" w:rsidRDefault="009C0F89" w:rsidP="009C0F89">
      <w:pPr>
        <w:pStyle w:val="xmsonormal"/>
        <w:shd w:val="clear" w:color="auto" w:fill="FFFFFF"/>
        <w:spacing w:before="0" w:beforeAutospacing="0" w:after="0" w:afterAutospacing="0" w:line="276" w:lineRule="auto"/>
        <w:ind w:firstLine="708"/>
        <w:jc w:val="both"/>
        <w:rPr>
          <w:rFonts w:ascii="Arial" w:hAnsi="Arial" w:cs="Arial"/>
          <w:color w:val="2E74B5" w:themeColor="accent1" w:themeShade="BF"/>
          <w:highlight w:val="yellow"/>
        </w:rPr>
      </w:pPr>
    </w:p>
    <w:p w:rsidR="009C0F89" w:rsidRDefault="009C0F89" w:rsidP="009C0F89">
      <w:pPr>
        <w:pStyle w:val="xmsonormal"/>
        <w:shd w:val="clear" w:color="auto" w:fill="FFFFFF"/>
        <w:spacing w:before="0" w:beforeAutospacing="0" w:after="0" w:afterAutospacing="0" w:line="276" w:lineRule="auto"/>
        <w:ind w:firstLine="708"/>
        <w:jc w:val="both"/>
        <w:rPr>
          <w:rFonts w:ascii="Arial" w:hAnsi="Arial" w:cs="Arial"/>
          <w:i/>
          <w:color w:val="2E74B5" w:themeColor="accent1" w:themeShade="BF"/>
          <w:sz w:val="20"/>
          <w:szCs w:val="20"/>
        </w:rPr>
      </w:pPr>
      <w:r w:rsidRPr="009C0F89">
        <w:rPr>
          <w:rFonts w:ascii="Arial" w:hAnsi="Arial" w:cs="Arial"/>
          <w:i/>
          <w:color w:val="2E74B5" w:themeColor="accent1" w:themeShade="BF"/>
          <w:sz w:val="20"/>
          <w:szCs w:val="20"/>
        </w:rPr>
        <w:t xml:space="preserve">ARTÍCULO 158. Cuando las Unidades de Transparencia determinen la notoria incompetencia por parte de los sujetos obligados, dentro del ámbito de su aplicación, para atender la solicitud de acceso a la información, deberán comunicarlo al solicitante, dentro de los tres días posteriores a la recepción de la solicitud y, en caso de poderlo determinar, señalar al solicitante el o los sujetos obligados competentes. </w:t>
      </w:r>
    </w:p>
    <w:p w:rsidR="009C0F89" w:rsidRPr="009C0F89" w:rsidRDefault="009C0F89" w:rsidP="009C0F89">
      <w:pPr>
        <w:pStyle w:val="xmsonormal"/>
        <w:shd w:val="clear" w:color="auto" w:fill="FFFFFF"/>
        <w:spacing w:before="0" w:beforeAutospacing="0" w:after="0" w:afterAutospacing="0" w:line="276" w:lineRule="auto"/>
        <w:ind w:firstLine="708"/>
        <w:jc w:val="both"/>
        <w:rPr>
          <w:rFonts w:ascii="Arial" w:hAnsi="Arial" w:cs="Arial"/>
          <w:i/>
          <w:color w:val="2E74B5" w:themeColor="accent1" w:themeShade="BF"/>
          <w:sz w:val="20"/>
          <w:szCs w:val="20"/>
        </w:rPr>
      </w:pPr>
    </w:p>
    <w:p w:rsidR="009C0F89" w:rsidRPr="009C0F89" w:rsidRDefault="009C0F89" w:rsidP="009C0F89">
      <w:pPr>
        <w:pStyle w:val="xmsonormal"/>
        <w:shd w:val="clear" w:color="auto" w:fill="FFFFFF"/>
        <w:spacing w:before="0" w:beforeAutospacing="0" w:after="0" w:afterAutospacing="0" w:line="276" w:lineRule="auto"/>
        <w:ind w:firstLine="708"/>
        <w:jc w:val="both"/>
        <w:rPr>
          <w:rFonts w:ascii="Arial" w:hAnsi="Arial" w:cs="Arial"/>
          <w:i/>
          <w:color w:val="2E74B5" w:themeColor="accent1" w:themeShade="BF"/>
          <w:sz w:val="20"/>
          <w:szCs w:val="20"/>
          <w:highlight w:val="yellow"/>
        </w:rPr>
      </w:pPr>
      <w:r w:rsidRPr="009C0F89">
        <w:rPr>
          <w:rFonts w:ascii="Arial" w:hAnsi="Arial" w:cs="Arial"/>
          <w:i/>
          <w:color w:val="2E74B5" w:themeColor="accent1" w:themeShade="BF"/>
          <w:sz w:val="20"/>
          <w:szCs w:val="20"/>
        </w:rPr>
        <w:t xml:space="preserve"> Si los sujetos obligados son competentes para atender parcialmente la solicitud de acceso a la información, deberá dar respuesta respecto de dicha parte. Respecto de la información sobre la cual es incompetente se procederá conforme lo señala el párrafo anterior.</w:t>
      </w:r>
    </w:p>
    <w:p w:rsidR="009C0F89" w:rsidRDefault="009C0F89" w:rsidP="009C0F89">
      <w:pPr>
        <w:autoSpaceDE w:val="0"/>
        <w:autoSpaceDN w:val="0"/>
        <w:adjustRightInd w:val="0"/>
        <w:spacing w:after="0" w:line="276" w:lineRule="auto"/>
        <w:ind w:firstLine="708"/>
        <w:jc w:val="both"/>
        <w:rPr>
          <w:rFonts w:ascii="Arial" w:eastAsia="Times New Roman" w:hAnsi="Arial" w:cs="Arial"/>
          <w:bCs/>
          <w:color w:val="2E74B5" w:themeColor="accent1" w:themeShade="BF"/>
          <w:sz w:val="24"/>
          <w:szCs w:val="24"/>
          <w:lang w:eastAsia="es-MX"/>
        </w:rPr>
      </w:pPr>
    </w:p>
    <w:p w:rsidR="00B46A37" w:rsidRDefault="009C0F89" w:rsidP="009C0F89">
      <w:pPr>
        <w:autoSpaceDE w:val="0"/>
        <w:autoSpaceDN w:val="0"/>
        <w:adjustRightInd w:val="0"/>
        <w:spacing w:after="0" w:line="276" w:lineRule="auto"/>
        <w:ind w:firstLine="708"/>
        <w:jc w:val="both"/>
        <w:rPr>
          <w:rFonts w:ascii="Arial" w:eastAsia="Times New Roman" w:hAnsi="Arial" w:cs="Arial"/>
          <w:bCs/>
          <w:color w:val="2E74B5" w:themeColor="accent1" w:themeShade="BF"/>
          <w:sz w:val="24"/>
          <w:szCs w:val="24"/>
          <w:lang w:eastAsia="es-MX"/>
        </w:rPr>
      </w:pPr>
      <w:r>
        <w:rPr>
          <w:rFonts w:ascii="Arial" w:eastAsia="Times New Roman" w:hAnsi="Arial" w:cs="Arial"/>
          <w:bCs/>
          <w:color w:val="2E74B5" w:themeColor="accent1" w:themeShade="BF"/>
          <w:sz w:val="24"/>
          <w:szCs w:val="24"/>
          <w:lang w:eastAsia="es-MX"/>
        </w:rPr>
        <w:t xml:space="preserve">De ahí, que del precepto legal transcrito se advierte que el sujeto obligado debió pronunciarse dentro de los tres días posteriores a la recepción de la solicitud de su parcial incompetencia. </w:t>
      </w:r>
    </w:p>
    <w:p w:rsidR="00B46A37" w:rsidRPr="00CA76E0" w:rsidRDefault="00B46A37" w:rsidP="009C0F89">
      <w:pPr>
        <w:pStyle w:val="corte4fondo"/>
        <w:spacing w:line="276" w:lineRule="auto"/>
        <w:ind w:firstLine="0"/>
        <w:rPr>
          <w:rFonts w:cs="Arial"/>
          <w:color w:val="2E74B5" w:themeColor="accent1" w:themeShade="BF"/>
          <w:sz w:val="23"/>
          <w:szCs w:val="23"/>
        </w:rPr>
      </w:pPr>
    </w:p>
    <w:p w:rsidR="00B46A37" w:rsidRPr="002D0BC8" w:rsidRDefault="009C0F89" w:rsidP="009C0F89">
      <w:pPr>
        <w:pStyle w:val="corte4fondo"/>
        <w:spacing w:line="276" w:lineRule="auto"/>
        <w:ind w:firstLine="0"/>
        <w:rPr>
          <w:rFonts w:cs="Arial"/>
          <w:color w:val="2E74B5" w:themeColor="accent1" w:themeShade="BF"/>
          <w:sz w:val="24"/>
          <w:szCs w:val="24"/>
        </w:rPr>
      </w:pPr>
      <w:r>
        <w:rPr>
          <w:rFonts w:eastAsia="Arial Unicode MS" w:cs="Arial"/>
          <w:b/>
          <w:color w:val="2E74B5" w:themeColor="accent1" w:themeShade="BF"/>
          <w:sz w:val="24"/>
          <w:szCs w:val="24"/>
        </w:rPr>
        <w:t>8</w:t>
      </w:r>
      <w:r w:rsidR="00B46A37" w:rsidRPr="002D0BC8">
        <w:rPr>
          <w:rFonts w:eastAsia="Arial Unicode MS" w:cs="Arial"/>
          <w:b/>
          <w:color w:val="2E74B5" w:themeColor="accent1" w:themeShade="BF"/>
          <w:sz w:val="24"/>
          <w:szCs w:val="24"/>
        </w:rPr>
        <w:t>.3 Sentido de la resolución</w:t>
      </w:r>
      <w:r w:rsidR="00B46A37" w:rsidRPr="002D0BC8">
        <w:rPr>
          <w:rFonts w:cs="Arial"/>
          <w:b/>
          <w:color w:val="2E74B5" w:themeColor="accent1" w:themeShade="BF"/>
          <w:sz w:val="24"/>
          <w:szCs w:val="24"/>
        </w:rPr>
        <w:t>.</w:t>
      </w:r>
    </w:p>
    <w:p w:rsidR="00B46A37" w:rsidRPr="002D0BC8" w:rsidRDefault="00B46A37" w:rsidP="009C0F89">
      <w:pPr>
        <w:pStyle w:val="corte4fondo"/>
        <w:spacing w:line="276" w:lineRule="auto"/>
        <w:ind w:firstLine="0"/>
        <w:rPr>
          <w:rFonts w:cs="Arial"/>
          <w:color w:val="2E74B5" w:themeColor="accent1" w:themeShade="BF"/>
          <w:sz w:val="23"/>
          <w:szCs w:val="23"/>
        </w:rPr>
      </w:pPr>
    </w:p>
    <w:p w:rsidR="00B46A37" w:rsidRPr="002D0BC8" w:rsidRDefault="00B46A37" w:rsidP="009C0F89">
      <w:pPr>
        <w:pStyle w:val="corte4fondo"/>
        <w:spacing w:line="276" w:lineRule="auto"/>
        <w:ind w:firstLine="0"/>
        <w:rPr>
          <w:rFonts w:cs="Arial"/>
          <w:color w:val="2E74B5" w:themeColor="accent1" w:themeShade="BF"/>
          <w:sz w:val="24"/>
          <w:szCs w:val="24"/>
        </w:rPr>
      </w:pPr>
      <w:r w:rsidRPr="002D0BC8">
        <w:rPr>
          <w:rFonts w:cs="Arial"/>
          <w:color w:val="2E74B5" w:themeColor="accent1" w:themeShade="BF"/>
          <w:sz w:val="24"/>
          <w:szCs w:val="24"/>
        </w:rPr>
        <w:tab/>
        <w:t xml:space="preserve">Así, al no prosperar los agravios del recurrente, lo procedente es que esta Comisión de Transparencia de conformidad con el artículo 175, fracción II, de la Ley de Transparencia y Acceso a la Información Pública del Estado </w:t>
      </w:r>
      <w:r w:rsidRPr="002D0BC8">
        <w:rPr>
          <w:rFonts w:cs="Arial"/>
          <w:b/>
          <w:color w:val="2E74B5" w:themeColor="accent1" w:themeShade="BF"/>
          <w:sz w:val="24"/>
          <w:szCs w:val="24"/>
        </w:rPr>
        <w:t xml:space="preserve">confirme </w:t>
      </w:r>
      <w:r w:rsidRPr="002D0BC8">
        <w:rPr>
          <w:rFonts w:cs="Arial"/>
          <w:color w:val="2E74B5" w:themeColor="accent1" w:themeShade="BF"/>
          <w:sz w:val="24"/>
          <w:szCs w:val="24"/>
        </w:rPr>
        <w:t>la respuesta del sujeto obligado, ya que no hay transgresión del derecho humano de acceso a la información pública.</w:t>
      </w:r>
    </w:p>
    <w:p w:rsidR="00B46A37" w:rsidRPr="002D0BC8" w:rsidRDefault="00B46A37" w:rsidP="009C0F89">
      <w:pPr>
        <w:pStyle w:val="corte4fondo"/>
        <w:tabs>
          <w:tab w:val="left" w:pos="567"/>
        </w:tabs>
        <w:spacing w:line="276" w:lineRule="auto"/>
        <w:rPr>
          <w:rFonts w:cs="Arial"/>
          <w:color w:val="2E74B5" w:themeColor="accent1" w:themeShade="BF"/>
          <w:sz w:val="23"/>
          <w:szCs w:val="23"/>
        </w:rPr>
      </w:pPr>
    </w:p>
    <w:p w:rsidR="00B46A37" w:rsidRPr="002D0BC8" w:rsidRDefault="009C0F89" w:rsidP="009C0F89">
      <w:pPr>
        <w:pStyle w:val="corte4fondo"/>
        <w:tabs>
          <w:tab w:val="left" w:pos="567"/>
        </w:tabs>
        <w:spacing w:line="276" w:lineRule="auto"/>
        <w:ind w:firstLine="0"/>
        <w:rPr>
          <w:rFonts w:cs="Arial"/>
          <w:b/>
          <w:color w:val="2E74B5" w:themeColor="accent1" w:themeShade="BF"/>
          <w:sz w:val="24"/>
          <w:szCs w:val="24"/>
        </w:rPr>
      </w:pPr>
      <w:r>
        <w:rPr>
          <w:rFonts w:cs="Arial"/>
          <w:b/>
          <w:color w:val="2E74B5" w:themeColor="accent1" w:themeShade="BF"/>
          <w:sz w:val="24"/>
          <w:szCs w:val="24"/>
        </w:rPr>
        <w:t>8</w:t>
      </w:r>
      <w:r w:rsidR="00B46A37" w:rsidRPr="002D0BC8">
        <w:rPr>
          <w:rFonts w:cs="Arial"/>
          <w:b/>
          <w:color w:val="2E74B5" w:themeColor="accent1" w:themeShade="BF"/>
          <w:sz w:val="24"/>
          <w:szCs w:val="24"/>
        </w:rPr>
        <w:t>.4.</w:t>
      </w:r>
      <w:r w:rsidR="00B46A37" w:rsidRPr="002D0BC8">
        <w:rPr>
          <w:rFonts w:cs="Arial"/>
          <w:color w:val="2E74B5" w:themeColor="accent1" w:themeShade="BF"/>
          <w:sz w:val="24"/>
          <w:szCs w:val="24"/>
        </w:rPr>
        <w:t xml:space="preserve"> </w:t>
      </w:r>
      <w:r w:rsidR="00B46A37" w:rsidRPr="002D0BC8">
        <w:rPr>
          <w:rFonts w:cs="Arial"/>
          <w:b/>
          <w:color w:val="2E74B5" w:themeColor="accent1" w:themeShade="BF"/>
          <w:sz w:val="24"/>
          <w:szCs w:val="24"/>
        </w:rPr>
        <w:t>Archivo.</w:t>
      </w:r>
    </w:p>
    <w:p w:rsidR="00B46A37" w:rsidRPr="002D0BC8" w:rsidRDefault="00B46A37" w:rsidP="009C0F89">
      <w:pPr>
        <w:pStyle w:val="corte4fondo"/>
        <w:tabs>
          <w:tab w:val="left" w:pos="567"/>
        </w:tabs>
        <w:spacing w:line="276" w:lineRule="auto"/>
        <w:ind w:firstLine="0"/>
        <w:rPr>
          <w:rFonts w:cs="Arial"/>
          <w:color w:val="2E74B5" w:themeColor="accent1" w:themeShade="BF"/>
          <w:sz w:val="24"/>
          <w:szCs w:val="24"/>
        </w:rPr>
      </w:pPr>
    </w:p>
    <w:p w:rsidR="00B46A37" w:rsidRPr="002D0BC8" w:rsidRDefault="00B46A37" w:rsidP="009C0F89">
      <w:pPr>
        <w:pStyle w:val="corte4fondo"/>
        <w:tabs>
          <w:tab w:val="left" w:pos="567"/>
        </w:tabs>
        <w:spacing w:line="276" w:lineRule="auto"/>
        <w:ind w:firstLine="0"/>
        <w:rPr>
          <w:rFonts w:cs="Arial"/>
          <w:color w:val="2E74B5" w:themeColor="accent1" w:themeShade="BF"/>
          <w:sz w:val="24"/>
          <w:szCs w:val="24"/>
        </w:rPr>
      </w:pPr>
      <w:r w:rsidRPr="002D0BC8">
        <w:rPr>
          <w:rFonts w:cs="Arial"/>
          <w:color w:val="2E74B5" w:themeColor="accent1" w:themeShade="BF"/>
          <w:sz w:val="24"/>
          <w:szCs w:val="24"/>
        </w:rPr>
        <w:lastRenderedPageBreak/>
        <w:tab/>
        <w:t>Que una vez que la presente resolución sea notificada a las partes, la ponencia mande archivar el presente asunto como totalmente concluido.</w:t>
      </w:r>
    </w:p>
    <w:p w:rsidR="00B46A37" w:rsidRPr="002D0BC8" w:rsidRDefault="00B46A37" w:rsidP="009C0F89">
      <w:pPr>
        <w:pStyle w:val="corte4fondo"/>
        <w:tabs>
          <w:tab w:val="left" w:pos="567"/>
        </w:tabs>
        <w:spacing w:line="276" w:lineRule="auto"/>
        <w:ind w:firstLine="0"/>
        <w:rPr>
          <w:rFonts w:cs="Arial"/>
          <w:color w:val="2E74B5" w:themeColor="accent1" w:themeShade="BF"/>
          <w:sz w:val="24"/>
          <w:szCs w:val="24"/>
        </w:rPr>
      </w:pPr>
    </w:p>
    <w:p w:rsidR="00B46A37" w:rsidRPr="002D0BC8" w:rsidRDefault="00B46A37" w:rsidP="009C0F89">
      <w:pPr>
        <w:pStyle w:val="corte4fondo"/>
        <w:tabs>
          <w:tab w:val="left" w:pos="567"/>
        </w:tabs>
        <w:spacing w:line="276" w:lineRule="auto"/>
        <w:ind w:firstLine="0"/>
        <w:rPr>
          <w:rFonts w:cs="Arial"/>
          <w:color w:val="2E74B5" w:themeColor="accent1" w:themeShade="BF"/>
          <w:sz w:val="24"/>
          <w:szCs w:val="24"/>
        </w:rPr>
      </w:pPr>
      <w:r w:rsidRPr="002D0BC8">
        <w:rPr>
          <w:rFonts w:cs="Arial"/>
          <w:b/>
          <w:color w:val="2E74B5" w:themeColor="accent1" w:themeShade="BF"/>
          <w:sz w:val="24"/>
          <w:szCs w:val="24"/>
        </w:rPr>
        <w:tab/>
      </w:r>
      <w:r w:rsidRPr="002D0BC8">
        <w:rPr>
          <w:rFonts w:cs="Arial"/>
          <w:color w:val="2E74B5" w:themeColor="accent1" w:themeShade="BF"/>
          <w:sz w:val="24"/>
          <w:szCs w:val="24"/>
        </w:rPr>
        <w:tab/>
        <w:t>Por último, de conformidad con el artículo 159 de la Ley General de Transparencia y Acceso a la Información Pública mediante la presente resolución se hace del conocimie</w:t>
      </w:r>
      <w:r w:rsidR="00394735">
        <w:rPr>
          <w:rFonts w:cs="Arial"/>
          <w:color w:val="2E74B5" w:themeColor="accent1" w:themeShade="BF"/>
          <w:sz w:val="24"/>
          <w:szCs w:val="24"/>
        </w:rPr>
        <w:t>nto a la parte recurrente que</w:t>
      </w:r>
      <w:r w:rsidRPr="002D0BC8">
        <w:rPr>
          <w:rFonts w:cs="Arial"/>
          <w:color w:val="2E74B5" w:themeColor="accent1" w:themeShade="BF"/>
          <w:sz w:val="24"/>
          <w:szCs w:val="24"/>
        </w:rPr>
        <w:t xml:space="preserve"> contra de la presente determinación puede acudir ante el Instituto Nacional de Transparencia, Acceso a la Información y Protección de Datos Personales o ante el Poder Judicial de la Federación.</w:t>
      </w:r>
    </w:p>
    <w:p w:rsidR="00B46A37" w:rsidRPr="002D0BC8" w:rsidRDefault="00B46A37" w:rsidP="009C0F89">
      <w:pPr>
        <w:pStyle w:val="corte4fondo"/>
        <w:tabs>
          <w:tab w:val="left" w:pos="567"/>
        </w:tabs>
        <w:spacing w:line="276" w:lineRule="auto"/>
        <w:rPr>
          <w:rFonts w:cs="Arial"/>
          <w:color w:val="2E74B5" w:themeColor="accent1" w:themeShade="BF"/>
          <w:sz w:val="24"/>
          <w:szCs w:val="24"/>
        </w:rPr>
      </w:pPr>
    </w:p>
    <w:p w:rsidR="00B46A37" w:rsidRPr="002D0BC8" w:rsidRDefault="00B46A37" w:rsidP="009C0F89">
      <w:pPr>
        <w:pStyle w:val="corte4fondo"/>
        <w:tabs>
          <w:tab w:val="left" w:pos="567"/>
        </w:tabs>
        <w:spacing w:line="276" w:lineRule="auto"/>
        <w:jc w:val="center"/>
        <w:rPr>
          <w:rFonts w:cs="Arial"/>
          <w:color w:val="2E74B5" w:themeColor="accent1" w:themeShade="BF"/>
          <w:sz w:val="24"/>
          <w:szCs w:val="24"/>
        </w:rPr>
      </w:pPr>
      <w:r w:rsidRPr="002D0BC8">
        <w:rPr>
          <w:rFonts w:cs="Arial"/>
          <w:b/>
          <w:color w:val="2E74B5" w:themeColor="accent1" w:themeShade="BF"/>
          <w:sz w:val="24"/>
          <w:szCs w:val="24"/>
        </w:rPr>
        <w:t>RESOLUTIVOS</w:t>
      </w:r>
      <w:r w:rsidRPr="002D0BC8">
        <w:rPr>
          <w:rFonts w:cs="Arial"/>
          <w:color w:val="2E74B5" w:themeColor="accent1" w:themeShade="BF"/>
          <w:sz w:val="24"/>
          <w:szCs w:val="24"/>
        </w:rPr>
        <w:t xml:space="preserve"> </w:t>
      </w:r>
    </w:p>
    <w:p w:rsidR="00B46A37" w:rsidRPr="002D0BC8" w:rsidRDefault="00B46A37" w:rsidP="009C0F89">
      <w:pPr>
        <w:pStyle w:val="corte4fondo"/>
        <w:tabs>
          <w:tab w:val="left" w:pos="567"/>
        </w:tabs>
        <w:spacing w:line="276" w:lineRule="auto"/>
        <w:jc w:val="center"/>
        <w:rPr>
          <w:rFonts w:cs="Arial"/>
          <w:color w:val="2E74B5" w:themeColor="accent1" w:themeShade="BF"/>
          <w:sz w:val="24"/>
          <w:szCs w:val="24"/>
        </w:rPr>
      </w:pPr>
    </w:p>
    <w:p w:rsidR="00B46A37" w:rsidRPr="002D0BC8" w:rsidRDefault="00B46A37" w:rsidP="009C0F89">
      <w:pPr>
        <w:pStyle w:val="corte4fondo"/>
        <w:tabs>
          <w:tab w:val="left" w:pos="567"/>
        </w:tabs>
        <w:spacing w:line="276" w:lineRule="auto"/>
        <w:rPr>
          <w:rFonts w:cs="Arial"/>
          <w:color w:val="2E74B5" w:themeColor="accent1" w:themeShade="BF"/>
          <w:sz w:val="24"/>
          <w:szCs w:val="24"/>
        </w:rPr>
      </w:pPr>
      <w:r w:rsidRPr="002D0BC8">
        <w:rPr>
          <w:rFonts w:cs="Arial"/>
          <w:color w:val="2E74B5" w:themeColor="accent1" w:themeShade="BF"/>
          <w:sz w:val="24"/>
          <w:szCs w:val="24"/>
        </w:rPr>
        <w:t>Por lo expuesto y fundado, SE RESUELVE:</w:t>
      </w:r>
    </w:p>
    <w:p w:rsidR="00B46A37" w:rsidRPr="002D0BC8" w:rsidRDefault="00B46A37" w:rsidP="009C0F89">
      <w:pPr>
        <w:pStyle w:val="corte4fondo"/>
        <w:tabs>
          <w:tab w:val="left" w:pos="567"/>
        </w:tabs>
        <w:spacing w:line="276" w:lineRule="auto"/>
        <w:rPr>
          <w:rFonts w:cs="Arial"/>
          <w:color w:val="2E74B5" w:themeColor="accent1" w:themeShade="BF"/>
          <w:sz w:val="24"/>
          <w:szCs w:val="24"/>
        </w:rPr>
      </w:pPr>
    </w:p>
    <w:p w:rsidR="00B46A37" w:rsidRPr="002D0BC8" w:rsidRDefault="00B46A37" w:rsidP="009C0F89">
      <w:pPr>
        <w:pStyle w:val="corte4fondo"/>
        <w:tabs>
          <w:tab w:val="left" w:pos="567"/>
        </w:tabs>
        <w:spacing w:line="276" w:lineRule="auto"/>
        <w:rPr>
          <w:rFonts w:cs="Arial"/>
          <w:color w:val="2E74B5" w:themeColor="accent1" w:themeShade="BF"/>
          <w:sz w:val="24"/>
          <w:szCs w:val="24"/>
        </w:rPr>
      </w:pPr>
      <w:r w:rsidRPr="002D0BC8">
        <w:rPr>
          <w:rFonts w:cs="Arial"/>
          <w:b/>
          <w:color w:val="2E74B5" w:themeColor="accent1" w:themeShade="BF"/>
          <w:sz w:val="24"/>
          <w:szCs w:val="24"/>
        </w:rPr>
        <w:t>ÚNICO</w:t>
      </w:r>
      <w:r w:rsidRPr="002D0BC8">
        <w:rPr>
          <w:rFonts w:cs="Arial"/>
          <w:color w:val="2E74B5" w:themeColor="accent1" w:themeShade="BF"/>
          <w:sz w:val="24"/>
          <w:szCs w:val="24"/>
        </w:rPr>
        <w:t xml:space="preserve">. Esta Comisión Estatal de Garantía y Acceso a la Información Pública </w:t>
      </w:r>
      <w:r w:rsidRPr="002D0BC8">
        <w:rPr>
          <w:rFonts w:cs="Arial"/>
          <w:b/>
          <w:color w:val="2E74B5" w:themeColor="accent1" w:themeShade="BF"/>
          <w:sz w:val="24"/>
          <w:szCs w:val="24"/>
        </w:rPr>
        <w:t>confirma</w:t>
      </w:r>
      <w:r w:rsidRPr="002D0BC8">
        <w:rPr>
          <w:rFonts w:cs="Arial"/>
          <w:color w:val="2E74B5" w:themeColor="accent1" w:themeShade="BF"/>
          <w:sz w:val="24"/>
          <w:szCs w:val="24"/>
        </w:rPr>
        <w:t xml:space="preserve"> el acto impugnado por los fundamentos y las razones desarro</w:t>
      </w:r>
      <w:r w:rsidR="001321C7">
        <w:rPr>
          <w:rFonts w:cs="Arial"/>
          <w:color w:val="2E74B5" w:themeColor="accent1" w:themeShade="BF"/>
          <w:sz w:val="24"/>
          <w:szCs w:val="24"/>
        </w:rPr>
        <w:t>lladas en el considerando octavo</w:t>
      </w:r>
      <w:r w:rsidRPr="002D0BC8">
        <w:rPr>
          <w:rFonts w:cs="Arial"/>
          <w:color w:val="2E74B5" w:themeColor="accent1" w:themeShade="BF"/>
          <w:sz w:val="24"/>
          <w:szCs w:val="24"/>
        </w:rPr>
        <w:t xml:space="preserve"> de la presente resolución.</w:t>
      </w:r>
    </w:p>
    <w:p w:rsidR="00B46A37" w:rsidRPr="002D0BC8" w:rsidRDefault="00B46A37" w:rsidP="009C0F89">
      <w:pPr>
        <w:pStyle w:val="corte4fondo"/>
        <w:tabs>
          <w:tab w:val="left" w:pos="567"/>
        </w:tabs>
        <w:spacing w:line="276" w:lineRule="auto"/>
        <w:rPr>
          <w:rFonts w:cs="Arial"/>
          <w:color w:val="2E74B5" w:themeColor="accent1" w:themeShade="BF"/>
          <w:sz w:val="24"/>
          <w:szCs w:val="24"/>
        </w:rPr>
      </w:pPr>
    </w:p>
    <w:p w:rsidR="00B46A37" w:rsidRPr="002D0BC8" w:rsidRDefault="00B46A37" w:rsidP="009C0F89">
      <w:pPr>
        <w:pStyle w:val="corte4fondo"/>
        <w:tabs>
          <w:tab w:val="left" w:pos="567"/>
        </w:tabs>
        <w:spacing w:line="276" w:lineRule="auto"/>
        <w:rPr>
          <w:rFonts w:cs="Arial"/>
          <w:color w:val="2E74B5" w:themeColor="accent1" w:themeShade="BF"/>
          <w:sz w:val="24"/>
          <w:szCs w:val="24"/>
        </w:rPr>
      </w:pPr>
      <w:r w:rsidRPr="002D0BC8">
        <w:rPr>
          <w:rFonts w:cs="Arial"/>
          <w:b/>
          <w:color w:val="2E74B5" w:themeColor="accent1" w:themeShade="BF"/>
          <w:sz w:val="24"/>
          <w:szCs w:val="24"/>
        </w:rPr>
        <w:t xml:space="preserve">Notifíquese; </w:t>
      </w:r>
      <w:r w:rsidRPr="002D0BC8">
        <w:rPr>
          <w:rFonts w:cs="Arial"/>
          <w:color w:val="2E74B5" w:themeColor="accent1" w:themeShade="BF"/>
          <w:sz w:val="24"/>
          <w:szCs w:val="24"/>
        </w:rPr>
        <w:t>por oficio a las autoridades</w:t>
      </w:r>
      <w:r w:rsidRPr="002D0BC8">
        <w:rPr>
          <w:rFonts w:cs="Arial"/>
          <w:b/>
          <w:color w:val="2E74B5" w:themeColor="accent1" w:themeShade="BF"/>
          <w:sz w:val="24"/>
          <w:szCs w:val="24"/>
        </w:rPr>
        <w:t xml:space="preserve"> </w:t>
      </w:r>
      <w:r w:rsidRPr="002D0BC8">
        <w:rPr>
          <w:rFonts w:cs="Arial"/>
          <w:color w:val="2E74B5" w:themeColor="accent1" w:themeShade="BF"/>
          <w:sz w:val="24"/>
          <w:szCs w:val="24"/>
        </w:rPr>
        <w:t>y a la recurrente por el medio que designó.</w:t>
      </w:r>
    </w:p>
    <w:p w:rsidR="0010262D" w:rsidRPr="00CA76E0" w:rsidRDefault="0010262D" w:rsidP="009C0F89">
      <w:pPr>
        <w:pStyle w:val="corte4fondo"/>
        <w:tabs>
          <w:tab w:val="left" w:pos="567"/>
        </w:tabs>
        <w:spacing w:line="276" w:lineRule="auto"/>
        <w:rPr>
          <w:rFonts w:cs="Arial"/>
          <w:color w:val="2E74B5" w:themeColor="accent1" w:themeShade="BF"/>
          <w:sz w:val="24"/>
          <w:szCs w:val="24"/>
        </w:rPr>
      </w:pPr>
    </w:p>
    <w:p w:rsidR="00CA76E0" w:rsidRPr="00CA76E0" w:rsidRDefault="00CA76E0" w:rsidP="009C0F89">
      <w:pPr>
        <w:pStyle w:val="corte4fondo"/>
        <w:tabs>
          <w:tab w:val="left" w:pos="567"/>
        </w:tabs>
        <w:spacing w:line="276" w:lineRule="auto"/>
        <w:rPr>
          <w:rFonts w:eastAsia="Arial Unicode MS" w:cs="Arial"/>
          <w:color w:val="2E74B5" w:themeColor="accent1" w:themeShade="BF"/>
          <w:sz w:val="24"/>
          <w:szCs w:val="24"/>
        </w:rPr>
      </w:pPr>
      <w:r w:rsidRPr="009C0F89">
        <w:rPr>
          <w:rFonts w:cs="Arial"/>
          <w:color w:val="2E74B5" w:themeColor="accent1" w:themeShade="BF"/>
          <w:sz w:val="24"/>
          <w:szCs w:val="24"/>
        </w:rPr>
        <w:t>Así, por unanimidad de votos lo resolvió la Comisión Estatal de Garantía de Acceso a la Información Pública, integrada por los</w:t>
      </w:r>
      <w:r w:rsidR="00070BCB">
        <w:rPr>
          <w:rFonts w:cs="Arial"/>
          <w:color w:val="2E74B5" w:themeColor="accent1" w:themeShade="BF"/>
          <w:sz w:val="24"/>
          <w:szCs w:val="24"/>
        </w:rPr>
        <w:t xml:space="preserve"> Comisionados Licenciados </w:t>
      </w:r>
      <w:proofErr w:type="spellStart"/>
      <w:r w:rsidR="00070BCB">
        <w:rPr>
          <w:rFonts w:cs="Arial"/>
          <w:color w:val="2E74B5" w:themeColor="accent1" w:themeShade="BF"/>
          <w:sz w:val="24"/>
          <w:szCs w:val="24"/>
        </w:rPr>
        <w:t>Mariaj</w:t>
      </w:r>
      <w:r w:rsidRPr="009C0F89">
        <w:rPr>
          <w:rFonts w:cs="Arial"/>
          <w:color w:val="2E74B5" w:themeColor="accent1" w:themeShade="BF"/>
          <w:sz w:val="24"/>
          <w:szCs w:val="24"/>
        </w:rPr>
        <w:t>osé</w:t>
      </w:r>
      <w:proofErr w:type="spellEnd"/>
      <w:r w:rsidRPr="009C0F89">
        <w:rPr>
          <w:rFonts w:cs="Arial"/>
          <w:color w:val="2E74B5" w:themeColor="accent1" w:themeShade="BF"/>
          <w:sz w:val="24"/>
          <w:szCs w:val="24"/>
        </w:rPr>
        <w:t xml:space="preserve"> González Zarzosa, Mtro. Alejandro Lafuente Torres, Paulina Sánchez Pérez del Pozo, Presidenta, siendo ponente la última de los nombrados, quienes, en unión de la Licenciada Rosa María Motilla García, Secretaria de Pleno que da fe, firman esta resolución.</w:t>
      </w:r>
      <w:r w:rsidRPr="00CA76E0">
        <w:rPr>
          <w:rFonts w:cs="Arial"/>
          <w:color w:val="2E74B5" w:themeColor="accent1" w:themeShade="BF"/>
          <w:sz w:val="24"/>
          <w:szCs w:val="24"/>
        </w:rPr>
        <w:t xml:space="preserve"> </w:t>
      </w:r>
      <w:r w:rsidRPr="00CA76E0">
        <w:rPr>
          <w:rFonts w:eastAsia="Arial Unicode MS" w:cs="Arial"/>
          <w:color w:val="2E74B5" w:themeColor="accent1" w:themeShade="BF"/>
          <w:sz w:val="24"/>
          <w:szCs w:val="24"/>
        </w:rPr>
        <w:t xml:space="preserve">   </w:t>
      </w:r>
    </w:p>
    <w:p w:rsidR="00CA76E0" w:rsidRPr="00CA76E0" w:rsidRDefault="00CA76E0" w:rsidP="009C0F89">
      <w:pPr>
        <w:pStyle w:val="corte4fondo"/>
        <w:tabs>
          <w:tab w:val="left" w:pos="567"/>
        </w:tabs>
        <w:spacing w:line="276" w:lineRule="auto"/>
        <w:rPr>
          <w:rFonts w:cs="Arial"/>
          <w:color w:val="2E74B5" w:themeColor="accent1" w:themeShade="BF"/>
          <w:sz w:val="24"/>
          <w:szCs w:val="24"/>
        </w:rPr>
      </w:pPr>
    </w:p>
    <w:p w:rsidR="00CA76E0" w:rsidRPr="00CA76E0" w:rsidRDefault="00CA76E0" w:rsidP="009C0F89">
      <w:pPr>
        <w:spacing w:after="0" w:line="276" w:lineRule="auto"/>
        <w:ind w:left="360" w:firstLine="900"/>
        <w:jc w:val="both"/>
        <w:rPr>
          <w:rFonts w:ascii="Arial" w:eastAsia="Arial Unicode MS" w:hAnsi="Arial" w:cs="Arial"/>
          <w:b/>
          <w:color w:val="2E74B5" w:themeColor="accent1" w:themeShade="BF"/>
          <w:sz w:val="24"/>
          <w:szCs w:val="24"/>
        </w:rPr>
      </w:pPr>
    </w:p>
    <w:tbl>
      <w:tblPr>
        <w:tblW w:w="9900" w:type="dxa"/>
        <w:jc w:val="center"/>
        <w:tblLook w:val="01E0" w:firstRow="1" w:lastRow="1" w:firstColumn="1" w:lastColumn="1" w:noHBand="0" w:noVBand="0"/>
      </w:tblPr>
      <w:tblGrid>
        <w:gridCol w:w="4552"/>
        <w:gridCol w:w="154"/>
        <w:gridCol w:w="180"/>
        <w:gridCol w:w="5014"/>
      </w:tblGrid>
      <w:tr w:rsidR="00CA76E0" w:rsidRPr="00CA76E0" w:rsidTr="003E25DE">
        <w:trPr>
          <w:trHeight w:val="2654"/>
          <w:jc w:val="center"/>
        </w:trPr>
        <w:tc>
          <w:tcPr>
            <w:tcW w:w="4706" w:type="dxa"/>
            <w:gridSpan w:val="2"/>
          </w:tcPr>
          <w:p w:rsidR="00CA76E0" w:rsidRPr="00CA76E0" w:rsidRDefault="00CA76E0" w:rsidP="009C0F89">
            <w:pPr>
              <w:spacing w:after="0" w:line="276" w:lineRule="auto"/>
              <w:jc w:val="center"/>
              <w:rPr>
                <w:rFonts w:ascii="Arial" w:eastAsia="Arial Unicode MS" w:hAnsi="Arial" w:cs="Arial"/>
                <w:b/>
                <w:color w:val="2E74B5" w:themeColor="accent1" w:themeShade="BF"/>
                <w:sz w:val="24"/>
                <w:szCs w:val="24"/>
              </w:rPr>
            </w:pPr>
            <w:r w:rsidRPr="00CA76E0">
              <w:rPr>
                <w:rFonts w:ascii="Arial" w:eastAsia="Arial Unicode MS" w:hAnsi="Arial" w:cs="Arial"/>
                <w:b/>
                <w:color w:val="2E74B5" w:themeColor="accent1" w:themeShade="BF"/>
                <w:sz w:val="24"/>
                <w:szCs w:val="24"/>
              </w:rPr>
              <w:t xml:space="preserve">        COMISIONADA </w:t>
            </w:r>
          </w:p>
          <w:p w:rsidR="00CA76E0" w:rsidRPr="00CA76E0" w:rsidRDefault="00CA76E0" w:rsidP="009C0F89">
            <w:pPr>
              <w:spacing w:after="0" w:line="276" w:lineRule="auto"/>
              <w:ind w:left="360" w:firstLine="708"/>
              <w:jc w:val="center"/>
              <w:rPr>
                <w:rFonts w:ascii="Arial" w:eastAsia="Arial Unicode MS" w:hAnsi="Arial" w:cs="Arial"/>
                <w:b/>
                <w:color w:val="2E74B5" w:themeColor="accent1" w:themeShade="BF"/>
                <w:sz w:val="24"/>
                <w:szCs w:val="24"/>
              </w:rPr>
            </w:pPr>
          </w:p>
          <w:p w:rsidR="00CA76E0" w:rsidRPr="00CA76E0" w:rsidRDefault="00CA76E0" w:rsidP="009C0F89">
            <w:pPr>
              <w:spacing w:after="0" w:line="276" w:lineRule="auto"/>
              <w:ind w:left="360" w:firstLine="708"/>
              <w:jc w:val="center"/>
              <w:rPr>
                <w:rFonts w:ascii="Arial" w:eastAsia="Arial Unicode MS" w:hAnsi="Arial" w:cs="Arial"/>
                <w:b/>
                <w:color w:val="2E74B5" w:themeColor="accent1" w:themeShade="BF"/>
                <w:sz w:val="24"/>
                <w:szCs w:val="24"/>
              </w:rPr>
            </w:pPr>
          </w:p>
          <w:p w:rsidR="00CA76E0" w:rsidRPr="00CA76E0" w:rsidRDefault="00CA76E0" w:rsidP="009C0F89">
            <w:pPr>
              <w:tabs>
                <w:tab w:val="left" w:pos="1358"/>
              </w:tabs>
              <w:spacing w:after="0" w:line="276" w:lineRule="auto"/>
              <w:ind w:firstLine="36"/>
              <w:jc w:val="center"/>
              <w:rPr>
                <w:rFonts w:ascii="Arial" w:eastAsia="Arial Unicode MS" w:hAnsi="Arial" w:cs="Arial"/>
                <w:b/>
                <w:color w:val="2E74B5" w:themeColor="accent1" w:themeShade="BF"/>
                <w:sz w:val="24"/>
                <w:szCs w:val="24"/>
              </w:rPr>
            </w:pPr>
            <w:r w:rsidRPr="00CA76E0">
              <w:rPr>
                <w:rFonts w:ascii="Arial" w:eastAsia="Arial Unicode MS" w:hAnsi="Arial" w:cs="Arial"/>
                <w:b/>
                <w:color w:val="2E74B5" w:themeColor="accent1" w:themeShade="BF"/>
                <w:sz w:val="24"/>
                <w:szCs w:val="24"/>
              </w:rPr>
              <w:t xml:space="preserve">MARIAJOSÉ </w:t>
            </w:r>
          </w:p>
          <w:p w:rsidR="00CA76E0" w:rsidRPr="00CA76E0" w:rsidRDefault="00CA76E0" w:rsidP="009C0F89">
            <w:pPr>
              <w:spacing w:after="0" w:line="276" w:lineRule="auto"/>
              <w:ind w:left="360" w:firstLine="36"/>
              <w:jc w:val="center"/>
              <w:rPr>
                <w:rFonts w:ascii="Arial" w:eastAsia="Arial Unicode MS" w:hAnsi="Arial" w:cs="Arial"/>
                <w:b/>
                <w:color w:val="2E74B5" w:themeColor="accent1" w:themeShade="BF"/>
                <w:sz w:val="24"/>
                <w:szCs w:val="24"/>
              </w:rPr>
            </w:pPr>
            <w:r w:rsidRPr="00CA76E0">
              <w:rPr>
                <w:rFonts w:ascii="Arial" w:eastAsia="Arial Unicode MS" w:hAnsi="Arial" w:cs="Arial"/>
                <w:b/>
                <w:color w:val="2E74B5" w:themeColor="accent1" w:themeShade="BF"/>
                <w:sz w:val="24"/>
                <w:szCs w:val="24"/>
              </w:rPr>
              <w:t xml:space="preserve">GONZÁLEZ ZARZOSA </w:t>
            </w:r>
          </w:p>
          <w:p w:rsidR="00CA76E0" w:rsidRPr="00CA76E0" w:rsidRDefault="00CA76E0" w:rsidP="009C0F89">
            <w:pPr>
              <w:spacing w:after="0" w:line="276" w:lineRule="auto"/>
              <w:ind w:left="360" w:firstLine="708"/>
              <w:jc w:val="center"/>
              <w:rPr>
                <w:rFonts w:ascii="Arial" w:eastAsia="Arial Unicode MS" w:hAnsi="Arial" w:cs="Arial"/>
                <w:b/>
                <w:color w:val="2E74B5" w:themeColor="accent1" w:themeShade="BF"/>
                <w:sz w:val="24"/>
                <w:szCs w:val="24"/>
              </w:rPr>
            </w:pPr>
          </w:p>
          <w:p w:rsidR="00CA76E0" w:rsidRPr="00CA76E0" w:rsidRDefault="00CA76E0" w:rsidP="009C0F89">
            <w:pPr>
              <w:spacing w:after="0" w:line="276" w:lineRule="auto"/>
              <w:rPr>
                <w:rFonts w:ascii="Arial" w:eastAsia="Arial Unicode MS" w:hAnsi="Arial" w:cs="Arial"/>
                <w:b/>
                <w:color w:val="2E74B5" w:themeColor="accent1" w:themeShade="BF"/>
                <w:sz w:val="24"/>
                <w:szCs w:val="24"/>
              </w:rPr>
            </w:pPr>
            <w:r w:rsidRPr="00CA76E0">
              <w:rPr>
                <w:rFonts w:ascii="Arial" w:eastAsia="Arial Unicode MS" w:hAnsi="Arial" w:cs="Arial"/>
                <w:b/>
                <w:color w:val="2E74B5" w:themeColor="accent1" w:themeShade="BF"/>
                <w:sz w:val="24"/>
                <w:szCs w:val="24"/>
              </w:rPr>
              <w:t xml:space="preserve">                   </w:t>
            </w:r>
          </w:p>
          <w:p w:rsidR="00CA76E0" w:rsidRPr="00CA76E0" w:rsidRDefault="00CA76E0" w:rsidP="009C0F89">
            <w:pPr>
              <w:spacing w:after="0" w:line="276" w:lineRule="auto"/>
              <w:rPr>
                <w:rFonts w:ascii="Arial" w:eastAsia="Arial Unicode MS" w:hAnsi="Arial" w:cs="Arial"/>
                <w:b/>
                <w:color w:val="2E74B5" w:themeColor="accent1" w:themeShade="BF"/>
                <w:sz w:val="24"/>
                <w:szCs w:val="24"/>
              </w:rPr>
            </w:pPr>
          </w:p>
        </w:tc>
        <w:tc>
          <w:tcPr>
            <w:tcW w:w="5194" w:type="dxa"/>
            <w:gridSpan w:val="2"/>
          </w:tcPr>
          <w:p w:rsidR="00CA76E0" w:rsidRPr="00CA76E0" w:rsidRDefault="00CA76E0" w:rsidP="009C0F89">
            <w:pPr>
              <w:spacing w:after="0" w:line="276" w:lineRule="auto"/>
              <w:ind w:left="360" w:firstLine="708"/>
              <w:rPr>
                <w:rFonts w:ascii="Arial" w:eastAsia="Arial Unicode MS" w:hAnsi="Arial" w:cs="Arial"/>
                <w:b/>
                <w:color w:val="2E74B5" w:themeColor="accent1" w:themeShade="BF"/>
                <w:sz w:val="24"/>
                <w:szCs w:val="24"/>
              </w:rPr>
            </w:pPr>
            <w:r w:rsidRPr="00CA76E0">
              <w:rPr>
                <w:rFonts w:ascii="Arial" w:eastAsia="Arial Unicode MS" w:hAnsi="Arial" w:cs="Arial"/>
                <w:b/>
                <w:color w:val="2E74B5" w:themeColor="accent1" w:themeShade="BF"/>
                <w:sz w:val="24"/>
                <w:szCs w:val="24"/>
              </w:rPr>
              <w:t xml:space="preserve">              COMISIONADO </w:t>
            </w:r>
          </w:p>
          <w:p w:rsidR="00CA76E0" w:rsidRPr="00CA76E0" w:rsidRDefault="00CA76E0" w:rsidP="009C0F89">
            <w:pPr>
              <w:spacing w:after="0" w:line="276" w:lineRule="auto"/>
              <w:ind w:left="360" w:firstLine="708"/>
              <w:jc w:val="center"/>
              <w:rPr>
                <w:rFonts w:ascii="Arial" w:eastAsia="Arial Unicode MS" w:hAnsi="Arial" w:cs="Arial"/>
                <w:b/>
                <w:color w:val="2E74B5" w:themeColor="accent1" w:themeShade="BF"/>
                <w:sz w:val="24"/>
                <w:szCs w:val="24"/>
              </w:rPr>
            </w:pPr>
          </w:p>
          <w:p w:rsidR="00CA76E0" w:rsidRPr="00CA76E0" w:rsidRDefault="00CA76E0" w:rsidP="009C0F89">
            <w:pPr>
              <w:spacing w:after="0" w:line="276" w:lineRule="auto"/>
              <w:ind w:left="360" w:firstLine="708"/>
              <w:jc w:val="center"/>
              <w:rPr>
                <w:rFonts w:ascii="Arial" w:eastAsia="Arial Unicode MS" w:hAnsi="Arial" w:cs="Arial"/>
                <w:b/>
                <w:color w:val="2E74B5" w:themeColor="accent1" w:themeShade="BF"/>
                <w:sz w:val="24"/>
                <w:szCs w:val="24"/>
              </w:rPr>
            </w:pPr>
          </w:p>
          <w:p w:rsidR="00CA76E0" w:rsidRPr="00CA76E0" w:rsidRDefault="00CA76E0" w:rsidP="009C0F89">
            <w:pPr>
              <w:spacing w:after="0" w:line="276" w:lineRule="auto"/>
              <w:rPr>
                <w:rFonts w:ascii="Arial" w:eastAsia="Arial Unicode MS" w:hAnsi="Arial" w:cs="Arial"/>
                <w:b/>
                <w:color w:val="2E74B5" w:themeColor="accent1" w:themeShade="BF"/>
                <w:sz w:val="24"/>
                <w:szCs w:val="24"/>
              </w:rPr>
            </w:pPr>
            <w:r w:rsidRPr="00CA76E0">
              <w:rPr>
                <w:rFonts w:ascii="Arial" w:eastAsia="Arial Unicode MS" w:hAnsi="Arial" w:cs="Arial"/>
                <w:b/>
                <w:color w:val="2E74B5" w:themeColor="accent1" w:themeShade="BF"/>
                <w:sz w:val="24"/>
                <w:szCs w:val="24"/>
              </w:rPr>
              <w:t xml:space="preserve">                     MTRO. ALEJANDRO </w:t>
            </w:r>
          </w:p>
          <w:p w:rsidR="00CA76E0" w:rsidRPr="00CA76E0" w:rsidRDefault="00CA76E0" w:rsidP="009C0F89">
            <w:pPr>
              <w:pStyle w:val="corte4fondo"/>
              <w:tabs>
                <w:tab w:val="left" w:pos="567"/>
              </w:tabs>
              <w:spacing w:line="276" w:lineRule="auto"/>
              <w:ind w:firstLine="0"/>
              <w:rPr>
                <w:rFonts w:cs="Arial"/>
                <w:i/>
                <w:color w:val="2E74B5" w:themeColor="accent1" w:themeShade="BF"/>
                <w:sz w:val="10"/>
                <w:szCs w:val="10"/>
              </w:rPr>
            </w:pPr>
            <w:r w:rsidRPr="00CA76E0">
              <w:rPr>
                <w:rFonts w:eastAsia="Arial Unicode MS" w:cs="Arial"/>
                <w:b/>
                <w:color w:val="2E74B5" w:themeColor="accent1" w:themeShade="BF"/>
                <w:sz w:val="24"/>
                <w:szCs w:val="24"/>
              </w:rPr>
              <w:t xml:space="preserve">                    LAFUENTE TORRES</w:t>
            </w:r>
          </w:p>
          <w:p w:rsidR="00CA76E0" w:rsidRPr="00CA76E0" w:rsidRDefault="00CA76E0" w:rsidP="009C0F89">
            <w:pPr>
              <w:spacing w:after="0" w:line="276" w:lineRule="auto"/>
              <w:ind w:left="360" w:firstLine="708"/>
              <w:jc w:val="center"/>
              <w:rPr>
                <w:rFonts w:ascii="Arial" w:eastAsia="Arial Unicode MS" w:hAnsi="Arial" w:cs="Arial"/>
                <w:b/>
                <w:color w:val="2E74B5" w:themeColor="accent1" w:themeShade="BF"/>
                <w:sz w:val="24"/>
                <w:szCs w:val="24"/>
              </w:rPr>
            </w:pPr>
          </w:p>
          <w:p w:rsidR="00CA76E0" w:rsidRPr="00CA76E0" w:rsidRDefault="00CA76E0" w:rsidP="009C0F89">
            <w:pPr>
              <w:pStyle w:val="corte4fondo"/>
              <w:tabs>
                <w:tab w:val="left" w:pos="567"/>
              </w:tabs>
              <w:spacing w:line="276" w:lineRule="auto"/>
              <w:ind w:firstLine="0"/>
              <w:rPr>
                <w:rFonts w:eastAsia="Arial Unicode MS" w:cs="Arial"/>
                <w:b/>
                <w:color w:val="2E74B5" w:themeColor="accent1" w:themeShade="BF"/>
                <w:sz w:val="24"/>
                <w:szCs w:val="24"/>
              </w:rPr>
            </w:pPr>
          </w:p>
        </w:tc>
      </w:tr>
      <w:tr w:rsidR="00CA76E0" w:rsidRPr="00CA76E0" w:rsidTr="003E25DE">
        <w:trPr>
          <w:trHeight w:val="2085"/>
          <w:jc w:val="center"/>
        </w:trPr>
        <w:tc>
          <w:tcPr>
            <w:tcW w:w="4552" w:type="dxa"/>
          </w:tcPr>
          <w:p w:rsidR="00CA76E0" w:rsidRPr="00CA76E0" w:rsidRDefault="00CA76E0" w:rsidP="009C0F89">
            <w:pPr>
              <w:spacing w:after="0" w:line="276" w:lineRule="auto"/>
              <w:ind w:left="360" w:hanging="360"/>
              <w:jc w:val="center"/>
              <w:rPr>
                <w:rFonts w:ascii="Arial" w:eastAsia="Arial Unicode MS" w:hAnsi="Arial" w:cs="Arial"/>
                <w:b/>
                <w:color w:val="2E74B5" w:themeColor="accent1" w:themeShade="BF"/>
                <w:sz w:val="24"/>
                <w:szCs w:val="24"/>
              </w:rPr>
            </w:pPr>
            <w:r w:rsidRPr="00CA76E0">
              <w:rPr>
                <w:rFonts w:ascii="Arial" w:eastAsia="Arial Unicode MS" w:hAnsi="Arial" w:cs="Arial"/>
                <w:b/>
                <w:color w:val="2E74B5" w:themeColor="accent1" w:themeShade="BF"/>
                <w:sz w:val="24"/>
                <w:szCs w:val="24"/>
              </w:rPr>
              <w:t>COMISIONADA PRESIDENTA</w:t>
            </w:r>
          </w:p>
          <w:p w:rsidR="00CA76E0" w:rsidRPr="00CA76E0" w:rsidRDefault="00CA76E0" w:rsidP="009C0F89">
            <w:pPr>
              <w:spacing w:after="0" w:line="276" w:lineRule="auto"/>
              <w:ind w:left="360"/>
              <w:rPr>
                <w:rFonts w:ascii="Arial" w:eastAsia="Arial Unicode MS" w:hAnsi="Arial" w:cs="Arial"/>
                <w:b/>
                <w:color w:val="2E74B5" w:themeColor="accent1" w:themeShade="BF"/>
                <w:sz w:val="24"/>
                <w:szCs w:val="24"/>
              </w:rPr>
            </w:pPr>
          </w:p>
          <w:p w:rsidR="00CA76E0" w:rsidRPr="00CA76E0" w:rsidRDefault="00CA76E0" w:rsidP="009C0F89">
            <w:pPr>
              <w:spacing w:after="0" w:line="276" w:lineRule="auto"/>
              <w:ind w:left="360"/>
              <w:rPr>
                <w:rFonts w:ascii="Arial" w:eastAsia="Arial Unicode MS" w:hAnsi="Arial" w:cs="Arial"/>
                <w:b/>
                <w:color w:val="2E74B5" w:themeColor="accent1" w:themeShade="BF"/>
                <w:sz w:val="24"/>
                <w:szCs w:val="24"/>
              </w:rPr>
            </w:pPr>
          </w:p>
          <w:p w:rsidR="00CA76E0" w:rsidRPr="00CA76E0" w:rsidRDefault="00CA76E0" w:rsidP="009C0F89">
            <w:pPr>
              <w:spacing w:after="0" w:line="276" w:lineRule="auto"/>
              <w:ind w:left="360"/>
              <w:rPr>
                <w:rFonts w:ascii="Arial" w:eastAsia="Arial Unicode MS" w:hAnsi="Arial" w:cs="Arial"/>
                <w:b/>
                <w:color w:val="2E74B5" w:themeColor="accent1" w:themeShade="BF"/>
                <w:sz w:val="24"/>
                <w:szCs w:val="24"/>
              </w:rPr>
            </w:pPr>
          </w:p>
          <w:p w:rsidR="00CA76E0" w:rsidRPr="00CA76E0" w:rsidRDefault="00CA76E0" w:rsidP="009C0F89">
            <w:pPr>
              <w:spacing w:after="0" w:line="276" w:lineRule="auto"/>
              <w:jc w:val="center"/>
              <w:rPr>
                <w:rFonts w:ascii="Arial" w:eastAsia="Arial Unicode MS" w:hAnsi="Arial" w:cs="Arial"/>
                <w:b/>
                <w:color w:val="2E74B5" w:themeColor="accent1" w:themeShade="BF"/>
                <w:sz w:val="24"/>
                <w:szCs w:val="24"/>
              </w:rPr>
            </w:pPr>
            <w:r w:rsidRPr="00CA76E0">
              <w:rPr>
                <w:rFonts w:ascii="Arial" w:eastAsia="Arial Unicode MS" w:hAnsi="Arial" w:cs="Arial"/>
                <w:b/>
                <w:color w:val="2E74B5" w:themeColor="accent1" w:themeShade="BF"/>
                <w:sz w:val="24"/>
                <w:szCs w:val="24"/>
              </w:rPr>
              <w:t xml:space="preserve">LIC. PAULINA SÁNCHEZ </w:t>
            </w:r>
          </w:p>
          <w:p w:rsidR="00CA76E0" w:rsidRPr="00CA76E0" w:rsidRDefault="00CA76E0" w:rsidP="009C0F89">
            <w:pPr>
              <w:spacing w:after="0" w:line="276" w:lineRule="auto"/>
              <w:jc w:val="center"/>
              <w:rPr>
                <w:rFonts w:ascii="Arial" w:eastAsia="Arial Unicode MS" w:hAnsi="Arial" w:cs="Arial"/>
                <w:b/>
                <w:color w:val="2E74B5" w:themeColor="accent1" w:themeShade="BF"/>
                <w:sz w:val="24"/>
                <w:szCs w:val="24"/>
              </w:rPr>
            </w:pPr>
            <w:r w:rsidRPr="00CA76E0">
              <w:rPr>
                <w:rFonts w:ascii="Arial" w:eastAsia="Arial Unicode MS" w:hAnsi="Arial" w:cs="Arial"/>
                <w:b/>
                <w:color w:val="2E74B5" w:themeColor="accent1" w:themeShade="BF"/>
                <w:sz w:val="24"/>
                <w:szCs w:val="24"/>
              </w:rPr>
              <w:t>PÉREZ DEL POZO</w:t>
            </w:r>
          </w:p>
          <w:p w:rsidR="00CA76E0" w:rsidRPr="00CA76E0" w:rsidRDefault="00CA76E0" w:rsidP="009C0F89">
            <w:pPr>
              <w:spacing w:after="0" w:line="276" w:lineRule="auto"/>
              <w:ind w:left="360" w:firstLine="36"/>
              <w:jc w:val="center"/>
              <w:rPr>
                <w:rFonts w:ascii="Arial" w:eastAsia="Arial Unicode MS" w:hAnsi="Arial" w:cs="Arial"/>
                <w:b/>
                <w:color w:val="2E74B5" w:themeColor="accent1" w:themeShade="BF"/>
                <w:sz w:val="24"/>
                <w:szCs w:val="24"/>
              </w:rPr>
            </w:pPr>
          </w:p>
        </w:tc>
        <w:tc>
          <w:tcPr>
            <w:tcW w:w="334" w:type="dxa"/>
            <w:gridSpan w:val="2"/>
          </w:tcPr>
          <w:p w:rsidR="00CA76E0" w:rsidRPr="00CA76E0" w:rsidRDefault="00CA76E0" w:rsidP="009C0F89">
            <w:pPr>
              <w:spacing w:after="0" w:line="276" w:lineRule="auto"/>
              <w:ind w:left="360" w:firstLine="708"/>
              <w:jc w:val="center"/>
              <w:rPr>
                <w:rFonts w:ascii="Arial" w:eastAsia="Arial Unicode MS" w:hAnsi="Arial" w:cs="Arial"/>
                <w:b/>
                <w:color w:val="2E74B5" w:themeColor="accent1" w:themeShade="BF"/>
                <w:sz w:val="24"/>
                <w:szCs w:val="24"/>
              </w:rPr>
            </w:pPr>
          </w:p>
        </w:tc>
        <w:tc>
          <w:tcPr>
            <w:tcW w:w="5014" w:type="dxa"/>
          </w:tcPr>
          <w:p w:rsidR="00CA76E0" w:rsidRPr="00CA76E0" w:rsidRDefault="00CA76E0" w:rsidP="009C0F89">
            <w:pPr>
              <w:spacing w:after="0" w:line="276" w:lineRule="auto"/>
              <w:ind w:left="360" w:firstLine="708"/>
              <w:rPr>
                <w:rFonts w:ascii="Arial" w:eastAsia="Arial Unicode MS" w:hAnsi="Arial" w:cs="Arial"/>
                <w:b/>
                <w:color w:val="2E74B5" w:themeColor="accent1" w:themeShade="BF"/>
                <w:sz w:val="24"/>
                <w:szCs w:val="24"/>
              </w:rPr>
            </w:pPr>
            <w:r w:rsidRPr="00CA76E0">
              <w:rPr>
                <w:rFonts w:ascii="Arial" w:eastAsia="Arial Unicode MS" w:hAnsi="Arial" w:cs="Arial"/>
                <w:b/>
                <w:color w:val="2E74B5" w:themeColor="accent1" w:themeShade="BF"/>
                <w:sz w:val="24"/>
                <w:szCs w:val="24"/>
              </w:rPr>
              <w:t>SECRETARIA DE PLENO</w:t>
            </w:r>
          </w:p>
          <w:p w:rsidR="00CA76E0" w:rsidRPr="00CA76E0" w:rsidRDefault="00CA76E0" w:rsidP="009C0F89">
            <w:pPr>
              <w:spacing w:after="0" w:line="276" w:lineRule="auto"/>
              <w:ind w:left="360" w:firstLine="708"/>
              <w:jc w:val="center"/>
              <w:rPr>
                <w:rFonts w:ascii="Arial" w:eastAsia="Arial Unicode MS" w:hAnsi="Arial" w:cs="Arial"/>
                <w:b/>
                <w:color w:val="2E74B5" w:themeColor="accent1" w:themeShade="BF"/>
                <w:sz w:val="24"/>
                <w:szCs w:val="24"/>
              </w:rPr>
            </w:pPr>
          </w:p>
          <w:p w:rsidR="00CA76E0" w:rsidRPr="00CA76E0" w:rsidRDefault="00CA76E0" w:rsidP="009C0F89">
            <w:pPr>
              <w:spacing w:after="0" w:line="276" w:lineRule="auto"/>
              <w:ind w:left="360" w:firstLine="708"/>
              <w:jc w:val="center"/>
              <w:rPr>
                <w:rFonts w:ascii="Arial" w:eastAsia="Arial Unicode MS" w:hAnsi="Arial" w:cs="Arial"/>
                <w:b/>
                <w:color w:val="2E74B5" w:themeColor="accent1" w:themeShade="BF"/>
                <w:sz w:val="24"/>
                <w:szCs w:val="24"/>
              </w:rPr>
            </w:pPr>
          </w:p>
          <w:p w:rsidR="00CA76E0" w:rsidRPr="00CA76E0" w:rsidRDefault="00CA76E0" w:rsidP="009C0F89">
            <w:pPr>
              <w:spacing w:after="0" w:line="276" w:lineRule="auto"/>
              <w:ind w:left="360" w:firstLine="708"/>
              <w:jc w:val="center"/>
              <w:rPr>
                <w:rFonts w:ascii="Arial" w:eastAsia="Arial Unicode MS" w:hAnsi="Arial" w:cs="Arial"/>
                <w:b/>
                <w:color w:val="2E74B5" w:themeColor="accent1" w:themeShade="BF"/>
                <w:sz w:val="24"/>
                <w:szCs w:val="24"/>
              </w:rPr>
            </w:pPr>
          </w:p>
          <w:p w:rsidR="00CA76E0" w:rsidRPr="00CA76E0" w:rsidRDefault="00CA76E0" w:rsidP="009C0F89">
            <w:pPr>
              <w:spacing w:after="0" w:line="276" w:lineRule="auto"/>
              <w:ind w:left="360" w:hanging="360"/>
              <w:jc w:val="center"/>
              <w:rPr>
                <w:rFonts w:ascii="Arial" w:eastAsia="Arial Unicode MS" w:hAnsi="Arial" w:cs="Arial"/>
                <w:b/>
                <w:color w:val="2E74B5" w:themeColor="accent1" w:themeShade="BF"/>
                <w:sz w:val="24"/>
                <w:szCs w:val="24"/>
              </w:rPr>
            </w:pPr>
            <w:r w:rsidRPr="00CA76E0">
              <w:rPr>
                <w:rFonts w:ascii="Arial" w:eastAsia="Arial Unicode MS" w:hAnsi="Arial" w:cs="Arial"/>
                <w:b/>
                <w:color w:val="2E74B5" w:themeColor="accent1" w:themeShade="BF"/>
                <w:sz w:val="24"/>
                <w:szCs w:val="24"/>
              </w:rPr>
              <w:t xml:space="preserve">LIC. ROSA MARÍA MOTILLA GARCÍA </w:t>
            </w:r>
          </w:p>
        </w:tc>
      </w:tr>
    </w:tbl>
    <w:p w:rsidR="0010262D" w:rsidRPr="00CA76E0" w:rsidRDefault="00CA76E0" w:rsidP="009C0F89">
      <w:pPr>
        <w:pStyle w:val="corte4fondo"/>
        <w:tabs>
          <w:tab w:val="left" w:pos="567"/>
        </w:tabs>
        <w:spacing w:line="276" w:lineRule="auto"/>
        <w:ind w:firstLine="0"/>
        <w:rPr>
          <w:rFonts w:cs="Arial"/>
          <w:color w:val="2E74B5" w:themeColor="accent1" w:themeShade="BF"/>
          <w:sz w:val="10"/>
          <w:szCs w:val="10"/>
        </w:rPr>
      </w:pPr>
      <w:r w:rsidRPr="00CA76E0">
        <w:rPr>
          <w:rFonts w:cs="Arial"/>
          <w:color w:val="2E74B5" w:themeColor="accent1" w:themeShade="BF"/>
          <w:sz w:val="10"/>
          <w:szCs w:val="10"/>
        </w:rPr>
        <w:t>*ESTAS FIRMAS PERTENECEN A LA</w:t>
      </w:r>
      <w:r w:rsidR="009C0F89">
        <w:rPr>
          <w:rFonts w:cs="Arial"/>
          <w:color w:val="2E74B5" w:themeColor="accent1" w:themeShade="BF"/>
          <w:sz w:val="10"/>
          <w:szCs w:val="10"/>
        </w:rPr>
        <w:t xml:space="preserve"> RESOLUCIÓN DE LA REVISIÓN 314</w:t>
      </w:r>
      <w:r w:rsidRPr="00CA76E0">
        <w:rPr>
          <w:rFonts w:cs="Arial"/>
          <w:color w:val="2E74B5" w:themeColor="accent1" w:themeShade="BF"/>
          <w:sz w:val="10"/>
          <w:szCs w:val="10"/>
        </w:rPr>
        <w:t>/2018-2 QUE FUE INTERPUESTO CONTRA LA SECRETARÍA DE FINANZAS Y QUE FUE APROBADA EN LA SESIÓN EXTRAORDINARIA DEL 11 ONCE DE JULIO DE 2018 DOS MIL DIECIOCHO.</w:t>
      </w:r>
    </w:p>
    <w:p w:rsidR="0010262D" w:rsidRPr="00CA76E0" w:rsidRDefault="0010262D" w:rsidP="009C0F89">
      <w:pPr>
        <w:pStyle w:val="corte4fondo"/>
        <w:tabs>
          <w:tab w:val="left" w:pos="567"/>
          <w:tab w:val="left" w:pos="3643"/>
        </w:tabs>
        <w:spacing w:line="276" w:lineRule="auto"/>
        <w:rPr>
          <w:rFonts w:cs="Arial"/>
          <w:i/>
          <w:color w:val="2E74B5" w:themeColor="accent1" w:themeShade="BF"/>
          <w:sz w:val="10"/>
          <w:szCs w:val="10"/>
        </w:rPr>
      </w:pPr>
    </w:p>
    <w:p w:rsidR="0010262D" w:rsidRPr="00CA76E0" w:rsidRDefault="0010262D" w:rsidP="009C0F89">
      <w:pPr>
        <w:pStyle w:val="corte4fondo"/>
        <w:tabs>
          <w:tab w:val="left" w:pos="567"/>
        </w:tabs>
        <w:spacing w:line="276" w:lineRule="auto"/>
        <w:ind w:firstLine="0"/>
        <w:rPr>
          <w:rFonts w:cs="Arial"/>
          <w:i/>
          <w:color w:val="2E74B5" w:themeColor="accent1" w:themeShade="BF"/>
          <w:sz w:val="10"/>
          <w:szCs w:val="10"/>
        </w:rPr>
      </w:pPr>
    </w:p>
    <w:p w:rsidR="0010262D" w:rsidRPr="00CA76E0" w:rsidRDefault="0010262D" w:rsidP="009C0F89">
      <w:pPr>
        <w:pStyle w:val="corte4fondo"/>
        <w:tabs>
          <w:tab w:val="left" w:pos="567"/>
        </w:tabs>
        <w:spacing w:line="276" w:lineRule="auto"/>
        <w:ind w:firstLine="0"/>
        <w:rPr>
          <w:rFonts w:cs="Arial"/>
          <w:i/>
          <w:color w:val="2E74B5" w:themeColor="accent1" w:themeShade="BF"/>
          <w:sz w:val="10"/>
          <w:szCs w:val="10"/>
        </w:rPr>
      </w:pPr>
      <w:r w:rsidRPr="00CA76E0">
        <w:rPr>
          <w:rFonts w:cs="Arial"/>
          <w:i/>
          <w:color w:val="2E74B5" w:themeColor="accent1" w:themeShade="BF"/>
          <w:sz w:val="10"/>
          <w:szCs w:val="10"/>
        </w:rPr>
        <w:t xml:space="preserve">L/MEMH </w:t>
      </w:r>
    </w:p>
    <w:sectPr w:rsidR="0010262D" w:rsidRPr="00CA76E0" w:rsidSect="00393187">
      <w:headerReference w:type="default" r:id="rId10"/>
      <w:pgSz w:w="12242" w:h="20163" w:code="5"/>
      <w:pgMar w:top="2835" w:right="851" w:bottom="2268" w:left="238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3415" w:rsidRDefault="00853415" w:rsidP="0010262D">
      <w:pPr>
        <w:spacing w:after="0" w:line="240" w:lineRule="auto"/>
      </w:pPr>
      <w:r>
        <w:separator/>
      </w:r>
    </w:p>
  </w:endnote>
  <w:endnote w:type="continuationSeparator" w:id="0">
    <w:p w:rsidR="00853415" w:rsidRDefault="00853415" w:rsidP="001026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3415" w:rsidRDefault="00853415" w:rsidP="0010262D">
      <w:pPr>
        <w:spacing w:after="0" w:line="240" w:lineRule="auto"/>
      </w:pPr>
      <w:r>
        <w:separator/>
      </w:r>
    </w:p>
  </w:footnote>
  <w:footnote w:type="continuationSeparator" w:id="0">
    <w:p w:rsidR="00853415" w:rsidRDefault="00853415" w:rsidP="0010262D">
      <w:pPr>
        <w:spacing w:after="0" w:line="240" w:lineRule="auto"/>
      </w:pPr>
      <w:r>
        <w:continuationSeparator/>
      </w:r>
    </w:p>
  </w:footnote>
  <w:footnote w:id="1">
    <w:p w:rsidR="0010262D" w:rsidRPr="00DA1577" w:rsidRDefault="0010262D" w:rsidP="0010262D">
      <w:pPr>
        <w:pStyle w:val="Textonotapie"/>
        <w:jc w:val="both"/>
        <w:rPr>
          <w:rFonts w:ascii="Arial" w:hAnsi="Arial" w:cs="Arial"/>
          <w:sz w:val="16"/>
          <w:szCs w:val="16"/>
        </w:rPr>
      </w:pPr>
      <w:r w:rsidRPr="00DA1577">
        <w:rPr>
          <w:rStyle w:val="Refdenotaalpie"/>
          <w:rFonts w:ascii="Arial" w:hAnsi="Arial" w:cs="Arial"/>
          <w:sz w:val="16"/>
          <w:szCs w:val="16"/>
        </w:rPr>
        <w:footnoteRef/>
      </w:r>
      <w:r w:rsidRPr="00DA1577">
        <w:rPr>
          <w:rFonts w:ascii="Arial" w:hAnsi="Arial" w:cs="Arial"/>
          <w:sz w:val="16"/>
          <w:szCs w:val="16"/>
        </w:rPr>
        <w:t xml:space="preserve"> Visible en la foja 1 de autos. </w:t>
      </w:r>
    </w:p>
  </w:footnote>
  <w:footnote w:id="2">
    <w:p w:rsidR="0010262D" w:rsidRPr="00074E09" w:rsidRDefault="0010262D" w:rsidP="0010262D">
      <w:pPr>
        <w:pStyle w:val="Textonotapie"/>
        <w:rPr>
          <w:color w:val="FF0000"/>
        </w:rPr>
      </w:pPr>
      <w:r w:rsidRPr="00A2402C">
        <w:rPr>
          <w:rStyle w:val="Refdenotaalpie"/>
          <w:color w:val="2E74B5" w:themeColor="accent1" w:themeShade="BF"/>
        </w:rPr>
        <w:footnoteRef/>
      </w:r>
      <w:r w:rsidRPr="00A2402C">
        <w:rPr>
          <w:color w:val="2E74B5" w:themeColor="accent1" w:themeShade="BF"/>
        </w:rPr>
        <w:t xml:space="preserve"> </w:t>
      </w:r>
      <w:r w:rsidRPr="00A2402C">
        <w:rPr>
          <w:rFonts w:ascii="Arial" w:hAnsi="Arial" w:cs="Arial"/>
          <w:color w:val="2E74B5" w:themeColor="accent1" w:themeShade="BF"/>
          <w:sz w:val="16"/>
          <w:szCs w:val="16"/>
        </w:rPr>
        <w:t xml:space="preserve">Visible en la foja 4 de autos.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0E02" w:rsidRPr="00816FC6" w:rsidRDefault="008B1912" w:rsidP="00020E02">
    <w:pPr>
      <w:pStyle w:val="Encabezado"/>
      <w:tabs>
        <w:tab w:val="clear" w:pos="4419"/>
        <w:tab w:val="left" w:pos="6804"/>
      </w:tabs>
      <w:jc w:val="right"/>
      <w:rPr>
        <w:rFonts w:ascii="Arial" w:hAnsi="Arial" w:cs="Arial"/>
        <w:color w:val="2E74B5" w:themeColor="accent1" w:themeShade="BF"/>
        <w:sz w:val="16"/>
        <w:szCs w:val="16"/>
      </w:rPr>
    </w:pPr>
    <w:r>
      <w:t xml:space="preserve">                                                                                                                    </w:t>
    </w:r>
    <w:r w:rsidRPr="00DE7FC2">
      <w:rPr>
        <w:rFonts w:ascii="Arial" w:hAnsi="Arial" w:cs="Arial"/>
      </w:rPr>
      <w:t xml:space="preserve">                                                    </w:t>
    </w:r>
    <w:r>
      <w:rPr>
        <w:rFonts w:ascii="Arial" w:hAnsi="Arial" w:cs="Arial"/>
      </w:rPr>
      <w:t xml:space="preserve">                  </w:t>
    </w:r>
    <w:r w:rsidRPr="00816FC6">
      <w:rPr>
        <w:rFonts w:ascii="Arial" w:hAnsi="Arial" w:cs="Arial"/>
        <w:color w:val="2E74B5" w:themeColor="accent1" w:themeShade="BF"/>
      </w:rPr>
      <w:fldChar w:fldCharType="begin"/>
    </w:r>
    <w:r w:rsidRPr="00816FC6">
      <w:rPr>
        <w:rFonts w:ascii="Arial" w:hAnsi="Arial" w:cs="Arial"/>
        <w:color w:val="2E74B5" w:themeColor="accent1" w:themeShade="BF"/>
      </w:rPr>
      <w:instrText xml:space="preserve"> PAGE   \* MERGEFORMAT </w:instrText>
    </w:r>
    <w:r w:rsidRPr="00816FC6">
      <w:rPr>
        <w:rFonts w:ascii="Arial" w:hAnsi="Arial" w:cs="Arial"/>
        <w:color w:val="2E74B5" w:themeColor="accent1" w:themeShade="BF"/>
      </w:rPr>
      <w:fldChar w:fldCharType="separate"/>
    </w:r>
    <w:r w:rsidR="00EA139A">
      <w:rPr>
        <w:rFonts w:ascii="Arial" w:hAnsi="Arial" w:cs="Arial"/>
        <w:noProof/>
        <w:color w:val="2E74B5" w:themeColor="accent1" w:themeShade="BF"/>
      </w:rPr>
      <w:t>7</w:t>
    </w:r>
    <w:r w:rsidRPr="00816FC6">
      <w:rPr>
        <w:rFonts w:ascii="Arial" w:hAnsi="Arial" w:cs="Arial"/>
        <w:color w:val="2E74B5" w:themeColor="accent1" w:themeShade="BF"/>
      </w:rPr>
      <w:fldChar w:fldCharType="end"/>
    </w:r>
    <w:r w:rsidRPr="00816FC6">
      <w:rPr>
        <w:rFonts w:ascii="Arial" w:hAnsi="Arial" w:cs="Arial"/>
        <w:color w:val="2E74B5" w:themeColor="accent1" w:themeShade="BF"/>
      </w:rPr>
      <w:t xml:space="preserve">                                          </w:t>
    </w:r>
    <w:r w:rsidRPr="00816FC6">
      <w:rPr>
        <w:rFonts w:ascii="Arial" w:hAnsi="Arial" w:cs="Arial"/>
        <w:color w:val="2E74B5" w:themeColor="accent1" w:themeShade="BF"/>
        <w:sz w:val="16"/>
        <w:szCs w:val="16"/>
      </w:rPr>
      <w:t xml:space="preserve">RECURSO DE REVISIÓN  </w:t>
    </w:r>
    <w:r w:rsidR="002138D2" w:rsidRPr="00816FC6">
      <w:rPr>
        <w:rFonts w:ascii="Arial" w:hAnsi="Arial" w:cs="Arial"/>
        <w:color w:val="2E74B5" w:themeColor="accent1" w:themeShade="BF"/>
        <w:sz w:val="16"/>
        <w:szCs w:val="16"/>
      </w:rPr>
      <w:t>314</w:t>
    </w:r>
    <w:r w:rsidRPr="00816FC6">
      <w:rPr>
        <w:rFonts w:ascii="Arial" w:hAnsi="Arial" w:cs="Arial"/>
        <w:color w:val="2E74B5" w:themeColor="accent1" w:themeShade="BF"/>
        <w:sz w:val="16"/>
        <w:szCs w:val="16"/>
      </w:rPr>
      <w:t>/2018</w:t>
    </w:r>
    <w:r w:rsidR="00F809D8" w:rsidRPr="00816FC6">
      <w:rPr>
        <w:rFonts w:ascii="Arial" w:hAnsi="Arial" w:cs="Arial"/>
        <w:color w:val="2E74B5" w:themeColor="accent1" w:themeShade="BF"/>
        <w:sz w:val="16"/>
        <w:szCs w:val="16"/>
      </w:rPr>
      <w:t>-2</w:t>
    </w:r>
  </w:p>
  <w:p w:rsidR="00020E02" w:rsidRPr="00816FC6" w:rsidRDefault="008B1912">
    <w:pPr>
      <w:pStyle w:val="Encabezado"/>
      <w:rPr>
        <w:color w:val="2E74B5" w:themeColor="accent1" w:themeShade="BF"/>
      </w:rPr>
    </w:pPr>
    <w:r w:rsidRPr="00816FC6">
      <w:rPr>
        <w:color w:val="2E74B5" w:themeColor="accent1" w:themeShade="BF"/>
      </w:rPr>
      <w:t xml:space="preserve">       </w:t>
    </w:r>
  </w:p>
  <w:p w:rsidR="00020E02" w:rsidRDefault="00853415">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1" w15:restartNumberingAfterBreak="0">
    <w:nsid w:val="0EC84C4F"/>
    <w:multiLevelType w:val="hybridMultilevel"/>
    <w:tmpl w:val="EC12FA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4" w15:restartNumberingAfterBreak="0">
    <w:nsid w:val="5B076234"/>
    <w:multiLevelType w:val="hybridMultilevel"/>
    <w:tmpl w:val="677464C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5B0D5985"/>
    <w:multiLevelType w:val="hybridMultilevel"/>
    <w:tmpl w:val="F6CA4A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702745E5"/>
    <w:multiLevelType w:val="hybridMultilevel"/>
    <w:tmpl w:val="25D4AD80"/>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3"/>
  </w:num>
  <w:num w:numId="2">
    <w:abstractNumId w:val="2"/>
  </w:num>
  <w:num w:numId="3">
    <w:abstractNumId w:val="6"/>
  </w:num>
  <w:num w:numId="4">
    <w:abstractNumId w:val="1"/>
  </w:num>
  <w:num w:numId="5">
    <w:abstractNumId w:val="4"/>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262D"/>
    <w:rsid w:val="00027AAF"/>
    <w:rsid w:val="00070BCB"/>
    <w:rsid w:val="0007293B"/>
    <w:rsid w:val="000B6468"/>
    <w:rsid w:val="0010262D"/>
    <w:rsid w:val="001321C7"/>
    <w:rsid w:val="001A0FA8"/>
    <w:rsid w:val="002059F8"/>
    <w:rsid w:val="002138D2"/>
    <w:rsid w:val="00220CAC"/>
    <w:rsid w:val="002A744D"/>
    <w:rsid w:val="00353DFE"/>
    <w:rsid w:val="00393187"/>
    <w:rsid w:val="00394735"/>
    <w:rsid w:val="003A145B"/>
    <w:rsid w:val="003B0922"/>
    <w:rsid w:val="003D720F"/>
    <w:rsid w:val="004342A5"/>
    <w:rsid w:val="00437BD3"/>
    <w:rsid w:val="00465EC0"/>
    <w:rsid w:val="004A41E6"/>
    <w:rsid w:val="00543B58"/>
    <w:rsid w:val="00556CC3"/>
    <w:rsid w:val="005618CF"/>
    <w:rsid w:val="005631BF"/>
    <w:rsid w:val="00565295"/>
    <w:rsid w:val="005E2350"/>
    <w:rsid w:val="006667E5"/>
    <w:rsid w:val="006C51B7"/>
    <w:rsid w:val="006F1F9D"/>
    <w:rsid w:val="0074684B"/>
    <w:rsid w:val="00762892"/>
    <w:rsid w:val="007E68F5"/>
    <w:rsid w:val="00816FC6"/>
    <w:rsid w:val="00853415"/>
    <w:rsid w:val="008B1912"/>
    <w:rsid w:val="008C59EA"/>
    <w:rsid w:val="00902381"/>
    <w:rsid w:val="00903912"/>
    <w:rsid w:val="0097731F"/>
    <w:rsid w:val="00984DFC"/>
    <w:rsid w:val="00995B21"/>
    <w:rsid w:val="009C0F89"/>
    <w:rsid w:val="00A6255C"/>
    <w:rsid w:val="00AB359A"/>
    <w:rsid w:val="00B46A37"/>
    <w:rsid w:val="00B52BA5"/>
    <w:rsid w:val="00B60D05"/>
    <w:rsid w:val="00B73105"/>
    <w:rsid w:val="00BC58D8"/>
    <w:rsid w:val="00BE3B08"/>
    <w:rsid w:val="00BE6ABF"/>
    <w:rsid w:val="00C1126D"/>
    <w:rsid w:val="00CA76E0"/>
    <w:rsid w:val="00D05A94"/>
    <w:rsid w:val="00D12719"/>
    <w:rsid w:val="00DB1E83"/>
    <w:rsid w:val="00E37FA4"/>
    <w:rsid w:val="00E53720"/>
    <w:rsid w:val="00EA139A"/>
    <w:rsid w:val="00EC6050"/>
    <w:rsid w:val="00EF73A2"/>
    <w:rsid w:val="00F809D8"/>
    <w:rsid w:val="00F931B0"/>
    <w:rsid w:val="00F94755"/>
    <w:rsid w:val="00F967CC"/>
    <w:rsid w:val="00FA0ABD"/>
    <w:rsid w:val="00FD4974"/>
    <w:rsid w:val="00FE281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DDA07"/>
  <w15:chartTrackingRefBased/>
  <w15:docId w15:val="{A3E7EA04-4291-462D-A137-93D04DE27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262D"/>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aliases w:val="Footnote Text Char Char Char Char Char,Footnote Text Char Char Char Char,Ref. de nota al pie1,FA Fu,Footnote Text Char Char Char,Footnote Text Cha,FA Fußnotentext,FA Fu?notentext,Footnote Text Char Char,FA Fuﬂnotentext,Ca,FA Fu?notente"/>
    <w:basedOn w:val="Normal"/>
    <w:link w:val="TextonotapieCar"/>
    <w:uiPriority w:val="99"/>
    <w:unhideWhenUsed/>
    <w:rsid w:val="0010262D"/>
    <w:pPr>
      <w:spacing w:after="0" w:line="240" w:lineRule="auto"/>
    </w:pPr>
    <w:rPr>
      <w:sz w:val="20"/>
      <w:szCs w:val="20"/>
    </w:rPr>
  </w:style>
  <w:style w:type="character" w:customStyle="1" w:styleId="TextonotapieCar">
    <w:name w:val="Texto nota pie Car"/>
    <w:aliases w:val="Footnote Text Char Char Char Char Char Car,Footnote Text Char Char Char Char Car,Ref. de nota al pie1 Car,FA Fu Car,Footnote Text Char Char Char Car,Footnote Text Cha Car,FA Fußnotentext Car,FA Fu?notentext Car,FA Fuﬂnotentext Car"/>
    <w:basedOn w:val="Fuentedeprrafopredeter"/>
    <w:link w:val="Textonotapie"/>
    <w:uiPriority w:val="99"/>
    <w:rsid w:val="0010262D"/>
    <w:rPr>
      <w:rFonts w:ascii="Calibri" w:eastAsia="Calibri" w:hAnsi="Calibri" w:cs="Times New Roman"/>
      <w:sz w:val="20"/>
      <w:szCs w:val="20"/>
    </w:rPr>
  </w:style>
  <w:style w:type="paragraph" w:styleId="Encabezado">
    <w:name w:val="header"/>
    <w:basedOn w:val="Normal"/>
    <w:link w:val="EncabezadoCar"/>
    <w:unhideWhenUsed/>
    <w:rsid w:val="0010262D"/>
    <w:pPr>
      <w:tabs>
        <w:tab w:val="center" w:pos="4419"/>
        <w:tab w:val="right" w:pos="8838"/>
      </w:tabs>
      <w:spacing w:after="0" w:line="240" w:lineRule="auto"/>
    </w:pPr>
  </w:style>
  <w:style w:type="character" w:customStyle="1" w:styleId="EncabezadoCar">
    <w:name w:val="Encabezado Car"/>
    <w:basedOn w:val="Fuentedeprrafopredeter"/>
    <w:link w:val="Encabezado"/>
    <w:rsid w:val="0010262D"/>
    <w:rPr>
      <w:rFonts w:ascii="Calibri" w:eastAsia="Calibri" w:hAnsi="Calibri" w:cs="Times New Roman"/>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Footnote symbol"/>
    <w:basedOn w:val="Fuentedeprrafopredeter"/>
    <w:uiPriority w:val="99"/>
    <w:unhideWhenUsed/>
    <w:rsid w:val="0010262D"/>
    <w:rPr>
      <w:vertAlign w:val="superscript"/>
    </w:rPr>
  </w:style>
  <w:style w:type="paragraph" w:customStyle="1" w:styleId="corte4fondo">
    <w:name w:val="corte4 fondo"/>
    <w:basedOn w:val="Normal"/>
    <w:link w:val="corte4fondoCar1"/>
    <w:qFormat/>
    <w:rsid w:val="0010262D"/>
    <w:pPr>
      <w:spacing w:after="0" w:line="360" w:lineRule="auto"/>
      <w:ind w:firstLine="709"/>
      <w:jc w:val="both"/>
    </w:pPr>
    <w:rPr>
      <w:rFonts w:ascii="Arial" w:eastAsia="Times New Roman" w:hAnsi="Arial"/>
      <w:sz w:val="30"/>
      <w:szCs w:val="20"/>
      <w:lang w:eastAsia="es-MX"/>
    </w:rPr>
  </w:style>
  <w:style w:type="character" w:customStyle="1" w:styleId="corte4fondoCar1">
    <w:name w:val="corte4 fondo Car1"/>
    <w:link w:val="corte4fondo"/>
    <w:rsid w:val="0010262D"/>
    <w:rPr>
      <w:rFonts w:ascii="Arial" w:eastAsia="Times New Roman" w:hAnsi="Arial" w:cs="Times New Roman"/>
      <w:sz w:val="30"/>
      <w:szCs w:val="20"/>
      <w:lang w:eastAsia="es-MX"/>
    </w:rPr>
  </w:style>
  <w:style w:type="paragraph" w:styleId="Prrafodelista">
    <w:name w:val="List Paragraph"/>
    <w:basedOn w:val="Normal"/>
    <w:uiPriority w:val="34"/>
    <w:qFormat/>
    <w:rsid w:val="0010262D"/>
    <w:pPr>
      <w:spacing w:after="200" w:line="276" w:lineRule="auto"/>
      <w:ind w:left="708"/>
    </w:pPr>
  </w:style>
  <w:style w:type="paragraph" w:styleId="NormalWeb">
    <w:name w:val="Normal (Web)"/>
    <w:basedOn w:val="Normal"/>
    <w:uiPriority w:val="99"/>
    <w:rsid w:val="0010262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corte2ponente">
    <w:name w:val="corte2 ponente"/>
    <w:basedOn w:val="Normal"/>
    <w:link w:val="corte2ponenteCar"/>
    <w:uiPriority w:val="99"/>
    <w:rsid w:val="0010262D"/>
    <w:pPr>
      <w:spacing w:after="0" w:line="240" w:lineRule="auto"/>
    </w:pPr>
    <w:rPr>
      <w:rFonts w:ascii="Arial" w:eastAsia="Times New Roman" w:hAnsi="Arial"/>
      <w:b/>
      <w:caps/>
      <w:sz w:val="30"/>
      <w:szCs w:val="20"/>
      <w:lang w:val="x-none" w:eastAsia="es-MX"/>
    </w:rPr>
  </w:style>
  <w:style w:type="character" w:customStyle="1" w:styleId="corte2ponenteCar">
    <w:name w:val="corte2 ponente Car"/>
    <w:link w:val="corte2ponente"/>
    <w:uiPriority w:val="99"/>
    <w:rsid w:val="0010262D"/>
    <w:rPr>
      <w:rFonts w:ascii="Arial" w:eastAsia="Times New Roman" w:hAnsi="Arial" w:cs="Times New Roman"/>
      <w:b/>
      <w:caps/>
      <w:sz w:val="30"/>
      <w:szCs w:val="20"/>
      <w:lang w:val="x-none" w:eastAsia="es-MX"/>
    </w:rPr>
  </w:style>
  <w:style w:type="paragraph" w:customStyle="1" w:styleId="xmsonormal">
    <w:name w:val="x_msonormal"/>
    <w:basedOn w:val="Normal"/>
    <w:rsid w:val="0010262D"/>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corte1datos">
    <w:name w:val="corte1 datos"/>
    <w:basedOn w:val="Normal"/>
    <w:link w:val="corte1datosCar"/>
    <w:qFormat/>
    <w:rsid w:val="0010262D"/>
    <w:pPr>
      <w:spacing w:after="0" w:line="240" w:lineRule="auto"/>
      <w:ind w:left="2552"/>
    </w:pPr>
    <w:rPr>
      <w:rFonts w:ascii="Arial" w:eastAsia="Times New Roman" w:hAnsi="Arial"/>
      <w:b/>
      <w:caps/>
      <w:sz w:val="30"/>
      <w:szCs w:val="20"/>
      <w:lang w:val="x-none" w:eastAsia="es-MX"/>
    </w:rPr>
  </w:style>
  <w:style w:type="character" w:customStyle="1" w:styleId="corte1datosCar">
    <w:name w:val="corte1 datos Car"/>
    <w:link w:val="corte1datos"/>
    <w:rsid w:val="0010262D"/>
    <w:rPr>
      <w:rFonts w:ascii="Arial" w:eastAsia="Times New Roman" w:hAnsi="Arial" w:cs="Times New Roman"/>
      <w:b/>
      <w:caps/>
      <w:sz w:val="30"/>
      <w:szCs w:val="20"/>
      <w:lang w:val="x-none" w:eastAsia="es-MX"/>
    </w:rPr>
  </w:style>
  <w:style w:type="paragraph" w:styleId="Piedepgina">
    <w:name w:val="footer"/>
    <w:basedOn w:val="Normal"/>
    <w:link w:val="PiedepginaCar"/>
    <w:uiPriority w:val="99"/>
    <w:unhideWhenUsed/>
    <w:rsid w:val="0010262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0262D"/>
    <w:rPr>
      <w:rFonts w:ascii="Calibri" w:eastAsia="Calibri" w:hAnsi="Calibri" w:cs="Times New Roman"/>
    </w:rPr>
  </w:style>
  <w:style w:type="paragraph" w:styleId="Textodeglobo">
    <w:name w:val="Balloon Text"/>
    <w:basedOn w:val="Normal"/>
    <w:link w:val="TextodegloboCar"/>
    <w:uiPriority w:val="99"/>
    <w:semiHidden/>
    <w:unhideWhenUsed/>
    <w:rsid w:val="00EA139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A139A"/>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207</TotalTime>
  <Pages>1</Pages>
  <Words>3245</Words>
  <Characters>17852</Characters>
  <Application>Microsoft Office Word</Application>
  <DocSecurity>0</DocSecurity>
  <Lines>148</Lines>
  <Paragraphs>42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21055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cegaip</dc:creator>
  <cp:keywords/>
  <dc:description/>
  <cp:lastModifiedBy>cegaip</cp:lastModifiedBy>
  <cp:revision>21</cp:revision>
  <cp:lastPrinted>2018-08-07T14:01:00Z</cp:lastPrinted>
  <dcterms:created xsi:type="dcterms:W3CDTF">2018-07-06T16:05:00Z</dcterms:created>
  <dcterms:modified xsi:type="dcterms:W3CDTF">2018-08-07T14:01:00Z</dcterms:modified>
</cp:coreProperties>
</file>