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B12" w:rsidRDefault="001B0463" w:rsidP="004F0B12">
      <w:pPr>
        <w:jc w:val="center"/>
        <w:rPr>
          <w:b/>
          <w:i/>
          <w:color w:val="943634" w:themeColor="accent2" w:themeShade="BF"/>
        </w:rPr>
      </w:pPr>
      <w:r w:rsidRPr="004F0B12">
        <w:rPr>
          <w:b/>
          <w:color w:val="943634" w:themeColor="accent2" w:themeShade="BF"/>
        </w:rPr>
        <w:t>ARTÍCULO</w:t>
      </w:r>
      <w:r w:rsidR="004F0B12" w:rsidRPr="004F0B12">
        <w:rPr>
          <w:b/>
          <w:color w:val="943634" w:themeColor="accent2" w:themeShade="BF"/>
        </w:rPr>
        <w:t xml:space="preserve"> </w:t>
      </w:r>
      <w:r w:rsidR="004F0B12">
        <w:rPr>
          <w:b/>
          <w:i/>
          <w:color w:val="943634" w:themeColor="accent2" w:themeShade="BF"/>
        </w:rPr>
        <w:t xml:space="preserve"> 84</w:t>
      </w:r>
      <w:r w:rsidR="004F0B12">
        <w:rPr>
          <w:b/>
          <w:color w:val="943634" w:themeColor="accent2" w:themeShade="BF"/>
        </w:rPr>
        <w:t xml:space="preserve">.- </w:t>
      </w:r>
      <w:r w:rsidR="004F0B12" w:rsidRPr="004F0B12">
        <w:rPr>
          <w:b/>
          <w:color w:val="943634" w:themeColor="accent2" w:themeShade="BF"/>
        </w:rPr>
        <w:t xml:space="preserve">FRACCION </w:t>
      </w:r>
      <w:r>
        <w:rPr>
          <w:b/>
          <w:i/>
          <w:color w:val="943634" w:themeColor="accent2" w:themeShade="BF"/>
        </w:rPr>
        <w:t>X</w:t>
      </w:r>
      <w:r w:rsidR="00C839BC">
        <w:rPr>
          <w:b/>
          <w:i/>
          <w:color w:val="943634" w:themeColor="accent2" w:themeShade="BF"/>
        </w:rPr>
        <w:t>LID</w:t>
      </w:r>
    </w:p>
    <w:tbl>
      <w:tblPr>
        <w:tblpPr w:leftFromText="141" w:rightFromText="141" w:vertAnchor="text" w:horzAnchor="margin" w:tblpY="251"/>
        <w:tblW w:w="0" w:type="auto"/>
        <w:tblCellSpacing w:w="0" w:type="dxa"/>
        <w:shd w:val="clear" w:color="auto" w:fill="F7F7F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4"/>
      </w:tblGrid>
      <w:tr w:rsidR="004869D5" w:rsidRPr="004869D5" w:rsidTr="004869D5">
        <w:trPr>
          <w:tblCellSpacing w:w="0" w:type="dxa"/>
        </w:trPr>
        <w:tc>
          <w:tcPr>
            <w:tcW w:w="8504" w:type="dxa"/>
            <w:tcBorders>
              <w:bottom w:val="nil"/>
            </w:tcBorders>
            <w:shd w:val="clear" w:color="auto" w:fill="F7F7F7"/>
            <w:hideMark/>
          </w:tcPr>
          <w:p w:rsidR="004869D5" w:rsidRPr="004869D5" w:rsidRDefault="004869D5" w:rsidP="0048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4869D5">
              <w:rPr>
                <w:rFonts w:ascii="Calibri" w:eastAsia="Times New Roman" w:hAnsi="Calibri" w:cs="Calibri"/>
                <w:color w:val="800000"/>
                <w:sz w:val="27"/>
                <w:szCs w:val="27"/>
                <w:lang w:eastAsia="es-ES"/>
              </w:rPr>
              <w:t>El inventario de bienes muebles e inmuebles en posesión y propiedad</w:t>
            </w:r>
          </w:p>
        </w:tc>
      </w:tr>
    </w:tbl>
    <w:p w:rsidR="004F0B12" w:rsidRDefault="004F0B12" w:rsidP="004F0B12">
      <w:pPr>
        <w:jc w:val="center"/>
        <w:rPr>
          <w:b/>
          <w:i/>
          <w:color w:val="943634" w:themeColor="accent2" w:themeShade="BF"/>
        </w:rPr>
      </w:pPr>
      <w:r>
        <w:rPr>
          <w:b/>
          <w:i/>
          <w:color w:val="943634" w:themeColor="accent2" w:themeShade="BF"/>
        </w:rPr>
        <w:t>OBLIGACIÓN</w:t>
      </w:r>
    </w:p>
    <w:p w:rsidR="004869D5" w:rsidRPr="00EA4C10" w:rsidRDefault="00EA4C10" w:rsidP="00EA4C10">
      <w:pPr>
        <w:jc w:val="center"/>
        <w:rPr>
          <w:sz w:val="18"/>
        </w:rPr>
      </w:pPr>
      <w:r w:rsidRPr="00C839BC">
        <w:rPr>
          <w:noProof/>
          <w:color w:val="943634" w:themeColor="accent2" w:themeShade="BF"/>
          <w:sz w:val="32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529160" wp14:editId="739FE97D">
                <wp:simplePos x="0" y="0"/>
                <wp:positionH relativeFrom="column">
                  <wp:posOffset>1264920</wp:posOffset>
                </wp:positionH>
                <wp:positionV relativeFrom="paragraph">
                  <wp:posOffset>362585</wp:posOffset>
                </wp:positionV>
                <wp:extent cx="3001010" cy="2653665"/>
                <wp:effectExtent l="0" t="0" r="27940" b="1333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1010" cy="265366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0B12" w:rsidRPr="004F0B12" w:rsidRDefault="00C839BC" w:rsidP="004F0B12">
                            <w:pPr>
                              <w:jc w:val="both"/>
                              <w:rPr>
                                <w:b/>
                                <w:sz w:val="32"/>
                              </w:rPr>
                            </w:pPr>
                            <w:r w:rsidRPr="00C839BC">
                              <w:rPr>
                                <w:b/>
                                <w:sz w:val="32"/>
                              </w:rPr>
                              <w:t>El Tribunal Estatal de Justicia Administrativa no obstante que de conformidad con el artículo 4° de la Ley de Justicia Administrativa que lo dota de plena autonomía presupuestaria a la fecha del presente reporte no cuenta con bienes inmuebles propios.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99.6pt;margin-top:28.55pt;width:236.3pt;height:20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" fillcolor="white [3201]" strokecolor="black [3200]" strokeweight="2pt">
                <v:textbox>
                  <w:txbxContent>
                    <w:p w:rsidR="004F0B12" w:rsidRPr="004F0B12" w:rsidRDefault="00C839BC" w:rsidP="004F0B12">
                      <w:pPr>
                        <w:jc w:val="both"/>
                        <w:rPr>
                          <w:b/>
                          <w:sz w:val="32"/>
                        </w:rPr>
                      </w:pPr>
                      <w:r w:rsidRPr="00C839BC">
                        <w:rPr>
                          <w:b/>
                          <w:sz w:val="32"/>
                        </w:rPr>
                        <w:t>El Tribunal Estatal de Justicia Administrativa no obstante que de conformidad con el artículo 4° de la Ley de Justicia Administrativa que lo dota de plena autonomía presupuestaria a la fecha del presente reporte no cuenta con bienes inmuebles propios.</w:t>
                      </w:r>
                    </w:p>
                  </w:txbxContent>
                </v:textbox>
              </v:shape>
            </w:pict>
          </mc:Fallback>
        </mc:AlternateContent>
      </w:r>
    </w:p>
    <w:p w:rsidR="004F0B12" w:rsidRPr="00EA4C10" w:rsidRDefault="004F0B12" w:rsidP="00EA4C10">
      <w:pPr>
        <w:jc w:val="center"/>
        <w:rPr>
          <w:sz w:val="18"/>
        </w:rPr>
      </w:pPr>
    </w:p>
    <w:p w:rsidR="00643A2C" w:rsidRDefault="00643A2C">
      <w:bookmarkStart w:id="0" w:name="_GoBack"/>
      <w:bookmarkEnd w:id="0"/>
    </w:p>
    <w:sectPr w:rsidR="00643A2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191" w:rsidRDefault="00C34191" w:rsidP="004F0B12">
      <w:pPr>
        <w:spacing w:after="0" w:line="240" w:lineRule="auto"/>
      </w:pPr>
      <w:r>
        <w:separator/>
      </w:r>
    </w:p>
  </w:endnote>
  <w:endnote w:type="continuationSeparator" w:id="0">
    <w:p w:rsidR="00C34191" w:rsidRDefault="00C34191" w:rsidP="004F0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B12" w:rsidRPr="004F0B12" w:rsidRDefault="004F0B12" w:rsidP="004F0B12">
    <w:pPr>
      <w:pStyle w:val="Piedepgina"/>
      <w:jc w:val="center"/>
      <w:rPr>
        <w:sz w:val="28"/>
      </w:rPr>
    </w:pPr>
    <w:r w:rsidRPr="004F0B12">
      <w:rPr>
        <w:sz w:val="28"/>
      </w:rPr>
      <w:t>PLATAFORMA ESTATAL DE TRANSPARENCIA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191" w:rsidRDefault="00C34191" w:rsidP="004F0B12">
      <w:pPr>
        <w:spacing w:after="0" w:line="240" w:lineRule="auto"/>
      </w:pPr>
      <w:r>
        <w:separator/>
      </w:r>
    </w:p>
  </w:footnote>
  <w:footnote w:type="continuationSeparator" w:id="0">
    <w:p w:rsidR="00C34191" w:rsidRDefault="00C34191" w:rsidP="004F0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32"/>
      </w:rPr>
      <w:alias w:val="Título"/>
      <w:id w:val="77738743"/>
      <w:placeholder>
        <w:docPart w:val="62ED1192617D4F24934EFCDC6EE36BE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4F0B12" w:rsidRPr="004F0B12" w:rsidRDefault="004F0B12">
        <w:pPr>
          <w:pStyle w:val="Encabezad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28"/>
            <w:szCs w:val="32"/>
          </w:rPr>
        </w:pPr>
        <w:r w:rsidRPr="004F0B12">
          <w:rPr>
            <w:rFonts w:asciiTheme="majorHAnsi" w:eastAsiaTheme="majorEastAsia" w:hAnsiTheme="majorHAnsi" w:cstheme="majorBidi"/>
            <w:sz w:val="28"/>
            <w:szCs w:val="32"/>
          </w:rPr>
          <w:t>TRIBUNAL ESTATAL DE JUSTICIA ADMINISTRATIVA</w:t>
        </w:r>
      </w:p>
    </w:sdtContent>
  </w:sdt>
  <w:p w:rsidR="004F0B12" w:rsidRPr="004F0B12" w:rsidRDefault="004F0B12">
    <w:pPr>
      <w:pStyle w:val="Encabezad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B12"/>
    <w:rsid w:val="001B0463"/>
    <w:rsid w:val="004869D5"/>
    <w:rsid w:val="004F0B12"/>
    <w:rsid w:val="005A1040"/>
    <w:rsid w:val="00643A2C"/>
    <w:rsid w:val="00A1362E"/>
    <w:rsid w:val="00A25A31"/>
    <w:rsid w:val="00C3027D"/>
    <w:rsid w:val="00C34191"/>
    <w:rsid w:val="00C839BC"/>
    <w:rsid w:val="00EA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1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2ED1192617D4F24934EFCDC6EE36B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948EF-51BC-40A9-BB30-A0A182BE5FA4}"/>
      </w:docPartPr>
      <w:docPartBody>
        <w:p w:rsidR="0073707F" w:rsidRDefault="007268D4" w:rsidP="007268D4">
          <w:pPr>
            <w:pStyle w:val="62ED1192617D4F24934EFCDC6EE36BE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[Escriba el 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8D4"/>
    <w:rsid w:val="006259B5"/>
    <w:rsid w:val="007268D4"/>
    <w:rsid w:val="0073707F"/>
    <w:rsid w:val="00A85A10"/>
    <w:rsid w:val="00C009AF"/>
    <w:rsid w:val="00E5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TRIBUNAL ESTATAL DE JUSTICIA ADMINISTRATIVA</vt:lpstr>
    </vt:vector>
  </TitlesOfParts>
  <Company/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TRIBUNAL ESTATAL DE JUSTICIA ADMINISTRATIVA</dc:title>
  <dc:creator>PAO</dc:creator>
  <cp:lastModifiedBy>PAO</cp:lastModifiedBy>
  <cp:revision>3</cp:revision>
  <dcterms:created xsi:type="dcterms:W3CDTF">2018-11-29T20:24:00Z</dcterms:created>
  <dcterms:modified xsi:type="dcterms:W3CDTF">2018-11-29T20:26:00Z</dcterms:modified>
</cp:coreProperties>
</file>