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14538E23"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2B65A0">
        <w:rPr>
          <w:rFonts w:ascii="Arial" w:hAnsi="Arial" w:cs="Arial"/>
          <w:b/>
          <w:sz w:val="20"/>
          <w:szCs w:val="20"/>
        </w:rPr>
        <w:t>55</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090820">
        <w:rPr>
          <w:rFonts w:ascii="Arial" w:hAnsi="Arial" w:cs="Arial"/>
          <w:b/>
          <w:sz w:val="20"/>
          <w:szCs w:val="20"/>
        </w:rPr>
        <w:t xml:space="preserve"> </w:t>
      </w:r>
      <w:r w:rsidR="002B65A0">
        <w:rPr>
          <w:rFonts w:ascii="Arial" w:hAnsi="Arial" w:cs="Arial"/>
          <w:b/>
          <w:sz w:val="20"/>
          <w:szCs w:val="20"/>
        </w:rPr>
        <w:t>TITULAR DE SECRETARIA DE DESARROLLO URBANO, VIVIENDA Y OBRAS PUBLICAS</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254D1B12" w14:textId="58BD486C" w:rsidR="00DA263F"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1039FA83"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2B65A0">
        <w:rPr>
          <w:rFonts w:ascii="Arial" w:hAnsi="Arial" w:cs="Arial"/>
          <w:b/>
          <w:sz w:val="20"/>
          <w:szCs w:val="20"/>
        </w:rPr>
        <w:t>56</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2B65A0">
        <w:rPr>
          <w:rFonts w:ascii="Arial" w:hAnsi="Arial" w:cs="Arial"/>
          <w:b/>
          <w:sz w:val="20"/>
          <w:szCs w:val="20"/>
        </w:rPr>
        <w:t xml:space="preserve"> SECRETARIA DE DESARROLLO URBANO, VIVIENDA Y OBRAS PUBLICAS</w:t>
      </w:r>
      <w:r w:rsidR="00090820">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386CC416"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2B65A0">
        <w:rPr>
          <w:rFonts w:ascii="Arial" w:hAnsi="Arial" w:cs="Arial"/>
          <w:lang w:val="es-MX"/>
        </w:rPr>
        <w:t>30 treinta</w:t>
      </w:r>
      <w:r w:rsidR="00C7394D">
        <w:rPr>
          <w:rFonts w:ascii="Arial" w:hAnsi="Arial" w:cs="Arial"/>
          <w:lang w:val="es-MX"/>
        </w:rPr>
        <w:t xml:space="preserve"> de octubre</w:t>
      </w:r>
      <w:r w:rsidR="00263B2B" w:rsidRPr="00263B2B">
        <w:rPr>
          <w:rFonts w:ascii="Arial" w:hAnsi="Arial" w:cs="Arial"/>
          <w:lang w:val="es-MX"/>
        </w:rPr>
        <w:t xml:space="preserve"> de</w:t>
      </w:r>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2B65A0">
        <w:rPr>
          <w:rFonts w:ascii="Arial" w:hAnsi="Arial" w:cs="Arial"/>
          <w:b/>
          <w:lang w:val="es-MX"/>
        </w:rPr>
        <w:t>271</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5E58320A" w14:textId="01C26EA3" w:rsidR="00E957AF" w:rsidRPr="00E957AF" w:rsidRDefault="003E648E" w:rsidP="00E957AF">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r w:rsidR="00E957AF" w:rsidRPr="00E957AF">
        <w:rPr>
          <w:rFonts w:ascii="Arial" w:hAnsi="Arial" w:cs="Arial"/>
          <w:color w:val="5B9BD5" w:themeColor="accent5"/>
          <w:sz w:val="14"/>
          <w:szCs w:val="16"/>
        </w:rPr>
        <w:t xml:space="preserve">                                                                              </w:t>
      </w:r>
    </w:p>
    <w:p w14:paraId="35404860"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San Luis Potosí, San Luis Potosí, 30 treinta de octubre de 2018 dos mil dieciocho.    </w:t>
      </w:r>
    </w:p>
    <w:p w14:paraId="7E256263" w14:textId="77777777" w:rsidR="002B65A0" w:rsidRPr="002B65A0" w:rsidRDefault="002B65A0" w:rsidP="002B65A0">
      <w:pPr>
        <w:jc w:val="both"/>
        <w:rPr>
          <w:rFonts w:ascii="Arial" w:hAnsi="Arial" w:cs="Arial"/>
          <w:color w:val="5B9BD5" w:themeColor="accent5"/>
          <w:sz w:val="14"/>
          <w:szCs w:val="16"/>
        </w:rPr>
      </w:pPr>
    </w:p>
    <w:p w14:paraId="7B3C7628"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14:paraId="598DE905" w14:textId="77777777" w:rsidR="002B65A0" w:rsidRPr="002B65A0" w:rsidRDefault="002B65A0" w:rsidP="002B65A0">
      <w:pPr>
        <w:jc w:val="both"/>
        <w:rPr>
          <w:rFonts w:ascii="Arial" w:hAnsi="Arial" w:cs="Arial"/>
          <w:color w:val="5B9BD5" w:themeColor="accent5"/>
          <w:sz w:val="14"/>
          <w:szCs w:val="16"/>
        </w:rPr>
      </w:pPr>
    </w:p>
    <w:p w14:paraId="343154D6"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En primer término, resulta necesario insertar los efectos dictados en la resolución:</w:t>
      </w:r>
    </w:p>
    <w:p w14:paraId="63905E6C" w14:textId="77777777" w:rsidR="002B65A0" w:rsidRPr="002B65A0" w:rsidRDefault="002B65A0" w:rsidP="002B65A0">
      <w:pPr>
        <w:jc w:val="both"/>
        <w:rPr>
          <w:rFonts w:ascii="Arial" w:hAnsi="Arial" w:cs="Arial"/>
          <w:color w:val="5B9BD5" w:themeColor="accent5"/>
          <w:sz w:val="14"/>
          <w:szCs w:val="16"/>
        </w:rPr>
      </w:pPr>
    </w:p>
    <w:p w14:paraId="3483366B"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p>
    <w:p w14:paraId="28CB70E7"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7.2. Sentido y efectos de la resolución.</w:t>
      </w:r>
    </w:p>
    <w:p w14:paraId="1FB71314" w14:textId="6BA7E87A"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En las condiciones, esta comisión Estatal de Garantía de Acceso a la Información Pública de conformidad con el artículo 175, fracción III de la ley de Transparencia y acceso a la Información Pública del Estado modifica la respuesta proporcionada por el sujeto obligado y lo conmina a entregar:</w:t>
      </w:r>
    </w:p>
    <w:p w14:paraId="4D63B2D8" w14:textId="77777777" w:rsidR="002B65A0" w:rsidRPr="002B65A0" w:rsidRDefault="002B65A0" w:rsidP="002B65A0">
      <w:pPr>
        <w:jc w:val="both"/>
        <w:rPr>
          <w:rFonts w:ascii="Arial" w:hAnsi="Arial" w:cs="Arial"/>
          <w:color w:val="5B9BD5" w:themeColor="accent5"/>
          <w:sz w:val="14"/>
          <w:szCs w:val="16"/>
        </w:rPr>
      </w:pPr>
    </w:p>
    <w:p w14:paraId="04D0D460"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7.- Relación de pagos realizados a las personas con las cuales se contrató dicha obra.</w:t>
      </w:r>
    </w:p>
    <w:p w14:paraId="5A701A6D" w14:textId="77777777" w:rsidR="002B65A0" w:rsidRPr="002B65A0" w:rsidRDefault="002B65A0" w:rsidP="002B65A0">
      <w:pPr>
        <w:jc w:val="both"/>
        <w:rPr>
          <w:rFonts w:ascii="Arial" w:hAnsi="Arial" w:cs="Arial"/>
          <w:color w:val="5B9BD5" w:themeColor="accent5"/>
          <w:sz w:val="14"/>
          <w:szCs w:val="16"/>
        </w:rPr>
      </w:pPr>
    </w:p>
    <w:p w14:paraId="19B2A03E"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8.- Informe si se realizaron los pagos a la empresa Tecnodren del Centro de México, S.A. de C.V.</w:t>
      </w:r>
      <w:proofErr w:type="gramStart"/>
      <w:r w:rsidRPr="002B65A0">
        <w:rPr>
          <w:rFonts w:ascii="Arial" w:hAnsi="Arial" w:cs="Arial"/>
          <w:color w:val="5B9BD5" w:themeColor="accent5"/>
          <w:sz w:val="14"/>
          <w:szCs w:val="16"/>
        </w:rPr>
        <w:t>,  por</w:t>
      </w:r>
      <w:proofErr w:type="gramEnd"/>
      <w:r w:rsidRPr="002B65A0">
        <w:rPr>
          <w:rFonts w:ascii="Arial" w:hAnsi="Arial" w:cs="Arial"/>
          <w:color w:val="5B9BD5" w:themeColor="accent5"/>
          <w:sz w:val="14"/>
          <w:szCs w:val="16"/>
        </w:rPr>
        <w:t xml:space="preserve"> contratación de dicha obra en cualquiera de sus etapas, y </w:t>
      </w:r>
      <w:proofErr w:type="spellStart"/>
      <w:r w:rsidRPr="002B65A0">
        <w:rPr>
          <w:rFonts w:ascii="Arial" w:hAnsi="Arial" w:cs="Arial"/>
          <w:color w:val="5B9BD5" w:themeColor="accent5"/>
          <w:sz w:val="14"/>
          <w:szCs w:val="16"/>
        </w:rPr>
        <w:t>cual</w:t>
      </w:r>
      <w:proofErr w:type="spellEnd"/>
      <w:r w:rsidRPr="002B65A0">
        <w:rPr>
          <w:rFonts w:ascii="Arial" w:hAnsi="Arial" w:cs="Arial"/>
          <w:color w:val="5B9BD5" w:themeColor="accent5"/>
          <w:sz w:val="14"/>
          <w:szCs w:val="16"/>
        </w:rPr>
        <w:t xml:space="preserve"> fue el monto pagado.</w:t>
      </w:r>
    </w:p>
    <w:p w14:paraId="74BA196D" w14:textId="77777777" w:rsidR="002B65A0" w:rsidRPr="002B65A0" w:rsidRDefault="002B65A0" w:rsidP="002B65A0">
      <w:pPr>
        <w:jc w:val="both"/>
        <w:rPr>
          <w:rFonts w:ascii="Arial" w:hAnsi="Arial" w:cs="Arial"/>
          <w:color w:val="5B9BD5" w:themeColor="accent5"/>
          <w:sz w:val="14"/>
          <w:szCs w:val="16"/>
        </w:rPr>
      </w:pPr>
    </w:p>
    <w:p w14:paraId="226E5F90"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9.- Informe si se realizaron pagos a la empresa Asfaltos y Terracería de Rio Verde, S.A. de C.V., por contratación de dicha obra en cualquiera de sus etapas, y cuál fue el monto pagado.</w:t>
      </w:r>
    </w:p>
    <w:p w14:paraId="7F54DF9D" w14:textId="77777777" w:rsidR="002B65A0" w:rsidRPr="002B65A0" w:rsidRDefault="002B65A0" w:rsidP="002B65A0">
      <w:pPr>
        <w:jc w:val="both"/>
        <w:rPr>
          <w:rFonts w:ascii="Arial" w:hAnsi="Arial" w:cs="Arial"/>
          <w:color w:val="5B9BD5" w:themeColor="accent5"/>
          <w:sz w:val="14"/>
          <w:szCs w:val="16"/>
        </w:rPr>
      </w:pPr>
    </w:p>
    <w:p w14:paraId="76139519"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10.- Informe si se realizaron pagos a la empresa GRUPO CONSTRUCTOR TRES M S.A. de C.V., por contratación de dicha obra en cualquiera de sus etapas, y cuál fue el monto pagado.</w:t>
      </w:r>
    </w:p>
    <w:p w14:paraId="684BE514"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 </w:t>
      </w:r>
    </w:p>
    <w:p w14:paraId="42A019FD" w14:textId="77777777" w:rsidR="002B65A0" w:rsidRPr="002B65A0" w:rsidRDefault="002B65A0" w:rsidP="002B65A0">
      <w:pPr>
        <w:jc w:val="both"/>
        <w:rPr>
          <w:rFonts w:ascii="Arial" w:hAnsi="Arial" w:cs="Arial"/>
          <w:color w:val="5B9BD5" w:themeColor="accent5"/>
          <w:sz w:val="14"/>
          <w:szCs w:val="16"/>
        </w:rPr>
      </w:pPr>
    </w:p>
    <w:p w14:paraId="1311E411"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Debido a lo anterior, el sujeto obligado por conducto del Titular de la Unidad de Transparencia presentó el oficio UT-077/2018, recibido en la oficialía de partes de este cuerpo colegiado el 20 veinte de julio del año en curso, junto con 5 anexos, donde informa sobre el cumplimiento al resolutivo.</w:t>
      </w:r>
    </w:p>
    <w:p w14:paraId="30671BE5" w14:textId="77777777" w:rsidR="002B65A0" w:rsidRPr="002B65A0" w:rsidRDefault="002B65A0" w:rsidP="002B65A0">
      <w:pPr>
        <w:jc w:val="both"/>
        <w:rPr>
          <w:rFonts w:ascii="Arial" w:hAnsi="Arial" w:cs="Arial"/>
          <w:color w:val="5B9BD5" w:themeColor="accent5"/>
          <w:sz w:val="14"/>
          <w:szCs w:val="16"/>
        </w:rPr>
      </w:pPr>
    </w:p>
    <w:p w14:paraId="7EA5F11C"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Ahora bien, para efecto del presente estudio es importante revisar contenido de los anexos del oficio UT-077/2018 (visibles a fojas 66 a 75 de autos), mismos que comprenden:</w:t>
      </w:r>
    </w:p>
    <w:p w14:paraId="3F1FC5F8"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r w:rsidRPr="002B65A0">
        <w:rPr>
          <w:rFonts w:ascii="Arial" w:hAnsi="Arial" w:cs="Arial"/>
          <w:color w:val="5B9BD5" w:themeColor="accent5"/>
          <w:sz w:val="14"/>
          <w:szCs w:val="16"/>
        </w:rPr>
        <w:tab/>
        <w:t>Memorándum UT-297/2018 de fecha 06 seis de julio de 2018, signado por la Encargada de la Unidad de Transparencia.</w:t>
      </w:r>
    </w:p>
    <w:p w14:paraId="40FA8C3E"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r w:rsidRPr="002B65A0">
        <w:rPr>
          <w:rFonts w:ascii="Arial" w:hAnsi="Arial" w:cs="Arial"/>
          <w:color w:val="5B9BD5" w:themeColor="accent5"/>
          <w:sz w:val="14"/>
          <w:szCs w:val="16"/>
        </w:rPr>
        <w:tab/>
        <w:t>Memorándum UT-298/2018 de fecha 06 seis de julio de 2018, signado por la Encargada de la Unidad de Transparencia.</w:t>
      </w:r>
    </w:p>
    <w:p w14:paraId="66E2F57F"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r w:rsidRPr="002B65A0">
        <w:rPr>
          <w:rFonts w:ascii="Arial" w:hAnsi="Arial" w:cs="Arial"/>
          <w:color w:val="5B9BD5" w:themeColor="accent5"/>
          <w:sz w:val="14"/>
          <w:szCs w:val="16"/>
        </w:rPr>
        <w:tab/>
        <w:t>Memorándum DAF/SD-018-18, signado por la Subdirectora de Administración y Finanzas.</w:t>
      </w:r>
    </w:p>
    <w:p w14:paraId="2BF0F436"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r w:rsidRPr="002B65A0">
        <w:rPr>
          <w:rFonts w:ascii="Arial" w:hAnsi="Arial" w:cs="Arial"/>
          <w:color w:val="5B9BD5" w:themeColor="accent5"/>
          <w:sz w:val="14"/>
          <w:szCs w:val="16"/>
        </w:rPr>
        <w:tab/>
        <w:t>Memorándum DPCS/0291/2018, signado por la Directora de Planeación, Control y Seguimiento.</w:t>
      </w:r>
    </w:p>
    <w:p w14:paraId="55D584BF"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r w:rsidRPr="002B65A0">
        <w:rPr>
          <w:rFonts w:ascii="Arial" w:hAnsi="Arial" w:cs="Arial"/>
          <w:color w:val="5B9BD5" w:themeColor="accent5"/>
          <w:sz w:val="14"/>
          <w:szCs w:val="16"/>
        </w:rPr>
        <w:tab/>
        <w:t>Copia Certificada de captura de pantalla del envió de la información al correo Electrónico señalado por el recurrente.</w:t>
      </w:r>
    </w:p>
    <w:p w14:paraId="7B527803" w14:textId="77777777" w:rsidR="002B65A0" w:rsidRPr="002B65A0" w:rsidRDefault="002B65A0" w:rsidP="002B65A0">
      <w:pPr>
        <w:jc w:val="both"/>
        <w:rPr>
          <w:rFonts w:ascii="Arial" w:hAnsi="Arial" w:cs="Arial"/>
          <w:color w:val="5B9BD5" w:themeColor="accent5"/>
          <w:sz w:val="14"/>
          <w:szCs w:val="16"/>
        </w:rPr>
      </w:pPr>
    </w:p>
    <w:p w14:paraId="25D3091F"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Con relación a lo anterior, se advierte que el memorándum número UT-077/2018 contienen la respuesta otorgada por parte de la Encargada de la Unidad de Transparencia, en el que señala medularmente lo siguiente:</w:t>
      </w:r>
    </w:p>
    <w:p w14:paraId="2C11B1D2"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p>
    <w:p w14:paraId="3DDF8AAC"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 fin de atender dicha resolución, la unidad de Transparencia de esta Secretaria de Desarrollo Urbano, Vivienda y Obras Publicas en fecha 19 de julio de 2018, mediante el correo electrónico señalado por el quejoso en la Plataforma Nacional de Transparencia</w:t>
      </w:r>
    </w:p>
    <w:p w14:paraId="43D7C9F7"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 […”]</w:t>
      </w:r>
    </w:p>
    <w:p w14:paraId="486BEEA2" w14:textId="77777777" w:rsidR="002B65A0" w:rsidRPr="002B65A0" w:rsidRDefault="002B65A0" w:rsidP="002B65A0">
      <w:pPr>
        <w:jc w:val="both"/>
        <w:rPr>
          <w:rFonts w:ascii="Arial" w:hAnsi="Arial" w:cs="Arial"/>
          <w:color w:val="5B9BD5" w:themeColor="accent5"/>
          <w:sz w:val="14"/>
          <w:szCs w:val="16"/>
        </w:rPr>
      </w:pPr>
    </w:p>
    <w:p w14:paraId="6FAE97E3"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En este contexto y al analizar el contenido del Memorándum. DAF/SD-018-18, signado por Jhoana Carolina Ramírez Llanas, Subdirectora de Administración y finanzas se aprecia que medularmente su respuesta consistió en:</w:t>
      </w:r>
    </w:p>
    <w:p w14:paraId="1805D3E8"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 </w:t>
      </w:r>
    </w:p>
    <w:p w14:paraId="329F2940"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w:t>
      </w:r>
    </w:p>
    <w:p w14:paraId="1EFE380C"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Por ello, le informo esta dirección de Administración y Finanzas NO EJECUTA PAGOS DE OBRAS del fondo metropolitano, por tal motivo no nos es posible entregar la información requerida.</w:t>
      </w:r>
    </w:p>
    <w:p w14:paraId="19B8D5E4" w14:textId="77777777" w:rsidR="002B65A0" w:rsidRPr="002B65A0" w:rsidRDefault="002B65A0" w:rsidP="002B65A0">
      <w:pPr>
        <w:jc w:val="both"/>
        <w:rPr>
          <w:rFonts w:ascii="Arial" w:hAnsi="Arial" w:cs="Arial"/>
          <w:color w:val="5B9BD5" w:themeColor="accent5"/>
          <w:sz w:val="14"/>
          <w:szCs w:val="16"/>
        </w:rPr>
      </w:pPr>
    </w:p>
    <w:p w14:paraId="62F241C6"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Anexo reglas de operación del fondo metropolitano 2015, en el cual en el apartado de “CONSIDERANDO”  párrafo segundo se establece que: “Los recursos del Fondo Metropolitano se administran en las Entidades Federativas a través de fideicomisos de </w:t>
      </w:r>
      <w:r w:rsidRPr="002B65A0">
        <w:rPr>
          <w:rFonts w:ascii="Arial" w:hAnsi="Arial" w:cs="Arial"/>
          <w:color w:val="5B9BD5" w:themeColor="accent5"/>
          <w:sz w:val="14"/>
          <w:szCs w:val="16"/>
        </w:rPr>
        <w:lastRenderedPageBreak/>
        <w:t xml:space="preserve">administración e inversión, en términos de lo dispuesto en el </w:t>
      </w:r>
      <w:proofErr w:type="spellStart"/>
      <w:r w:rsidRPr="002B65A0">
        <w:rPr>
          <w:rFonts w:ascii="Arial" w:hAnsi="Arial" w:cs="Arial"/>
          <w:color w:val="5B9BD5" w:themeColor="accent5"/>
          <w:sz w:val="14"/>
          <w:szCs w:val="16"/>
        </w:rPr>
        <w:t>articulo</w:t>
      </w:r>
      <w:proofErr w:type="spellEnd"/>
      <w:r w:rsidRPr="002B65A0">
        <w:rPr>
          <w:rFonts w:ascii="Arial" w:hAnsi="Arial" w:cs="Arial"/>
          <w:color w:val="5B9BD5" w:themeColor="accent5"/>
          <w:sz w:val="14"/>
          <w:szCs w:val="16"/>
        </w:rPr>
        <w:t xml:space="preserve"> 38 párrafo quinto, del Decreto de Presupuesto de Egresos de la Federación para el Ejercicio Fiscal 2015, en las demás disposiciones del Fondo Metropolitano y en las demás aplicables, y…”</w:t>
      </w:r>
    </w:p>
    <w:p w14:paraId="02D240BE"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 […]”</w:t>
      </w:r>
    </w:p>
    <w:p w14:paraId="570A7D82" w14:textId="77777777" w:rsidR="002B65A0" w:rsidRPr="002B65A0" w:rsidRDefault="002B65A0" w:rsidP="002B65A0">
      <w:pPr>
        <w:jc w:val="both"/>
        <w:rPr>
          <w:rFonts w:ascii="Arial" w:hAnsi="Arial" w:cs="Arial"/>
          <w:color w:val="5B9BD5" w:themeColor="accent5"/>
          <w:sz w:val="14"/>
          <w:szCs w:val="16"/>
        </w:rPr>
      </w:pPr>
    </w:p>
    <w:p w14:paraId="487DBED1"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Por otro lado, la respuesta otorgada por la Directora de Planeación, Control y Seguimiento en el memorándum número DPCS/0291/2018, consistió en:</w:t>
      </w:r>
    </w:p>
    <w:p w14:paraId="1B0E398F" w14:textId="77777777" w:rsidR="002B65A0" w:rsidRPr="002B65A0" w:rsidRDefault="002B65A0" w:rsidP="002B65A0">
      <w:pPr>
        <w:jc w:val="both"/>
        <w:rPr>
          <w:rFonts w:ascii="Arial" w:hAnsi="Arial" w:cs="Arial"/>
          <w:color w:val="5B9BD5" w:themeColor="accent5"/>
          <w:sz w:val="14"/>
          <w:szCs w:val="16"/>
        </w:rPr>
      </w:pPr>
    </w:p>
    <w:p w14:paraId="0BC2F06E"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 No estando en mis facultades, atribuciones y funciones el llenado del mismo, me es imposible atender la resolución en ese sentido, es decir entregar la información atento a los criterios que establece el </w:t>
      </w:r>
      <w:proofErr w:type="spellStart"/>
      <w:r w:rsidRPr="002B65A0">
        <w:rPr>
          <w:rFonts w:ascii="Arial" w:hAnsi="Arial" w:cs="Arial"/>
          <w:color w:val="5B9BD5" w:themeColor="accent5"/>
          <w:sz w:val="14"/>
          <w:szCs w:val="16"/>
        </w:rPr>
        <w:t>articulo</w:t>
      </w:r>
      <w:proofErr w:type="spellEnd"/>
      <w:r w:rsidRPr="002B65A0">
        <w:rPr>
          <w:rFonts w:ascii="Arial" w:hAnsi="Arial" w:cs="Arial"/>
          <w:color w:val="5B9BD5" w:themeColor="accent5"/>
          <w:sz w:val="14"/>
          <w:szCs w:val="16"/>
        </w:rPr>
        <w:t xml:space="preserve"> 84 fracción IV de la Ley de Transparencia y Acceso a la información </w:t>
      </w:r>
      <w:proofErr w:type="spellStart"/>
      <w:r w:rsidRPr="002B65A0">
        <w:rPr>
          <w:rFonts w:ascii="Arial" w:hAnsi="Arial" w:cs="Arial"/>
          <w:color w:val="5B9BD5" w:themeColor="accent5"/>
          <w:sz w:val="14"/>
          <w:szCs w:val="16"/>
        </w:rPr>
        <w:t>Publica</w:t>
      </w:r>
      <w:proofErr w:type="spellEnd"/>
      <w:r w:rsidRPr="002B65A0">
        <w:rPr>
          <w:rFonts w:ascii="Arial" w:hAnsi="Arial" w:cs="Arial"/>
          <w:color w:val="5B9BD5" w:themeColor="accent5"/>
          <w:sz w:val="14"/>
          <w:szCs w:val="16"/>
        </w:rPr>
        <w:t xml:space="preserve"> del Estado; sin  embargo  con el fin de dar cumplimiento a la resolución antes citada y garantizar en todo momento el acceso a la información pública requerida por el recurrente, anexo al presente los estados de cuenta generados en la última estimación de cada uno de los contratos LO-924004991-N39-2015, LO-924004991-N40-2015, LO-924004991-N41-2015 y LO-924004991-N56-2016, contratos referentes a la construcción del Primer Corredor de Transporte Masivo de Autobuses Rápidos Troncales de la Zona Metropolitana SLP-SDGS, y en los que consta los pagos efectuados con los cuales se da acceso a la información con la que cuenta esta dirección y se da cabal cumplimiento a lo resuelto, en el formato en el que se genera la información, la cual contiene en monto, beneficiario, concepto, fecha.</w:t>
      </w:r>
    </w:p>
    <w:p w14:paraId="508E5865" w14:textId="77777777" w:rsidR="002B65A0" w:rsidRPr="002B65A0" w:rsidRDefault="002B65A0" w:rsidP="002B65A0">
      <w:pPr>
        <w:jc w:val="both"/>
        <w:rPr>
          <w:rFonts w:ascii="Arial" w:hAnsi="Arial" w:cs="Arial"/>
          <w:color w:val="5B9BD5" w:themeColor="accent5"/>
          <w:sz w:val="14"/>
          <w:szCs w:val="16"/>
        </w:rPr>
      </w:pPr>
    </w:p>
    <w:p w14:paraId="7FE1E983"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Ahora bien, no omito precisar que los contratos antes señalados son pagados con Recurso del Fondo Metropolitano, mismo que se administra por el Banco Nacional de Obras y Servicios Públicos “BANOBRAS”, por lo cual esta dependencia no ejecuta pagos de las obras correspondientes al Fondo Metropolitano […]”</w:t>
      </w:r>
    </w:p>
    <w:p w14:paraId="18C84A17" w14:textId="77777777" w:rsidR="002B65A0" w:rsidRPr="002B65A0" w:rsidRDefault="002B65A0" w:rsidP="002B65A0">
      <w:pPr>
        <w:jc w:val="both"/>
        <w:rPr>
          <w:rFonts w:ascii="Arial" w:hAnsi="Arial" w:cs="Arial"/>
          <w:color w:val="5B9BD5" w:themeColor="accent5"/>
          <w:sz w:val="14"/>
          <w:szCs w:val="16"/>
        </w:rPr>
      </w:pPr>
    </w:p>
    <w:p w14:paraId="56CF25CD"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Ahora bien, el sujeto obligado manifestó, que si bien es cierto, el no poseía la información, pues es el Banco Nacional de Obras y Servicios Públicos el administrador de los recursos del Fondo Metropolitano, realizo las gestiones necesarias para así proporcionarle los contratos al ahora recurrente, sin embargo esta comisión no tiene la certeza de que lo anterior sucedió pues al informe no acompaño los contratos que así lo demuestren.  Así pues, se conmina al sujeto obligado a remitir a esta comisión las constancias que acrediten su dicho.</w:t>
      </w:r>
    </w:p>
    <w:p w14:paraId="63EA1452" w14:textId="77777777" w:rsidR="002B65A0" w:rsidRPr="002B65A0" w:rsidRDefault="002B65A0" w:rsidP="002B65A0">
      <w:pPr>
        <w:jc w:val="both"/>
        <w:rPr>
          <w:rFonts w:ascii="Arial" w:hAnsi="Arial" w:cs="Arial"/>
          <w:color w:val="5B9BD5" w:themeColor="accent5"/>
          <w:sz w:val="14"/>
          <w:szCs w:val="16"/>
        </w:rPr>
      </w:pPr>
    </w:p>
    <w:p w14:paraId="261A6861"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Por otro lado, el sujeto obligado también acompañó la constancia que acredita que dichas respuestas fueron notificadas al recurrente, mismas que consisten en capturas de pantalla del correo enviado vía electrónica al correo señalado por el recurrente para recibir notificaciones; constancias que generan la convicción de que la notificación fue efectuada de manera correcta, ya que el recurrente señaló en su escrito de interposición de su recurso de revisión que las notificaciones fueran practicadas por medio de los estrados de este órgano garante. </w:t>
      </w:r>
    </w:p>
    <w:p w14:paraId="5E231BDE"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Así las cosas, es de precisarse que la Ley de transparencia señala:</w:t>
      </w:r>
    </w:p>
    <w:p w14:paraId="03F0EA32" w14:textId="77777777" w:rsidR="002B65A0" w:rsidRPr="002B65A0" w:rsidRDefault="002B65A0" w:rsidP="002B65A0">
      <w:pPr>
        <w:jc w:val="both"/>
        <w:rPr>
          <w:rFonts w:ascii="Arial" w:hAnsi="Arial" w:cs="Arial"/>
          <w:color w:val="5B9BD5" w:themeColor="accent5"/>
          <w:sz w:val="14"/>
          <w:szCs w:val="16"/>
        </w:rPr>
      </w:pPr>
    </w:p>
    <w:p w14:paraId="4C552BC6"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“ARTÍCULO 183. Los sujetos obligados, a través de la Unidad de Transparencia, darán estricto cumplimiento a las resoluciones de la CEGAIP y deberán informar a estos sobre su cumplimiento.”</w:t>
      </w:r>
    </w:p>
    <w:p w14:paraId="7A7D19D3" w14:textId="77777777" w:rsidR="002B65A0" w:rsidRPr="002B65A0" w:rsidRDefault="002B65A0" w:rsidP="002B65A0">
      <w:pPr>
        <w:jc w:val="both"/>
        <w:rPr>
          <w:rFonts w:ascii="Arial" w:hAnsi="Arial" w:cs="Arial"/>
          <w:color w:val="5B9BD5" w:themeColor="accent5"/>
          <w:sz w:val="14"/>
          <w:szCs w:val="16"/>
        </w:rPr>
      </w:pPr>
    </w:p>
    <w:p w14:paraId="2C54BE1F"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“ARTÍCULO 184. Transcurrido el plazo señalado en el artículo anterior, el sujeto obligado deberá informar a la CEGAIP sobre el cumplimento de la resolución.</w:t>
      </w:r>
    </w:p>
    <w:p w14:paraId="4A0E7883"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28321DD8" w14:textId="77777777" w:rsidR="002B65A0" w:rsidRPr="002B65A0" w:rsidRDefault="002B65A0" w:rsidP="002B65A0">
      <w:pPr>
        <w:jc w:val="both"/>
        <w:rPr>
          <w:rFonts w:ascii="Arial" w:hAnsi="Arial" w:cs="Arial"/>
          <w:color w:val="5B9BD5" w:themeColor="accent5"/>
          <w:sz w:val="14"/>
          <w:szCs w:val="16"/>
        </w:rPr>
      </w:pPr>
    </w:p>
    <w:p w14:paraId="25AFC2A9"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Debido a lo anterior, se tiene por incumplida la resolución de mérito; ya que no se cumple con lo establecido en el resolutivo en análisis. </w:t>
      </w:r>
    </w:p>
    <w:p w14:paraId="62CB830B"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se requiere al Titular de la Secretaria de Desarrollo Urbano, Vivienda y Obras Públicas,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29 veintinueve de mayo de 2018 dos mil dieciocho dentro del recurso en que se actúa, tomando en cuenta las consideraciones contenidas en el presente proveído.</w:t>
      </w:r>
    </w:p>
    <w:p w14:paraId="346F18EF" w14:textId="77777777" w:rsidR="002B65A0" w:rsidRP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Asimismo, se apercibe a los sujetos obligados de que en caso de no cumplir con la resolución de mérito y el presente auto, se procederá en términos de lo establecido en los artículos 190 y 197 fracción XV de la Ley de Transparencia y Acceso a la Información Pública del Estado. Notifíquese por lista y personalmente al sujeto obligado.</w:t>
      </w:r>
    </w:p>
    <w:p w14:paraId="55D000CE" w14:textId="77777777" w:rsidR="002B65A0" w:rsidRDefault="002B65A0" w:rsidP="002B65A0">
      <w:pPr>
        <w:jc w:val="both"/>
        <w:rPr>
          <w:rFonts w:ascii="Arial" w:hAnsi="Arial" w:cs="Arial"/>
          <w:color w:val="5B9BD5" w:themeColor="accent5"/>
          <w:sz w:val="14"/>
          <w:szCs w:val="16"/>
        </w:rPr>
      </w:pPr>
      <w:r w:rsidRPr="002B65A0">
        <w:rPr>
          <w:rFonts w:ascii="Arial" w:hAnsi="Arial" w:cs="Arial"/>
          <w:color w:val="5B9BD5" w:themeColor="accent5"/>
          <w:sz w:val="14"/>
          <w:szCs w:val="16"/>
        </w:rPr>
        <w:t xml:space="preserve">Así lo proveyó y firma el Comisionado Ponente de la Comisión Estatal de Garantía de Acceso a la Información Pública Maestro Alejandro Lafuente Torres, quien actúa con la Licenciada Rosa María Motilla García, Secretaria de Pleno que da </w:t>
      </w:r>
      <w:proofErr w:type="gramStart"/>
      <w:r w:rsidRPr="002B65A0">
        <w:rPr>
          <w:rFonts w:ascii="Arial" w:hAnsi="Arial" w:cs="Arial"/>
          <w:color w:val="5B9BD5" w:themeColor="accent5"/>
          <w:sz w:val="14"/>
          <w:szCs w:val="16"/>
        </w:rPr>
        <w:t>fe.-</w:t>
      </w:r>
      <w:proofErr w:type="gramEnd"/>
      <w:r w:rsidRPr="002B65A0">
        <w:rPr>
          <w:rFonts w:ascii="Arial" w:hAnsi="Arial" w:cs="Arial"/>
          <w:color w:val="5B9BD5" w:themeColor="accent5"/>
          <w:sz w:val="14"/>
          <w:szCs w:val="16"/>
        </w:rPr>
        <w:t xml:space="preserve"> </w:t>
      </w:r>
    </w:p>
    <w:p w14:paraId="40077571" w14:textId="68AD2777" w:rsidR="006C04BA" w:rsidRPr="000E0BE8" w:rsidRDefault="006C04BA" w:rsidP="002B65A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45372A">
      <w:pgSz w:w="12240" w:h="20160" w:code="5"/>
      <w:pgMar w:top="2977"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14CD2" w14:textId="77777777" w:rsidR="00E835FD" w:rsidRDefault="00E835FD" w:rsidP="00C13204">
      <w:r>
        <w:separator/>
      </w:r>
    </w:p>
  </w:endnote>
  <w:endnote w:type="continuationSeparator" w:id="0">
    <w:p w14:paraId="31B88647" w14:textId="77777777" w:rsidR="00E835FD" w:rsidRDefault="00E835FD"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0698F" w14:textId="77777777" w:rsidR="00E835FD" w:rsidRDefault="00E835FD" w:rsidP="00C13204">
      <w:r>
        <w:separator/>
      </w:r>
    </w:p>
  </w:footnote>
  <w:footnote w:type="continuationSeparator" w:id="0">
    <w:p w14:paraId="45EAD3A1" w14:textId="77777777" w:rsidR="00E835FD" w:rsidRDefault="00E835FD"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D2E1E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15EC"/>
    <w:rsid w:val="00142AE5"/>
    <w:rsid w:val="001526D4"/>
    <w:rsid w:val="00163A02"/>
    <w:rsid w:val="00164840"/>
    <w:rsid w:val="001828F2"/>
    <w:rsid w:val="001B44AC"/>
    <w:rsid w:val="001D2CFB"/>
    <w:rsid w:val="001D6765"/>
    <w:rsid w:val="001F0E4F"/>
    <w:rsid w:val="00212A79"/>
    <w:rsid w:val="002155C8"/>
    <w:rsid w:val="00217739"/>
    <w:rsid w:val="00217BF6"/>
    <w:rsid w:val="00220223"/>
    <w:rsid w:val="002477FF"/>
    <w:rsid w:val="002603DC"/>
    <w:rsid w:val="00263B2B"/>
    <w:rsid w:val="002653E6"/>
    <w:rsid w:val="002721C6"/>
    <w:rsid w:val="00281751"/>
    <w:rsid w:val="00284222"/>
    <w:rsid w:val="00285C93"/>
    <w:rsid w:val="002B4236"/>
    <w:rsid w:val="002B65A0"/>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307B"/>
    <w:rsid w:val="0045372A"/>
    <w:rsid w:val="00457670"/>
    <w:rsid w:val="004578F5"/>
    <w:rsid w:val="004622A7"/>
    <w:rsid w:val="0046261C"/>
    <w:rsid w:val="0047340E"/>
    <w:rsid w:val="00486C8B"/>
    <w:rsid w:val="00487E95"/>
    <w:rsid w:val="004A30EC"/>
    <w:rsid w:val="004A36FE"/>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102DA"/>
    <w:rsid w:val="00826449"/>
    <w:rsid w:val="00833DC1"/>
    <w:rsid w:val="0084698F"/>
    <w:rsid w:val="00855F18"/>
    <w:rsid w:val="00871DF1"/>
    <w:rsid w:val="0087714D"/>
    <w:rsid w:val="008776C5"/>
    <w:rsid w:val="00885562"/>
    <w:rsid w:val="0088674E"/>
    <w:rsid w:val="00887AA4"/>
    <w:rsid w:val="00892536"/>
    <w:rsid w:val="008A0A1A"/>
    <w:rsid w:val="008A51F1"/>
    <w:rsid w:val="008C246C"/>
    <w:rsid w:val="008D17AF"/>
    <w:rsid w:val="008D5490"/>
    <w:rsid w:val="008F67A7"/>
    <w:rsid w:val="008F7294"/>
    <w:rsid w:val="00901DE5"/>
    <w:rsid w:val="009025F3"/>
    <w:rsid w:val="00905199"/>
    <w:rsid w:val="00924E1F"/>
    <w:rsid w:val="00925147"/>
    <w:rsid w:val="00944CE0"/>
    <w:rsid w:val="00987684"/>
    <w:rsid w:val="009B454E"/>
    <w:rsid w:val="009D5D94"/>
    <w:rsid w:val="009D75CB"/>
    <w:rsid w:val="00A02A33"/>
    <w:rsid w:val="00A156D8"/>
    <w:rsid w:val="00A34342"/>
    <w:rsid w:val="00A470AD"/>
    <w:rsid w:val="00A5211C"/>
    <w:rsid w:val="00A5346C"/>
    <w:rsid w:val="00A762CF"/>
    <w:rsid w:val="00A93053"/>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963F7"/>
    <w:rsid w:val="00BB2943"/>
    <w:rsid w:val="00BB6C11"/>
    <w:rsid w:val="00BC6EC1"/>
    <w:rsid w:val="00BF4036"/>
    <w:rsid w:val="00C06E27"/>
    <w:rsid w:val="00C13204"/>
    <w:rsid w:val="00C13EB0"/>
    <w:rsid w:val="00C21E4A"/>
    <w:rsid w:val="00C3293B"/>
    <w:rsid w:val="00C339CB"/>
    <w:rsid w:val="00C34B60"/>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6E52"/>
    <w:rsid w:val="00D4777B"/>
    <w:rsid w:val="00D57AC8"/>
    <w:rsid w:val="00D67CBD"/>
    <w:rsid w:val="00D93A1D"/>
    <w:rsid w:val="00DA263F"/>
    <w:rsid w:val="00DA3DCD"/>
    <w:rsid w:val="00DA699A"/>
    <w:rsid w:val="00DB2B8C"/>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835FD"/>
    <w:rsid w:val="00E957AF"/>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45307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 w:type="character" w:customStyle="1" w:styleId="Ttulo1Car">
    <w:name w:val="Título 1 Car"/>
    <w:basedOn w:val="Fuentedeprrafopredeter"/>
    <w:link w:val="Ttulo1"/>
    <w:uiPriority w:val="9"/>
    <w:rsid w:val="0045307B"/>
    <w:rPr>
      <w:rFonts w:asciiTheme="majorHAnsi" w:eastAsiaTheme="majorEastAsia" w:hAnsiTheme="majorHAnsi" w:cstheme="majorBidi"/>
      <w:color w:val="2F5496" w:themeColor="accent1" w:themeShade="BF"/>
      <w:sz w:val="32"/>
      <w:szCs w:val="32"/>
      <w:lang w:val="es-ES" w:eastAsia="es-ES"/>
    </w:rPr>
  </w:style>
  <w:style w:type="paragraph" w:styleId="Listaconvietas">
    <w:name w:val="List Bullet"/>
    <w:basedOn w:val="Normal"/>
    <w:uiPriority w:val="99"/>
    <w:unhideWhenUsed/>
    <w:rsid w:val="0045307B"/>
    <w:pPr>
      <w:numPr>
        <w:numId w:val="4"/>
      </w:numPr>
      <w:contextualSpacing/>
    </w:pPr>
  </w:style>
  <w:style w:type="paragraph" w:styleId="Textoindependiente">
    <w:name w:val="Body Text"/>
    <w:basedOn w:val="Normal"/>
    <w:link w:val="TextoindependienteCar"/>
    <w:uiPriority w:val="99"/>
    <w:unhideWhenUsed/>
    <w:rsid w:val="0045307B"/>
    <w:pPr>
      <w:spacing w:after="120"/>
    </w:pPr>
  </w:style>
  <w:style w:type="character" w:customStyle="1" w:styleId="TextoindependienteCar">
    <w:name w:val="Texto independiente Car"/>
    <w:basedOn w:val="Fuentedeprrafopredeter"/>
    <w:link w:val="Textoindependiente"/>
    <w:uiPriority w:val="99"/>
    <w:rsid w:val="0045307B"/>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45307B"/>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5307B"/>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A12AE-0802-4DA5-B00F-0849D30F3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1517</Words>
  <Characters>8347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2018-10-30T16:26:00Z</cp:lastPrinted>
  <dcterms:created xsi:type="dcterms:W3CDTF">2018-11-10T18:59:00Z</dcterms:created>
  <dcterms:modified xsi:type="dcterms:W3CDTF">2018-11-10T18:59:00Z</dcterms:modified>
</cp:coreProperties>
</file>