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FF7504" w14:textId="1D93F6C5" w:rsidR="00EA7571" w:rsidRDefault="006B49CE" w:rsidP="00887AA4">
      <w:pPr>
        <w:jc w:val="both"/>
        <w:rPr>
          <w:rFonts w:ascii="Arial" w:hAnsi="Arial" w:cs="Arial"/>
          <w:b/>
          <w:sz w:val="20"/>
          <w:szCs w:val="20"/>
          <w:lang w:val="es-MX"/>
        </w:rPr>
      </w:pPr>
      <w:bookmarkStart w:id="0" w:name="_GoBack"/>
      <w:bookmarkEnd w:id="0"/>
      <w:r w:rsidRPr="004327AD">
        <w:rPr>
          <w:rFonts w:ascii="Arial" w:hAnsi="Arial" w:cs="Arial"/>
          <w:b/>
          <w:sz w:val="20"/>
          <w:szCs w:val="20"/>
        </w:rPr>
        <w:t>ALT</w:t>
      </w:r>
      <w:r w:rsidR="006D3763" w:rsidRPr="004327AD">
        <w:rPr>
          <w:rFonts w:ascii="Arial" w:hAnsi="Arial" w:cs="Arial"/>
          <w:b/>
          <w:sz w:val="20"/>
          <w:szCs w:val="20"/>
        </w:rPr>
        <w:t>-</w:t>
      </w:r>
      <w:r w:rsidR="003D0ACC">
        <w:rPr>
          <w:rFonts w:ascii="Arial" w:hAnsi="Arial" w:cs="Arial"/>
          <w:b/>
          <w:sz w:val="20"/>
          <w:szCs w:val="20"/>
        </w:rPr>
        <w:t>1</w:t>
      </w:r>
      <w:r w:rsidR="00C4055E">
        <w:rPr>
          <w:rFonts w:ascii="Arial" w:hAnsi="Arial" w:cs="Arial"/>
          <w:b/>
          <w:sz w:val="20"/>
          <w:szCs w:val="20"/>
        </w:rPr>
        <w:t>9</w:t>
      </w:r>
      <w:r w:rsidR="002347B2">
        <w:rPr>
          <w:rFonts w:ascii="Arial" w:hAnsi="Arial" w:cs="Arial"/>
          <w:b/>
          <w:sz w:val="20"/>
          <w:szCs w:val="20"/>
        </w:rPr>
        <w:t>26</w:t>
      </w:r>
      <w:r w:rsidR="00217739" w:rsidRPr="004327AD">
        <w:rPr>
          <w:rFonts w:ascii="Arial" w:hAnsi="Arial" w:cs="Arial"/>
          <w:b/>
          <w:sz w:val="20"/>
          <w:szCs w:val="20"/>
        </w:rPr>
        <w:t>/201</w:t>
      </w:r>
      <w:r w:rsidR="00DC2697" w:rsidRPr="004327AD">
        <w:rPr>
          <w:rFonts w:ascii="Arial" w:hAnsi="Arial" w:cs="Arial"/>
          <w:b/>
          <w:sz w:val="20"/>
          <w:szCs w:val="20"/>
        </w:rPr>
        <w:t>8</w:t>
      </w:r>
      <w:r w:rsidR="000420E4">
        <w:rPr>
          <w:rFonts w:ascii="Arial" w:hAnsi="Arial" w:cs="Arial"/>
          <w:b/>
          <w:sz w:val="20"/>
          <w:szCs w:val="20"/>
        </w:rPr>
        <w:t>.</w:t>
      </w:r>
      <w:r w:rsidR="00090820">
        <w:rPr>
          <w:rFonts w:ascii="Arial" w:hAnsi="Arial" w:cs="Arial"/>
          <w:b/>
          <w:sz w:val="20"/>
          <w:szCs w:val="20"/>
        </w:rPr>
        <w:t xml:space="preserve"> </w:t>
      </w:r>
      <w:r w:rsidR="00171DC8">
        <w:rPr>
          <w:rFonts w:ascii="Arial" w:hAnsi="Arial" w:cs="Arial"/>
          <w:b/>
          <w:sz w:val="20"/>
          <w:szCs w:val="20"/>
        </w:rPr>
        <w:t>TITUTAR DE OFICIALIA MAYOR</w:t>
      </w:r>
      <w:r w:rsidR="00944CE0" w:rsidRPr="00944CE0">
        <w:rPr>
          <w:rFonts w:ascii="Arial" w:hAnsi="Arial" w:cs="Arial"/>
          <w:b/>
          <w:sz w:val="20"/>
          <w:szCs w:val="20"/>
        </w:rPr>
        <w:t>,</w:t>
      </w:r>
      <w:r w:rsidR="001D2CFB">
        <w:rPr>
          <w:rFonts w:ascii="Arial" w:hAnsi="Arial" w:cs="Arial"/>
          <w:b/>
          <w:sz w:val="20"/>
          <w:szCs w:val="20"/>
        </w:rPr>
        <w:t xml:space="preserve"> SAN LUIS POTOSÍ</w:t>
      </w:r>
      <w:r w:rsidR="00A470AD">
        <w:rPr>
          <w:rFonts w:ascii="Arial" w:hAnsi="Arial" w:cs="Arial"/>
          <w:b/>
          <w:sz w:val="20"/>
          <w:szCs w:val="20"/>
        </w:rPr>
        <w:t>.</w:t>
      </w:r>
    </w:p>
    <w:p w14:paraId="6279B0B2" w14:textId="2FB663F1" w:rsidR="00486C8B" w:rsidRPr="004327AD" w:rsidRDefault="006851BA" w:rsidP="00887AA4">
      <w:pPr>
        <w:jc w:val="both"/>
        <w:rPr>
          <w:rFonts w:ascii="Arial" w:hAnsi="Arial" w:cs="Arial"/>
          <w:b/>
          <w:sz w:val="20"/>
          <w:szCs w:val="20"/>
          <w:lang w:val="es-MX"/>
        </w:rPr>
      </w:pPr>
      <w:proofErr w:type="gramStart"/>
      <w:r w:rsidRPr="004327AD">
        <w:rPr>
          <w:rFonts w:ascii="Arial" w:hAnsi="Arial" w:cs="Arial"/>
          <w:b/>
          <w:sz w:val="20"/>
          <w:szCs w:val="20"/>
          <w:lang w:val="es-MX"/>
        </w:rPr>
        <w:t>PRESE</w:t>
      </w:r>
      <w:r w:rsidR="00B963F7">
        <w:rPr>
          <w:rFonts w:ascii="Arial" w:hAnsi="Arial" w:cs="Arial"/>
          <w:b/>
          <w:sz w:val="20"/>
          <w:szCs w:val="20"/>
          <w:lang w:val="es-MX"/>
        </w:rPr>
        <w:t>N</w:t>
      </w:r>
      <w:r w:rsidRPr="004327AD">
        <w:rPr>
          <w:rFonts w:ascii="Arial" w:hAnsi="Arial" w:cs="Arial"/>
          <w:b/>
          <w:sz w:val="20"/>
          <w:szCs w:val="20"/>
          <w:lang w:val="es-MX"/>
        </w:rPr>
        <w:t>T</w:t>
      </w:r>
      <w:r w:rsidR="00887AA4" w:rsidRPr="004327AD">
        <w:rPr>
          <w:rFonts w:ascii="Arial" w:hAnsi="Arial" w:cs="Arial"/>
          <w:b/>
          <w:sz w:val="20"/>
          <w:szCs w:val="20"/>
          <w:lang w:val="es-MX"/>
        </w:rPr>
        <w:t>E.</w:t>
      </w:r>
      <w:r w:rsidR="00EA7571">
        <w:rPr>
          <w:rFonts w:ascii="Arial" w:hAnsi="Arial" w:cs="Arial"/>
          <w:b/>
          <w:sz w:val="20"/>
          <w:szCs w:val="20"/>
          <w:lang w:val="es-MX"/>
        </w:rPr>
        <w:t>-</w:t>
      </w:r>
      <w:proofErr w:type="gramEnd"/>
      <w:r w:rsidR="00090820">
        <w:rPr>
          <w:rFonts w:ascii="Arial" w:hAnsi="Arial" w:cs="Arial"/>
          <w:b/>
          <w:sz w:val="20"/>
          <w:szCs w:val="20"/>
          <w:lang w:val="es-MX"/>
        </w:rPr>
        <w:t xml:space="preserve"> </w:t>
      </w:r>
    </w:p>
    <w:p w14:paraId="717C887C" w14:textId="77777777" w:rsidR="00DF234F" w:rsidRPr="004327AD" w:rsidRDefault="00DF234F" w:rsidP="00887AA4">
      <w:pPr>
        <w:jc w:val="both"/>
        <w:rPr>
          <w:rFonts w:ascii="Arial" w:hAnsi="Arial" w:cs="Arial"/>
          <w:b/>
          <w:sz w:val="20"/>
          <w:szCs w:val="20"/>
          <w:lang w:val="es-MX"/>
        </w:rPr>
      </w:pPr>
    </w:p>
    <w:p w14:paraId="518CE57F" w14:textId="77777777" w:rsidR="001828F2" w:rsidRPr="004327AD" w:rsidRDefault="001828F2" w:rsidP="00887AA4">
      <w:pPr>
        <w:jc w:val="both"/>
        <w:rPr>
          <w:rFonts w:ascii="Arial" w:hAnsi="Arial" w:cs="Arial"/>
          <w:b/>
          <w:sz w:val="20"/>
          <w:szCs w:val="20"/>
          <w:lang w:val="es-MX"/>
        </w:rPr>
      </w:pPr>
    </w:p>
    <w:p w14:paraId="254D1B12" w14:textId="62A8044B" w:rsidR="00DA263F" w:rsidRDefault="00DA263F" w:rsidP="00887AA4">
      <w:pPr>
        <w:jc w:val="both"/>
        <w:rPr>
          <w:rFonts w:ascii="Arial" w:hAnsi="Arial" w:cs="Arial"/>
          <w:b/>
          <w:sz w:val="20"/>
          <w:szCs w:val="20"/>
          <w:lang w:val="es-MX"/>
        </w:rPr>
      </w:pPr>
    </w:p>
    <w:p w14:paraId="62B99FFD" w14:textId="063B9896" w:rsidR="002B4236" w:rsidRDefault="002B4236" w:rsidP="00887AA4">
      <w:pPr>
        <w:jc w:val="both"/>
        <w:rPr>
          <w:rFonts w:ascii="Arial" w:hAnsi="Arial" w:cs="Arial"/>
          <w:b/>
          <w:sz w:val="20"/>
          <w:szCs w:val="20"/>
          <w:lang w:val="es-MX"/>
        </w:rPr>
      </w:pPr>
    </w:p>
    <w:p w14:paraId="375966A5" w14:textId="7BC38B99" w:rsidR="002B4236" w:rsidRDefault="002B4236" w:rsidP="00887AA4">
      <w:pPr>
        <w:jc w:val="both"/>
        <w:rPr>
          <w:rFonts w:ascii="Arial" w:hAnsi="Arial" w:cs="Arial"/>
          <w:b/>
          <w:sz w:val="20"/>
          <w:szCs w:val="20"/>
          <w:lang w:val="es-MX"/>
        </w:rPr>
      </w:pPr>
    </w:p>
    <w:p w14:paraId="17CF6D9D" w14:textId="0BACCB6C" w:rsidR="002B4236" w:rsidRDefault="002B4236" w:rsidP="00887AA4">
      <w:pPr>
        <w:jc w:val="both"/>
        <w:rPr>
          <w:rFonts w:ascii="Arial" w:hAnsi="Arial" w:cs="Arial"/>
          <w:b/>
          <w:sz w:val="20"/>
          <w:szCs w:val="20"/>
          <w:lang w:val="es-MX"/>
        </w:rPr>
      </w:pPr>
    </w:p>
    <w:p w14:paraId="7F04A83A" w14:textId="70B6A989" w:rsidR="002B4236" w:rsidRDefault="002B4236" w:rsidP="00887AA4">
      <w:pPr>
        <w:jc w:val="both"/>
        <w:rPr>
          <w:rFonts w:ascii="Arial" w:hAnsi="Arial" w:cs="Arial"/>
          <w:b/>
          <w:sz w:val="20"/>
          <w:szCs w:val="20"/>
          <w:lang w:val="es-MX"/>
        </w:rPr>
      </w:pPr>
    </w:p>
    <w:p w14:paraId="1695B15B" w14:textId="77777777" w:rsidR="00121F0B" w:rsidRPr="004327AD" w:rsidRDefault="00121F0B" w:rsidP="00887AA4">
      <w:pPr>
        <w:jc w:val="both"/>
        <w:rPr>
          <w:rFonts w:ascii="Arial" w:hAnsi="Arial" w:cs="Arial"/>
          <w:b/>
          <w:sz w:val="20"/>
          <w:szCs w:val="20"/>
          <w:lang w:val="es-MX"/>
        </w:rPr>
      </w:pPr>
    </w:p>
    <w:p w14:paraId="1D396A4C" w14:textId="126A3BFD" w:rsidR="00334416" w:rsidRDefault="00B542FC" w:rsidP="00334416">
      <w:pPr>
        <w:jc w:val="both"/>
        <w:rPr>
          <w:rFonts w:ascii="Arial" w:hAnsi="Arial" w:cs="Arial"/>
          <w:b/>
          <w:sz w:val="20"/>
          <w:szCs w:val="20"/>
          <w:lang w:val="es-MX"/>
        </w:rPr>
      </w:pPr>
      <w:r w:rsidRPr="004327AD">
        <w:rPr>
          <w:rFonts w:ascii="Arial" w:hAnsi="Arial" w:cs="Arial"/>
          <w:b/>
          <w:sz w:val="20"/>
          <w:szCs w:val="20"/>
        </w:rPr>
        <w:t>ALT-</w:t>
      </w:r>
      <w:r w:rsidR="00D40FB2">
        <w:rPr>
          <w:rFonts w:ascii="Arial" w:hAnsi="Arial" w:cs="Arial"/>
          <w:b/>
          <w:sz w:val="20"/>
          <w:szCs w:val="20"/>
        </w:rPr>
        <w:t>1</w:t>
      </w:r>
      <w:r w:rsidR="00C4055E">
        <w:rPr>
          <w:rFonts w:ascii="Arial" w:hAnsi="Arial" w:cs="Arial"/>
          <w:b/>
          <w:sz w:val="20"/>
          <w:szCs w:val="20"/>
        </w:rPr>
        <w:t>9</w:t>
      </w:r>
      <w:r w:rsidR="002347B2">
        <w:rPr>
          <w:rFonts w:ascii="Arial" w:hAnsi="Arial" w:cs="Arial"/>
          <w:b/>
          <w:sz w:val="20"/>
          <w:szCs w:val="20"/>
        </w:rPr>
        <w:t>27</w:t>
      </w:r>
      <w:r w:rsidR="00C4055E">
        <w:rPr>
          <w:rFonts w:ascii="Arial" w:hAnsi="Arial" w:cs="Arial"/>
          <w:b/>
          <w:sz w:val="20"/>
          <w:szCs w:val="20"/>
        </w:rPr>
        <w:t>/</w:t>
      </w:r>
      <w:r w:rsidR="00AF4CEA" w:rsidRPr="004327AD">
        <w:rPr>
          <w:rFonts w:ascii="Arial" w:hAnsi="Arial" w:cs="Arial"/>
          <w:b/>
          <w:sz w:val="20"/>
          <w:szCs w:val="20"/>
        </w:rPr>
        <w:t>/201</w:t>
      </w:r>
      <w:r w:rsidR="00DC2697" w:rsidRPr="004327AD">
        <w:rPr>
          <w:rFonts w:ascii="Arial" w:hAnsi="Arial" w:cs="Arial"/>
          <w:b/>
          <w:sz w:val="20"/>
          <w:szCs w:val="20"/>
        </w:rPr>
        <w:t>8</w:t>
      </w:r>
      <w:r w:rsidR="00AF4CEA" w:rsidRPr="004327AD">
        <w:rPr>
          <w:rFonts w:ascii="Arial" w:hAnsi="Arial" w:cs="Arial"/>
          <w:b/>
          <w:sz w:val="20"/>
          <w:szCs w:val="20"/>
        </w:rPr>
        <w:t xml:space="preserve">. </w:t>
      </w:r>
      <w:r w:rsidR="004C35FC" w:rsidRPr="004327AD">
        <w:rPr>
          <w:rFonts w:ascii="Arial" w:hAnsi="Arial" w:cs="Arial"/>
          <w:b/>
          <w:sz w:val="20"/>
          <w:szCs w:val="20"/>
        </w:rPr>
        <w:t>TITUL</w:t>
      </w:r>
      <w:r w:rsidR="002603DC" w:rsidRPr="004327AD">
        <w:rPr>
          <w:rFonts w:ascii="Arial" w:hAnsi="Arial" w:cs="Arial"/>
          <w:b/>
          <w:sz w:val="20"/>
          <w:szCs w:val="20"/>
        </w:rPr>
        <w:t>A</w:t>
      </w:r>
      <w:r w:rsidR="00742CC9" w:rsidRPr="004327AD">
        <w:rPr>
          <w:rFonts w:ascii="Arial" w:hAnsi="Arial" w:cs="Arial"/>
          <w:b/>
          <w:sz w:val="20"/>
          <w:szCs w:val="20"/>
        </w:rPr>
        <w:t>R D</w:t>
      </w:r>
      <w:r w:rsidR="00C21E4A" w:rsidRPr="004327AD">
        <w:rPr>
          <w:rFonts w:ascii="Arial" w:hAnsi="Arial" w:cs="Arial"/>
          <w:b/>
          <w:sz w:val="20"/>
          <w:szCs w:val="20"/>
        </w:rPr>
        <w:t>E LA UNIDAD</w:t>
      </w:r>
      <w:r w:rsidR="00D14C70" w:rsidRPr="004327AD">
        <w:rPr>
          <w:rFonts w:ascii="Arial" w:hAnsi="Arial" w:cs="Arial"/>
          <w:b/>
          <w:sz w:val="20"/>
          <w:szCs w:val="20"/>
        </w:rPr>
        <w:t xml:space="preserve"> DE</w:t>
      </w:r>
      <w:r w:rsidRPr="004327AD">
        <w:rPr>
          <w:rFonts w:ascii="Arial" w:hAnsi="Arial" w:cs="Arial"/>
          <w:b/>
          <w:sz w:val="20"/>
          <w:szCs w:val="20"/>
        </w:rPr>
        <w:t xml:space="preserve"> TRANSPARENCIA</w:t>
      </w:r>
      <w:r w:rsidR="00782A7B">
        <w:rPr>
          <w:rFonts w:ascii="Arial" w:hAnsi="Arial" w:cs="Arial"/>
          <w:b/>
          <w:sz w:val="20"/>
          <w:szCs w:val="20"/>
        </w:rPr>
        <w:t xml:space="preserve"> </w:t>
      </w:r>
      <w:r w:rsidR="002347B2">
        <w:rPr>
          <w:rFonts w:ascii="Arial" w:hAnsi="Arial" w:cs="Arial"/>
          <w:b/>
          <w:sz w:val="20"/>
          <w:szCs w:val="20"/>
        </w:rPr>
        <w:t>DE OFICIALIA MAYOR</w:t>
      </w:r>
      <w:r w:rsidR="00090820">
        <w:rPr>
          <w:rFonts w:ascii="Arial" w:hAnsi="Arial" w:cs="Arial"/>
          <w:b/>
          <w:sz w:val="20"/>
          <w:szCs w:val="20"/>
        </w:rPr>
        <w:t xml:space="preserve">, </w:t>
      </w:r>
      <w:r w:rsidR="001D2CFB">
        <w:rPr>
          <w:rFonts w:ascii="Arial" w:hAnsi="Arial" w:cs="Arial"/>
          <w:b/>
          <w:sz w:val="20"/>
          <w:szCs w:val="20"/>
        </w:rPr>
        <w:t>SAN LUIS POTOSÍ</w:t>
      </w:r>
      <w:r w:rsidR="00334416">
        <w:rPr>
          <w:rFonts w:ascii="Arial" w:hAnsi="Arial" w:cs="Arial"/>
          <w:b/>
          <w:sz w:val="20"/>
          <w:szCs w:val="20"/>
        </w:rPr>
        <w:t>.</w:t>
      </w:r>
    </w:p>
    <w:p w14:paraId="07C1C063" w14:textId="4BF55136" w:rsidR="00AF4CEA" w:rsidRPr="004327AD" w:rsidRDefault="00AF4CEA" w:rsidP="00AF4CEA">
      <w:pPr>
        <w:jc w:val="both"/>
        <w:rPr>
          <w:rFonts w:ascii="Arial" w:hAnsi="Arial" w:cs="Arial"/>
          <w:b/>
          <w:sz w:val="20"/>
          <w:szCs w:val="20"/>
          <w:lang w:val="es-MX"/>
        </w:rPr>
      </w:pPr>
      <w:proofErr w:type="gramStart"/>
      <w:r w:rsidRPr="004327AD">
        <w:rPr>
          <w:rFonts w:ascii="Arial" w:hAnsi="Arial" w:cs="Arial"/>
          <w:b/>
          <w:sz w:val="20"/>
          <w:szCs w:val="20"/>
          <w:lang w:val="es-MX"/>
        </w:rPr>
        <w:t>PRESENTE.</w:t>
      </w:r>
      <w:r w:rsidR="00EA7571">
        <w:rPr>
          <w:rFonts w:ascii="Arial" w:hAnsi="Arial" w:cs="Arial"/>
          <w:b/>
          <w:sz w:val="20"/>
          <w:szCs w:val="20"/>
          <w:lang w:val="es-MX"/>
        </w:rPr>
        <w:t>-</w:t>
      </w:r>
      <w:proofErr w:type="gramEnd"/>
    </w:p>
    <w:p w14:paraId="5C8B9EFD" w14:textId="2C83C89C" w:rsidR="00CF6D68" w:rsidRDefault="00CF6D68" w:rsidP="00AF4CEA">
      <w:pPr>
        <w:jc w:val="both"/>
        <w:rPr>
          <w:rFonts w:ascii="Arial" w:hAnsi="Arial" w:cs="Arial"/>
          <w:b/>
          <w:sz w:val="20"/>
          <w:szCs w:val="20"/>
          <w:lang w:val="es-MX"/>
        </w:rPr>
      </w:pPr>
    </w:p>
    <w:p w14:paraId="56B3D792" w14:textId="4C61E025" w:rsidR="002F4C15" w:rsidRDefault="002F4C15" w:rsidP="00AF4CEA">
      <w:pPr>
        <w:jc w:val="both"/>
        <w:rPr>
          <w:rFonts w:ascii="Arial" w:hAnsi="Arial" w:cs="Arial"/>
          <w:b/>
          <w:sz w:val="20"/>
          <w:szCs w:val="20"/>
          <w:lang w:val="es-MX"/>
        </w:rPr>
      </w:pPr>
    </w:p>
    <w:p w14:paraId="67D53CF5" w14:textId="77777777" w:rsidR="003D0ACC" w:rsidRDefault="003D0ACC" w:rsidP="003D0ACC">
      <w:pPr>
        <w:jc w:val="both"/>
        <w:rPr>
          <w:rFonts w:ascii="Arial" w:hAnsi="Arial" w:cs="Arial"/>
          <w:b/>
          <w:sz w:val="20"/>
          <w:szCs w:val="20"/>
          <w:lang w:val="es-MX"/>
        </w:rPr>
      </w:pPr>
    </w:p>
    <w:p w14:paraId="14AA5E11" w14:textId="77777777" w:rsidR="003D0ACC" w:rsidRPr="004327AD" w:rsidRDefault="003D0ACC" w:rsidP="003D0ACC">
      <w:pPr>
        <w:jc w:val="both"/>
        <w:rPr>
          <w:rFonts w:ascii="Arial" w:hAnsi="Arial" w:cs="Arial"/>
          <w:b/>
          <w:sz w:val="20"/>
          <w:szCs w:val="20"/>
          <w:lang w:val="es-MX"/>
        </w:rPr>
      </w:pPr>
    </w:p>
    <w:p w14:paraId="66E77622" w14:textId="77777777" w:rsidR="003D0ACC" w:rsidRPr="004327AD" w:rsidRDefault="003D0ACC" w:rsidP="003D0ACC">
      <w:pPr>
        <w:jc w:val="both"/>
        <w:rPr>
          <w:rFonts w:ascii="Arial" w:hAnsi="Arial" w:cs="Arial"/>
          <w:b/>
          <w:sz w:val="20"/>
          <w:szCs w:val="20"/>
          <w:lang w:val="es-MX"/>
        </w:rPr>
      </w:pPr>
    </w:p>
    <w:p w14:paraId="5B27EC80" w14:textId="5EB54DB8" w:rsidR="004E385A" w:rsidRDefault="00752B6A" w:rsidP="006C04BA">
      <w:pPr>
        <w:pStyle w:val="Encabezado"/>
        <w:spacing w:line="360" w:lineRule="auto"/>
        <w:jc w:val="both"/>
        <w:rPr>
          <w:rFonts w:ascii="Arial" w:hAnsi="Arial" w:cs="Arial"/>
          <w:i/>
          <w:color w:val="5B9BD5"/>
          <w:sz w:val="20"/>
          <w:szCs w:val="20"/>
        </w:rPr>
      </w:pPr>
      <w:r>
        <w:rPr>
          <w:rFonts w:ascii="Arial" w:hAnsi="Arial" w:cs="Arial"/>
          <w:lang w:val="es-MX"/>
        </w:rPr>
        <w:t xml:space="preserve">Por medio del presente hágase del conocimiento que </w:t>
      </w:r>
      <w:r w:rsidR="00132483">
        <w:rPr>
          <w:rFonts w:ascii="Arial" w:hAnsi="Arial" w:cs="Arial"/>
          <w:lang w:val="es-MX"/>
        </w:rPr>
        <w:t>en</w:t>
      </w:r>
      <w:r w:rsidR="00D14C70">
        <w:rPr>
          <w:rFonts w:ascii="Arial" w:hAnsi="Arial" w:cs="Arial"/>
          <w:lang w:val="es-MX"/>
        </w:rPr>
        <w:t xml:space="preserve"> </w:t>
      </w:r>
      <w:r w:rsidR="00BB4719">
        <w:rPr>
          <w:rFonts w:ascii="Arial" w:hAnsi="Arial" w:cs="Arial"/>
          <w:lang w:val="es-MX"/>
        </w:rPr>
        <w:t xml:space="preserve">25 veinticinco </w:t>
      </w:r>
      <w:r w:rsidR="00C7394D">
        <w:rPr>
          <w:rFonts w:ascii="Arial" w:hAnsi="Arial" w:cs="Arial"/>
          <w:lang w:val="es-MX"/>
        </w:rPr>
        <w:t>de octubre</w:t>
      </w:r>
      <w:r w:rsidR="00263B2B" w:rsidRPr="00263B2B">
        <w:rPr>
          <w:rFonts w:ascii="Arial" w:hAnsi="Arial" w:cs="Arial"/>
          <w:lang w:val="es-MX"/>
        </w:rPr>
        <w:t xml:space="preserve"> de</w:t>
      </w:r>
      <w:r w:rsidR="007316FE">
        <w:rPr>
          <w:rFonts w:ascii="Arial" w:hAnsi="Arial" w:cs="Arial"/>
          <w:lang w:val="es-MX"/>
        </w:rPr>
        <w:t xml:space="preserve"> </w:t>
      </w:r>
      <w:r w:rsidR="00CF6D68">
        <w:rPr>
          <w:rFonts w:ascii="Arial" w:hAnsi="Arial" w:cs="Arial"/>
          <w:lang w:val="es-MX"/>
        </w:rPr>
        <w:t xml:space="preserve">2018 </w:t>
      </w:r>
      <w:r w:rsidR="007316FE">
        <w:rPr>
          <w:rFonts w:ascii="Arial" w:hAnsi="Arial" w:cs="Arial"/>
          <w:lang w:val="es-MX"/>
        </w:rPr>
        <w:t>dos mil dieci</w:t>
      </w:r>
      <w:r w:rsidR="006538AD">
        <w:rPr>
          <w:rFonts w:ascii="Arial" w:hAnsi="Arial" w:cs="Arial"/>
          <w:lang w:val="es-MX"/>
        </w:rPr>
        <w:t>ocho</w:t>
      </w:r>
      <w:r>
        <w:rPr>
          <w:rFonts w:ascii="Arial" w:hAnsi="Arial" w:cs="Arial"/>
          <w:lang w:val="es-MX"/>
        </w:rPr>
        <w:t xml:space="preserve">, se dictó un proveído dentro de los autos que integran el recurso de revisión </w:t>
      </w:r>
      <w:r w:rsidR="00142AE5">
        <w:rPr>
          <w:rFonts w:ascii="Arial" w:hAnsi="Arial" w:cs="Arial"/>
          <w:b/>
          <w:lang w:val="es-MX"/>
        </w:rPr>
        <w:t>RR-</w:t>
      </w:r>
      <w:r w:rsidR="00171DC8">
        <w:rPr>
          <w:rFonts w:ascii="Arial" w:hAnsi="Arial" w:cs="Arial"/>
          <w:b/>
          <w:lang w:val="es-MX"/>
        </w:rPr>
        <w:t>106</w:t>
      </w:r>
      <w:r w:rsidR="00121F0B">
        <w:rPr>
          <w:rFonts w:ascii="Arial" w:hAnsi="Arial" w:cs="Arial"/>
          <w:b/>
          <w:lang w:val="es-MX"/>
        </w:rPr>
        <w:t>/201</w:t>
      </w:r>
      <w:r w:rsidR="00142AE5">
        <w:rPr>
          <w:rFonts w:ascii="Arial" w:hAnsi="Arial" w:cs="Arial"/>
          <w:b/>
          <w:lang w:val="es-MX"/>
        </w:rPr>
        <w:t>8</w:t>
      </w:r>
      <w:r w:rsidR="00121F0B">
        <w:rPr>
          <w:rFonts w:ascii="Arial" w:hAnsi="Arial" w:cs="Arial"/>
          <w:b/>
          <w:lang w:val="es-MX"/>
        </w:rPr>
        <w:t>-1</w:t>
      </w:r>
      <w:r w:rsidR="0047340E">
        <w:rPr>
          <w:rFonts w:ascii="Arial" w:hAnsi="Arial" w:cs="Arial"/>
          <w:b/>
          <w:lang w:val="es-MX"/>
        </w:rPr>
        <w:t>,</w:t>
      </w:r>
      <w:r w:rsidR="00DA263F">
        <w:rPr>
          <w:rFonts w:ascii="Arial" w:hAnsi="Arial" w:cs="Arial"/>
          <w:bCs/>
        </w:rPr>
        <w:t xml:space="preserve"> mismo que a la letra dice:</w:t>
      </w:r>
      <w:r w:rsidR="00F823C1" w:rsidRPr="00F823C1">
        <w:rPr>
          <w:rFonts w:ascii="Arial" w:hAnsi="Arial" w:cs="Arial"/>
          <w:i/>
          <w:color w:val="5B9BD5"/>
          <w:sz w:val="20"/>
          <w:szCs w:val="20"/>
        </w:rPr>
        <w:t xml:space="preserve">         </w:t>
      </w:r>
    </w:p>
    <w:p w14:paraId="66ACE7D7" w14:textId="59D7C3D5" w:rsidR="00C13EB0" w:rsidRPr="00C7394D" w:rsidRDefault="003E648E" w:rsidP="00C13EB0">
      <w:pPr>
        <w:jc w:val="both"/>
        <w:rPr>
          <w:rFonts w:ascii="Arial" w:hAnsi="Arial" w:cs="Arial"/>
          <w:i/>
          <w:color w:val="5B9BD5"/>
          <w:sz w:val="22"/>
          <w:szCs w:val="22"/>
        </w:rPr>
      </w:pPr>
      <w:r w:rsidRPr="002653E6">
        <w:rPr>
          <w:rFonts w:ascii="Arial" w:hAnsi="Arial" w:cs="Arial"/>
          <w:i/>
          <w:color w:val="5B9BD5"/>
          <w:sz w:val="22"/>
          <w:szCs w:val="22"/>
        </w:rPr>
        <w:t xml:space="preserve"> </w:t>
      </w:r>
      <w:bookmarkStart w:id="1" w:name="_Hlk487626562"/>
    </w:p>
    <w:p w14:paraId="238751D4" w14:textId="732178FF"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San Luis Potosí, San Luis Potosí, 2</w:t>
      </w:r>
      <w:r w:rsidR="00BB4719">
        <w:rPr>
          <w:rFonts w:ascii="Arial" w:hAnsi="Arial" w:cs="Arial"/>
          <w:color w:val="5B9BD5" w:themeColor="accent5"/>
          <w:sz w:val="16"/>
          <w:szCs w:val="16"/>
        </w:rPr>
        <w:t>5 veinticinco</w:t>
      </w:r>
      <w:r w:rsidRPr="00171DC8">
        <w:rPr>
          <w:rFonts w:ascii="Arial" w:hAnsi="Arial" w:cs="Arial"/>
          <w:color w:val="5B9BD5" w:themeColor="accent5"/>
          <w:sz w:val="16"/>
          <w:szCs w:val="16"/>
        </w:rPr>
        <w:t xml:space="preserve"> de octubre de 2018 dos mil dieciocho.    </w:t>
      </w:r>
    </w:p>
    <w:p w14:paraId="195B0830" w14:textId="77777777" w:rsidR="00171DC8" w:rsidRPr="00171DC8" w:rsidRDefault="00171DC8" w:rsidP="00171DC8">
      <w:pPr>
        <w:spacing w:line="360" w:lineRule="auto"/>
        <w:rPr>
          <w:rFonts w:ascii="Arial" w:hAnsi="Arial" w:cs="Arial"/>
          <w:color w:val="5B9BD5" w:themeColor="accent5"/>
          <w:sz w:val="16"/>
          <w:szCs w:val="16"/>
        </w:rPr>
      </w:pPr>
    </w:p>
    <w:p w14:paraId="5455C891"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Visto el estado que guardan los presentes autos y de una revisión a las constancias que integran el expediente, con fundamento en los artículos 8; 10; 27, primer párrafo; 184 y 185 de la Ley de Transparencia y Acceso a la Información Pública del Estado, esta Comisión procede a analizar el presente sumario a efecto de determinar el cumplimiento o incumplimiento a la resolución dictada en el recurso de revisión que se actúa.</w:t>
      </w:r>
    </w:p>
    <w:p w14:paraId="79FC462D" w14:textId="77777777" w:rsidR="00171DC8" w:rsidRPr="00171DC8" w:rsidRDefault="00171DC8" w:rsidP="00171DC8">
      <w:pPr>
        <w:spacing w:line="360" w:lineRule="auto"/>
        <w:rPr>
          <w:rFonts w:ascii="Arial" w:hAnsi="Arial" w:cs="Arial"/>
          <w:color w:val="5B9BD5" w:themeColor="accent5"/>
          <w:sz w:val="16"/>
          <w:szCs w:val="16"/>
        </w:rPr>
      </w:pPr>
    </w:p>
    <w:p w14:paraId="5E1D34F1"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En primer término, resulta necesario insertar los efectos dictados en la resolución:</w:t>
      </w:r>
    </w:p>
    <w:p w14:paraId="2184E07D" w14:textId="77777777" w:rsidR="00171DC8" w:rsidRPr="00171DC8" w:rsidRDefault="00171DC8" w:rsidP="00171DC8">
      <w:pPr>
        <w:spacing w:line="360" w:lineRule="auto"/>
        <w:rPr>
          <w:rFonts w:ascii="Arial" w:hAnsi="Arial" w:cs="Arial"/>
          <w:color w:val="5B9BD5" w:themeColor="accent5"/>
          <w:sz w:val="16"/>
          <w:szCs w:val="16"/>
        </w:rPr>
      </w:pPr>
    </w:p>
    <w:p w14:paraId="01A4D436"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w:t>
      </w:r>
    </w:p>
    <w:p w14:paraId="2B6DC2F5"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7.3 Sentido de la resolución. En las condiciones anotadas y, al haber prosperado el agravio que hizo valer el recurrente, lo procedente es que este órgano colegiado de conformidad con el artículo 175, fracción III, de la Ley de Transparencia y Acceso a la Información Pública del Estado modifica la respuesta proporcionada por el sujeto obligado y, por lo tanto, lo conmina a que emita otra respuesta en la que entregue:</w:t>
      </w:r>
    </w:p>
    <w:p w14:paraId="2CDCF258" w14:textId="77777777" w:rsidR="00171DC8" w:rsidRPr="00171DC8" w:rsidRDefault="00171DC8" w:rsidP="00171DC8">
      <w:pPr>
        <w:spacing w:line="360" w:lineRule="auto"/>
        <w:rPr>
          <w:rFonts w:ascii="Arial" w:hAnsi="Arial" w:cs="Arial"/>
          <w:color w:val="5B9BD5" w:themeColor="accent5"/>
          <w:sz w:val="16"/>
          <w:szCs w:val="16"/>
        </w:rPr>
      </w:pPr>
    </w:p>
    <w:p w14:paraId="3349E7EF"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w:t>
      </w:r>
      <w:r w:rsidRPr="00171DC8">
        <w:rPr>
          <w:rFonts w:ascii="Arial" w:hAnsi="Arial" w:cs="Arial"/>
          <w:color w:val="5B9BD5" w:themeColor="accent5"/>
          <w:sz w:val="16"/>
          <w:szCs w:val="16"/>
        </w:rPr>
        <w:tab/>
        <w:t>Criterio, sistema u equivalente por el cual el gobierno del estado elige y otorga las altas definitivas, contratos por tiempo indeterminado o las llamadas “bases”, a los trabajadores de las dependencias del ejecutivo, así como también el fundamento legal específico para dichos actos.</w:t>
      </w:r>
    </w:p>
    <w:p w14:paraId="3553825F"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w:t>
      </w:r>
      <w:r w:rsidRPr="00171DC8">
        <w:rPr>
          <w:rFonts w:ascii="Arial" w:hAnsi="Arial" w:cs="Arial"/>
          <w:color w:val="5B9BD5" w:themeColor="accent5"/>
          <w:sz w:val="16"/>
          <w:szCs w:val="16"/>
        </w:rPr>
        <w:tab/>
        <w:t>La ley u ordenamiento jurídico aplicable al caso.</w:t>
      </w:r>
    </w:p>
    <w:p w14:paraId="5FBD3DBB"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 xml:space="preserve"> […]” </w:t>
      </w:r>
    </w:p>
    <w:p w14:paraId="79F60E80" w14:textId="77777777" w:rsidR="00171DC8" w:rsidRPr="00171DC8" w:rsidRDefault="00171DC8" w:rsidP="00171DC8">
      <w:pPr>
        <w:spacing w:line="360" w:lineRule="auto"/>
        <w:rPr>
          <w:rFonts w:ascii="Arial" w:hAnsi="Arial" w:cs="Arial"/>
          <w:color w:val="5B9BD5" w:themeColor="accent5"/>
          <w:sz w:val="16"/>
          <w:szCs w:val="16"/>
        </w:rPr>
      </w:pPr>
    </w:p>
    <w:p w14:paraId="6F974BAB"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Debido a lo anterior, el sujeto obligado por conducto del Titular de la Unidad de Transparencia presentó el oficio OM/UT-163/2018, recibido en la oficialía de partes de este cuerpo colegiado el 16 dieciséis de mayo del año en curso, junto con tres anexos, donde informa sobre el cumplimiento al resolutivo en análisis y señala medularmente lo siguiente:</w:t>
      </w:r>
    </w:p>
    <w:p w14:paraId="1A3ED30A" w14:textId="77777777" w:rsidR="00171DC8" w:rsidRPr="00171DC8" w:rsidRDefault="00171DC8" w:rsidP="00171DC8">
      <w:pPr>
        <w:spacing w:line="360" w:lineRule="auto"/>
        <w:rPr>
          <w:rFonts w:ascii="Arial" w:hAnsi="Arial" w:cs="Arial"/>
          <w:color w:val="5B9BD5" w:themeColor="accent5"/>
          <w:sz w:val="16"/>
          <w:szCs w:val="16"/>
        </w:rPr>
      </w:pPr>
    </w:p>
    <w:p w14:paraId="7732DA1B" w14:textId="77777777" w:rsidR="00171DC8" w:rsidRPr="00171DC8" w:rsidRDefault="00171DC8" w:rsidP="00171DC8">
      <w:pPr>
        <w:spacing w:line="360" w:lineRule="auto"/>
        <w:rPr>
          <w:rFonts w:ascii="Arial" w:hAnsi="Arial" w:cs="Arial"/>
          <w:color w:val="5B9BD5" w:themeColor="accent5"/>
          <w:sz w:val="16"/>
          <w:szCs w:val="16"/>
        </w:rPr>
      </w:pPr>
    </w:p>
    <w:p w14:paraId="74E635D7"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 xml:space="preserve">“[…] me permito adjuntar a Usted copia certificada de la notificación OM/UT-162/2018, en el que se da cabal cumplimiento a lo señalado en la resolución de mérito. […].” (SIC)  </w:t>
      </w:r>
    </w:p>
    <w:p w14:paraId="3EAC7902" w14:textId="77777777" w:rsidR="00171DC8" w:rsidRPr="00171DC8" w:rsidRDefault="00171DC8" w:rsidP="00171DC8">
      <w:pPr>
        <w:spacing w:line="360" w:lineRule="auto"/>
        <w:rPr>
          <w:rFonts w:ascii="Arial" w:hAnsi="Arial" w:cs="Arial"/>
          <w:color w:val="5B9BD5" w:themeColor="accent5"/>
          <w:sz w:val="16"/>
          <w:szCs w:val="16"/>
        </w:rPr>
      </w:pPr>
    </w:p>
    <w:p w14:paraId="79AB1DF6" w14:textId="77777777" w:rsidR="00171DC8" w:rsidRPr="00171DC8" w:rsidRDefault="00171DC8" w:rsidP="00171DC8">
      <w:pPr>
        <w:spacing w:line="360" w:lineRule="auto"/>
        <w:rPr>
          <w:rFonts w:ascii="Arial" w:hAnsi="Arial" w:cs="Arial"/>
          <w:color w:val="5B9BD5" w:themeColor="accent5"/>
          <w:sz w:val="16"/>
          <w:szCs w:val="16"/>
        </w:rPr>
      </w:pPr>
    </w:p>
    <w:p w14:paraId="34A95736"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Ahora bien, para efecto del presente estudio es importante revisar contenido de los anexos del oficio OM/UT-163/2018 (visibles a fojas 35 a 40 de autos), mismos que comprenden:</w:t>
      </w:r>
    </w:p>
    <w:p w14:paraId="5F837B5F"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w:t>
      </w:r>
      <w:r w:rsidRPr="00171DC8">
        <w:rPr>
          <w:rFonts w:ascii="Arial" w:hAnsi="Arial" w:cs="Arial"/>
          <w:color w:val="5B9BD5" w:themeColor="accent5"/>
          <w:sz w:val="16"/>
          <w:szCs w:val="16"/>
        </w:rPr>
        <w:tab/>
        <w:t>Oficio número OM/UT-162/2018 del 14 catorce de mayo de 2018 dos mil dieciocho signada por Marcelo Mejía Méndez, Jefe de la Unidad de Transparencia de la Oficialía Mayor del Poder Ejecutivo.</w:t>
      </w:r>
    </w:p>
    <w:p w14:paraId="5220D3A9"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w:t>
      </w:r>
      <w:r w:rsidRPr="00171DC8">
        <w:rPr>
          <w:rFonts w:ascii="Arial" w:hAnsi="Arial" w:cs="Arial"/>
          <w:color w:val="5B9BD5" w:themeColor="accent5"/>
          <w:sz w:val="16"/>
          <w:szCs w:val="16"/>
        </w:rPr>
        <w:tab/>
        <w:t>Oficio número DRL/0261-18 signado por Eduardo Segovia Martínez, Director de Relaciones Laborales.</w:t>
      </w:r>
    </w:p>
    <w:p w14:paraId="5064E6AA"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w:t>
      </w:r>
      <w:r w:rsidRPr="00171DC8">
        <w:rPr>
          <w:rFonts w:ascii="Arial" w:hAnsi="Arial" w:cs="Arial"/>
          <w:color w:val="5B9BD5" w:themeColor="accent5"/>
          <w:sz w:val="16"/>
          <w:szCs w:val="16"/>
        </w:rPr>
        <w:tab/>
        <w:t>Copia certificada de la notificación del oficio OM/UT-162/2018 enviado vía electrónica.</w:t>
      </w:r>
    </w:p>
    <w:p w14:paraId="49F1F3A7" w14:textId="77777777" w:rsidR="00171DC8" w:rsidRPr="00171DC8" w:rsidRDefault="00171DC8" w:rsidP="00171DC8">
      <w:pPr>
        <w:spacing w:line="360" w:lineRule="auto"/>
        <w:rPr>
          <w:rFonts w:ascii="Arial" w:hAnsi="Arial" w:cs="Arial"/>
          <w:color w:val="5B9BD5" w:themeColor="accent5"/>
          <w:sz w:val="16"/>
          <w:szCs w:val="16"/>
        </w:rPr>
      </w:pPr>
    </w:p>
    <w:p w14:paraId="621D3D16"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Con relación a lo anterior, se advierte que el anexo DRL/0261-18 contiene lo referente a la respuesta otorgada al recurrente por parte de la Eduardo Segovia Martínez, Director de Relaciones Laborales.</w:t>
      </w:r>
    </w:p>
    <w:p w14:paraId="16BD52A8" w14:textId="77777777" w:rsidR="00171DC8" w:rsidRPr="00171DC8" w:rsidRDefault="00171DC8" w:rsidP="00171DC8">
      <w:pPr>
        <w:spacing w:line="360" w:lineRule="auto"/>
        <w:rPr>
          <w:rFonts w:ascii="Arial" w:hAnsi="Arial" w:cs="Arial"/>
          <w:color w:val="5B9BD5" w:themeColor="accent5"/>
          <w:sz w:val="16"/>
          <w:szCs w:val="16"/>
        </w:rPr>
      </w:pPr>
    </w:p>
    <w:p w14:paraId="7818AC74"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En este contexto y al analizar el contenido del oficio DRL/0261-18 su respuesta consistió en:</w:t>
      </w:r>
    </w:p>
    <w:p w14:paraId="659CCB89"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 xml:space="preserve"> </w:t>
      </w:r>
    </w:p>
    <w:p w14:paraId="4B39281A"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 xml:space="preserve">“[…] No existen parámetros de medición y/o discernimiento por el cual se otorgue nombramiento (alta definitiva) al personal que presta sus servicios dentro de la administración Pública Centralizada, ya que al estribar de las necesidades de las Dependencias, son estas quienes proponen al personal con </w:t>
      </w:r>
      <w:proofErr w:type="spellStart"/>
      <w:r w:rsidRPr="00171DC8">
        <w:rPr>
          <w:rFonts w:ascii="Arial" w:hAnsi="Arial" w:cs="Arial"/>
          <w:color w:val="5B9BD5" w:themeColor="accent5"/>
          <w:sz w:val="16"/>
          <w:szCs w:val="16"/>
        </w:rPr>
        <w:t>en</w:t>
      </w:r>
      <w:proofErr w:type="spellEnd"/>
      <w:r w:rsidRPr="00171DC8">
        <w:rPr>
          <w:rFonts w:ascii="Arial" w:hAnsi="Arial" w:cs="Arial"/>
          <w:color w:val="5B9BD5" w:themeColor="accent5"/>
          <w:sz w:val="16"/>
          <w:szCs w:val="16"/>
        </w:rPr>
        <w:t xml:space="preserve"> perfil correspondiente a ocupar el puesto a cubrir; dependiendo de la calidad en que vayan a ser dadas de alta como empleado al servicio del Poder Ejecutivo Estatal, estas pueden ser de confianza, base o eventual.</w:t>
      </w:r>
    </w:p>
    <w:p w14:paraId="6AC44569"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 xml:space="preserve"> […]”</w:t>
      </w:r>
    </w:p>
    <w:p w14:paraId="06A7B06E" w14:textId="77777777" w:rsidR="00171DC8" w:rsidRPr="00171DC8" w:rsidRDefault="00171DC8" w:rsidP="00171DC8">
      <w:pPr>
        <w:spacing w:line="360" w:lineRule="auto"/>
        <w:rPr>
          <w:rFonts w:ascii="Arial" w:hAnsi="Arial" w:cs="Arial"/>
          <w:color w:val="5B9BD5" w:themeColor="accent5"/>
          <w:sz w:val="16"/>
          <w:szCs w:val="16"/>
        </w:rPr>
      </w:pPr>
    </w:p>
    <w:p w14:paraId="6A2812FF"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w:t>
      </w:r>
    </w:p>
    <w:p w14:paraId="1E6DB2D4"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 xml:space="preserve">Es la Ley De Los Trabajadores al Servicio de las Instituciones Públicas del Estado de San Luis Potosí (Ley Burocrática Estatal) en sus numerales 7° 8°para el caso de la clasificación del empleado; y por lo que hace a la facultad para la contratación se encuentra estipulada en el </w:t>
      </w:r>
      <w:proofErr w:type="spellStart"/>
      <w:r w:rsidRPr="00171DC8">
        <w:rPr>
          <w:rFonts w:ascii="Arial" w:hAnsi="Arial" w:cs="Arial"/>
          <w:color w:val="5B9BD5" w:themeColor="accent5"/>
          <w:sz w:val="16"/>
          <w:szCs w:val="16"/>
        </w:rPr>
        <w:t>articulo</w:t>
      </w:r>
      <w:proofErr w:type="spellEnd"/>
      <w:r w:rsidRPr="00171DC8">
        <w:rPr>
          <w:rFonts w:ascii="Arial" w:hAnsi="Arial" w:cs="Arial"/>
          <w:color w:val="5B9BD5" w:themeColor="accent5"/>
          <w:sz w:val="16"/>
          <w:szCs w:val="16"/>
        </w:rPr>
        <w:t xml:space="preserve"> 3°, fracción I, inciso b y </w:t>
      </w:r>
    </w:p>
    <w:p w14:paraId="717241F5"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 xml:space="preserve"> […]</w:t>
      </w:r>
    </w:p>
    <w:p w14:paraId="47595721" w14:textId="77777777" w:rsidR="00171DC8" w:rsidRPr="00171DC8" w:rsidRDefault="00171DC8" w:rsidP="00171DC8">
      <w:pPr>
        <w:spacing w:line="360" w:lineRule="auto"/>
        <w:rPr>
          <w:rFonts w:ascii="Arial" w:hAnsi="Arial" w:cs="Arial"/>
          <w:color w:val="5B9BD5" w:themeColor="accent5"/>
          <w:sz w:val="16"/>
          <w:szCs w:val="16"/>
        </w:rPr>
      </w:pPr>
    </w:p>
    <w:p w14:paraId="49706208"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 xml:space="preserve">Así las cosas, el sujeto obligado también acompañó la constancia que acredita que dichas respuestas fueron notificadas al recurrente, mismas que consisten en cédula de notificación vía electrónica realizada al recurrente el 16 dieciséis de mayo de 2018 dos mil dieciocho; constancias que generan la convicción de que la notificación fue efectuada de manera correcta, ya que el recurrente señaló en su escrito de interposición de su recurso de revisión que las notificaciones fueran practicadas por medio electrónico al correo navarroyasociados2017@gmail.com.  </w:t>
      </w:r>
    </w:p>
    <w:p w14:paraId="776DACF6" w14:textId="77777777" w:rsidR="00171DC8" w:rsidRPr="00171DC8" w:rsidRDefault="00171DC8" w:rsidP="00171DC8">
      <w:pPr>
        <w:spacing w:line="360" w:lineRule="auto"/>
        <w:rPr>
          <w:rFonts w:ascii="Arial" w:hAnsi="Arial" w:cs="Arial"/>
          <w:color w:val="5B9BD5" w:themeColor="accent5"/>
          <w:sz w:val="16"/>
          <w:szCs w:val="16"/>
        </w:rPr>
      </w:pPr>
    </w:p>
    <w:p w14:paraId="45915453"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Anotado lo anterior, es conveniente traer a colación que en la solicitud de información materia del presente recurso el particular peticionó el criterio, sistema u equivalente por el cual el gobierno del estado elige y otorga las altas definitivas, contratos por tiempo indeterminado o las llamadas “bases”, a los trabajadores de las dependencias del ejecutivo, así como el fundamento legal específico para dichos actos.</w:t>
      </w:r>
    </w:p>
    <w:p w14:paraId="735CD0D6" w14:textId="77777777" w:rsidR="00171DC8" w:rsidRPr="00171DC8" w:rsidRDefault="00171DC8" w:rsidP="00171DC8">
      <w:pPr>
        <w:spacing w:line="360" w:lineRule="auto"/>
        <w:rPr>
          <w:rFonts w:ascii="Arial" w:hAnsi="Arial" w:cs="Arial"/>
          <w:color w:val="5B9BD5" w:themeColor="accent5"/>
          <w:sz w:val="16"/>
          <w:szCs w:val="16"/>
        </w:rPr>
      </w:pPr>
    </w:p>
    <w:p w14:paraId="4AC49608"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En su respuesta, el ente obligado proporcionó la información relativa a los ordenamientos cuyo contenido es la clasificación de los trabajadores y las facultades para el despacho de diversos asuntos de la Oficialía Mayor, información que no satisface la solicitud de información del recurrente.</w:t>
      </w:r>
    </w:p>
    <w:p w14:paraId="72BC8725" w14:textId="77777777" w:rsidR="00171DC8" w:rsidRPr="00171DC8" w:rsidRDefault="00171DC8" w:rsidP="00171DC8">
      <w:pPr>
        <w:spacing w:line="360" w:lineRule="auto"/>
        <w:rPr>
          <w:rFonts w:ascii="Arial" w:hAnsi="Arial" w:cs="Arial"/>
          <w:color w:val="5B9BD5" w:themeColor="accent5"/>
          <w:sz w:val="16"/>
          <w:szCs w:val="16"/>
        </w:rPr>
      </w:pPr>
    </w:p>
    <w:p w14:paraId="45999944"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Bajo este contexto, es menester mencionar que el artículo 18 de la Ley de Transparencia, dispone que los sujetos obligados deben documentar todo acto que derive del ejercicio de sus facultades, competencias o funciones:</w:t>
      </w:r>
    </w:p>
    <w:p w14:paraId="3099A53D" w14:textId="77777777" w:rsidR="00171DC8" w:rsidRPr="00171DC8" w:rsidRDefault="00171DC8" w:rsidP="00171DC8">
      <w:pPr>
        <w:spacing w:line="360" w:lineRule="auto"/>
        <w:rPr>
          <w:rFonts w:ascii="Arial" w:hAnsi="Arial" w:cs="Arial"/>
          <w:color w:val="5B9BD5" w:themeColor="accent5"/>
          <w:sz w:val="16"/>
          <w:szCs w:val="16"/>
        </w:rPr>
      </w:pPr>
    </w:p>
    <w:p w14:paraId="1164DF58"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“ARTÍCULO 18. Los sujetos obligados deberán documentar todo acto que derive del ejercicio de sus facultades, competencias o funciones.”</w:t>
      </w:r>
    </w:p>
    <w:p w14:paraId="65D8DFB3" w14:textId="77777777" w:rsidR="00171DC8" w:rsidRPr="00171DC8" w:rsidRDefault="00171DC8" w:rsidP="00171DC8">
      <w:pPr>
        <w:spacing w:line="360" w:lineRule="auto"/>
        <w:rPr>
          <w:rFonts w:ascii="Arial" w:hAnsi="Arial" w:cs="Arial"/>
          <w:color w:val="5B9BD5" w:themeColor="accent5"/>
          <w:sz w:val="16"/>
          <w:szCs w:val="16"/>
        </w:rPr>
      </w:pPr>
    </w:p>
    <w:p w14:paraId="4C0AC0BA"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 xml:space="preserve">Asimismo, el artículo 19 de la Ley establece que se presume que la información debe existir si se refiere a las facultades, competencias y funciones que los ordenamientos jurídicos aplicables otorgan a los sujetos </w:t>
      </w:r>
      <w:r w:rsidRPr="00171DC8">
        <w:rPr>
          <w:rFonts w:ascii="Arial" w:hAnsi="Arial" w:cs="Arial"/>
          <w:color w:val="5B9BD5" w:themeColor="accent5"/>
          <w:sz w:val="16"/>
          <w:szCs w:val="16"/>
        </w:rPr>
        <w:lastRenderedPageBreak/>
        <w:t>obligados, y que en los casos en que éstas no se hubieran ejercido, la respuesta debe motivarse en función de esas causas:</w:t>
      </w:r>
    </w:p>
    <w:p w14:paraId="53906C39" w14:textId="77777777" w:rsidR="00171DC8" w:rsidRPr="00171DC8" w:rsidRDefault="00171DC8" w:rsidP="00171DC8">
      <w:pPr>
        <w:spacing w:line="360" w:lineRule="auto"/>
        <w:rPr>
          <w:rFonts w:ascii="Arial" w:hAnsi="Arial" w:cs="Arial"/>
          <w:color w:val="5B9BD5" w:themeColor="accent5"/>
          <w:sz w:val="16"/>
          <w:szCs w:val="16"/>
        </w:rPr>
      </w:pPr>
    </w:p>
    <w:p w14:paraId="66949993"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 xml:space="preserve"> “ARTÍCULO 19. Se presume que la información debe existir si se refiere a las facultades, competencias y funciones que los ordenamientos jurídicos aplicables otorgan a los sujetos obligados.</w:t>
      </w:r>
    </w:p>
    <w:p w14:paraId="6DD4988E" w14:textId="77777777" w:rsidR="00171DC8" w:rsidRPr="00171DC8" w:rsidRDefault="00171DC8" w:rsidP="00171DC8">
      <w:pPr>
        <w:spacing w:line="360" w:lineRule="auto"/>
        <w:rPr>
          <w:rFonts w:ascii="Arial" w:hAnsi="Arial" w:cs="Arial"/>
          <w:color w:val="5B9BD5" w:themeColor="accent5"/>
          <w:sz w:val="16"/>
          <w:szCs w:val="16"/>
        </w:rPr>
      </w:pPr>
    </w:p>
    <w:p w14:paraId="0FED7EF8"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En los casos en que ciertas facultades, competencias o funciones no se hayan ejercido, se debe motivar la respuesta en función de las causas que motiven la inexistencia.”</w:t>
      </w:r>
    </w:p>
    <w:p w14:paraId="252C9B7B" w14:textId="77777777" w:rsidR="00171DC8" w:rsidRPr="00171DC8" w:rsidRDefault="00171DC8" w:rsidP="00171DC8">
      <w:pPr>
        <w:spacing w:line="360" w:lineRule="auto"/>
        <w:rPr>
          <w:rFonts w:ascii="Arial" w:hAnsi="Arial" w:cs="Arial"/>
          <w:color w:val="5B9BD5" w:themeColor="accent5"/>
          <w:sz w:val="16"/>
          <w:szCs w:val="16"/>
        </w:rPr>
      </w:pPr>
    </w:p>
    <w:p w14:paraId="3B5577AE"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Concatenado a los artículos en cita, el artículo 20 establece que ante la negativa del acceso a la información o su inexistencia, el sujeto obligado debe demostrar que la información solicitada está prevista en alguna de las excepciones contenidas en la Ley o demostrar que la información no se refiere a alguna de sus facultades, competencias o funciones:</w:t>
      </w:r>
    </w:p>
    <w:p w14:paraId="58DD1850" w14:textId="77777777" w:rsidR="00171DC8" w:rsidRPr="00171DC8" w:rsidRDefault="00171DC8" w:rsidP="00171DC8">
      <w:pPr>
        <w:spacing w:line="360" w:lineRule="auto"/>
        <w:rPr>
          <w:rFonts w:ascii="Arial" w:hAnsi="Arial" w:cs="Arial"/>
          <w:color w:val="5B9BD5" w:themeColor="accent5"/>
          <w:sz w:val="16"/>
          <w:szCs w:val="16"/>
        </w:rPr>
      </w:pPr>
    </w:p>
    <w:p w14:paraId="34FAA78E"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“ARTÍCULO 20. Ante la negativa del acceso a la información o su inexistencia, el sujeto obligado deberá demostrar que la información solicitada está prevista en alguna de las excepciones contenidas en esta Ley o, en su caso, demostrar que la información no se refiere a alguna de sus facultades, competencias o funciones.”</w:t>
      </w:r>
    </w:p>
    <w:p w14:paraId="0EFABB0B" w14:textId="77777777" w:rsidR="00171DC8" w:rsidRPr="00171DC8" w:rsidRDefault="00171DC8" w:rsidP="00171DC8">
      <w:pPr>
        <w:spacing w:line="360" w:lineRule="auto"/>
        <w:rPr>
          <w:rFonts w:ascii="Arial" w:hAnsi="Arial" w:cs="Arial"/>
          <w:color w:val="5B9BD5" w:themeColor="accent5"/>
          <w:sz w:val="16"/>
          <w:szCs w:val="16"/>
        </w:rPr>
      </w:pPr>
    </w:p>
    <w:p w14:paraId="43E66146"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En este tenor, las manifestaciones de la autoridad en el sentido de que no existen parámetros de mediación y/o discernimiento por el cual se otorgue nombramiento al personal que presta sus servicios dentro de las dependencias es incompleta, ya que el sujeto obligado debió invocar los preceptos legales en que se apoya su contestación en los términos en los que fue emitida.</w:t>
      </w:r>
    </w:p>
    <w:p w14:paraId="782E90D2" w14:textId="77777777" w:rsidR="00171DC8" w:rsidRPr="00171DC8" w:rsidRDefault="00171DC8" w:rsidP="00171DC8">
      <w:pPr>
        <w:spacing w:line="360" w:lineRule="auto"/>
        <w:rPr>
          <w:rFonts w:ascii="Arial" w:hAnsi="Arial" w:cs="Arial"/>
          <w:color w:val="5B9BD5" w:themeColor="accent5"/>
          <w:sz w:val="16"/>
          <w:szCs w:val="16"/>
        </w:rPr>
      </w:pPr>
    </w:p>
    <w:p w14:paraId="2D76B2B0"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 xml:space="preserve"> Es por ello, que en este caso la respuesta del sujeto obligado resulta desapegada a lo establecido en los artículos 19 y 20 de la Ley de la Materia citados a </w:t>
      </w:r>
      <w:proofErr w:type="spellStart"/>
      <w:r w:rsidRPr="00171DC8">
        <w:rPr>
          <w:rFonts w:ascii="Arial" w:hAnsi="Arial" w:cs="Arial"/>
          <w:color w:val="5B9BD5" w:themeColor="accent5"/>
          <w:sz w:val="16"/>
          <w:szCs w:val="16"/>
        </w:rPr>
        <w:t>supralíneas</w:t>
      </w:r>
      <w:proofErr w:type="spellEnd"/>
      <w:r w:rsidRPr="00171DC8">
        <w:rPr>
          <w:rFonts w:ascii="Arial" w:hAnsi="Arial" w:cs="Arial"/>
          <w:color w:val="5B9BD5" w:themeColor="accent5"/>
          <w:sz w:val="16"/>
          <w:szCs w:val="16"/>
        </w:rPr>
        <w:t>, y por lo cual es dable asentar que ésta carece de fundamentación y motivación, esto de conformidad con la jurisprudencia 209986. I. 4o. P. 56 P. Tribunales Colegiados de Circuito, Octava Época, Semanario Judicial de la Federación, Tomo XIV, Noviembre de 1994, Pág. 450, misma a la que se adhiere esta Comisión con fundamento en el artículo 7° de la Ley de Transparencia y Acceso a la Información Pública del Estado, la cual dice lo siguiente:</w:t>
      </w:r>
    </w:p>
    <w:p w14:paraId="3DB1E114" w14:textId="77777777" w:rsidR="00171DC8" w:rsidRPr="00171DC8" w:rsidRDefault="00171DC8" w:rsidP="00171DC8">
      <w:pPr>
        <w:spacing w:line="360" w:lineRule="auto"/>
        <w:rPr>
          <w:rFonts w:ascii="Arial" w:hAnsi="Arial" w:cs="Arial"/>
          <w:color w:val="5B9BD5" w:themeColor="accent5"/>
          <w:sz w:val="16"/>
          <w:szCs w:val="16"/>
        </w:rPr>
      </w:pPr>
    </w:p>
    <w:p w14:paraId="6C149F9E"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“FUNDAMENTACION Y MOTIVACION, CONCEPTO DE.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14:paraId="6E3C6B0E" w14:textId="77777777" w:rsidR="00171DC8" w:rsidRPr="00171DC8" w:rsidRDefault="00171DC8" w:rsidP="00171DC8">
      <w:pPr>
        <w:spacing w:line="360" w:lineRule="auto"/>
        <w:rPr>
          <w:rFonts w:ascii="Arial" w:hAnsi="Arial" w:cs="Arial"/>
          <w:color w:val="5B9BD5" w:themeColor="accent5"/>
          <w:sz w:val="16"/>
          <w:szCs w:val="16"/>
        </w:rPr>
      </w:pPr>
    </w:p>
    <w:p w14:paraId="1EE3DF44"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 xml:space="preserve"> Para robustecer lo anterior, se inserta a continuación la jurisprudencia 175931. I.3o.C.532 C. Tribunales Colegiados de Circuito, Novena Época, Semanario Judicial de la Federación y su Gaceta, Tomo XXIII, Febrero de 2006, Pág. 1816, que a la letra dice:</w:t>
      </w:r>
    </w:p>
    <w:p w14:paraId="26F8EBD4" w14:textId="77777777" w:rsidR="00171DC8" w:rsidRPr="00171DC8" w:rsidRDefault="00171DC8" w:rsidP="00171DC8">
      <w:pPr>
        <w:spacing w:line="360" w:lineRule="auto"/>
        <w:rPr>
          <w:rFonts w:ascii="Arial" w:hAnsi="Arial" w:cs="Arial"/>
          <w:color w:val="5B9BD5" w:themeColor="accent5"/>
          <w:sz w:val="16"/>
          <w:szCs w:val="16"/>
        </w:rPr>
      </w:pPr>
    </w:p>
    <w:p w14:paraId="367BD95E"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 xml:space="preserve">“FUNDAMENTACIÓN Y MOTIVACIÓN. LA DIFERENCIA ENTRE LA FALTA Y LA INDEBIDA SATISFACCIÓN DE AMBOS REQUISITOS CONSTITUCIONALES TRASCIENDE AL ORDEN EN QUE DEBEN ESTUDIARSE LOS CONCEPTOS DE VIOLACIÓN Y A LOS EFECTOS DEL FALLO PROTECTOR.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w:t>
      </w:r>
      <w:r w:rsidRPr="00171DC8">
        <w:rPr>
          <w:rFonts w:ascii="Arial" w:hAnsi="Arial" w:cs="Arial"/>
          <w:color w:val="5B9BD5" w:themeColor="accent5"/>
          <w:sz w:val="16"/>
          <w:szCs w:val="16"/>
        </w:rPr>
        <w:lastRenderedPageBreak/>
        <w:t>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 (Énfasis añadido de manera intencional).</w:t>
      </w:r>
    </w:p>
    <w:p w14:paraId="484EAB36" w14:textId="77777777" w:rsidR="00171DC8" w:rsidRPr="00171DC8" w:rsidRDefault="00171DC8" w:rsidP="00171DC8">
      <w:pPr>
        <w:spacing w:line="360" w:lineRule="auto"/>
        <w:rPr>
          <w:rFonts w:ascii="Arial" w:hAnsi="Arial" w:cs="Arial"/>
          <w:color w:val="5B9BD5" w:themeColor="accent5"/>
          <w:sz w:val="16"/>
          <w:szCs w:val="16"/>
        </w:rPr>
      </w:pPr>
    </w:p>
    <w:p w14:paraId="0D0B1C13"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En las condiciones anotadas, se tiene que el sujeto obligado no acreditó, con el fundamento jurídico aplicable, así como con los razonamientos lógicos y jurídicos pertinentes, las circunstancias por las cuales la información solicitada no se encontraba documentada dentro del ejercicio de sus funciones o en su defecto los fundamentos o documentos para acreditar el proceso o criterio mediante el cual se otorgan las altas definitivas y su fundamento jurídico.</w:t>
      </w:r>
    </w:p>
    <w:p w14:paraId="7E40B620"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 xml:space="preserve"> </w:t>
      </w:r>
    </w:p>
    <w:p w14:paraId="1397F6CB"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Con relación a lo anterior es de precisarse que la Ley de transparencia señala:</w:t>
      </w:r>
    </w:p>
    <w:p w14:paraId="47E38550" w14:textId="77777777" w:rsidR="00171DC8" w:rsidRPr="00171DC8" w:rsidRDefault="00171DC8" w:rsidP="00171DC8">
      <w:pPr>
        <w:spacing w:line="360" w:lineRule="auto"/>
        <w:rPr>
          <w:rFonts w:ascii="Arial" w:hAnsi="Arial" w:cs="Arial"/>
          <w:color w:val="5B9BD5" w:themeColor="accent5"/>
          <w:sz w:val="16"/>
          <w:szCs w:val="16"/>
        </w:rPr>
      </w:pPr>
    </w:p>
    <w:p w14:paraId="7E7E3768"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“ARTÍCULO 183. Los sujetos obligados, a través de la Unidad de Transparencia, darán estricto cumplimiento a las resoluciones de la CEGAIP y deberán informar a estos sobre su cumplimiento.”</w:t>
      </w:r>
    </w:p>
    <w:p w14:paraId="4B209FD2" w14:textId="77777777" w:rsidR="00171DC8" w:rsidRPr="00171DC8" w:rsidRDefault="00171DC8" w:rsidP="00171DC8">
      <w:pPr>
        <w:spacing w:line="360" w:lineRule="auto"/>
        <w:rPr>
          <w:rFonts w:ascii="Arial" w:hAnsi="Arial" w:cs="Arial"/>
          <w:color w:val="5B9BD5" w:themeColor="accent5"/>
          <w:sz w:val="16"/>
          <w:szCs w:val="16"/>
        </w:rPr>
      </w:pPr>
    </w:p>
    <w:p w14:paraId="3DA00BB0"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“ARTÍCULO 184. Transcurrido el plazo señalado en el artículo anterior, el sujeto obligado deberá informar a la CEGAIP sobre el cumplimento de la resolución.</w:t>
      </w:r>
    </w:p>
    <w:p w14:paraId="3FED34F5" w14:textId="77777777" w:rsidR="00171DC8" w:rsidRPr="00171DC8" w:rsidRDefault="00171DC8" w:rsidP="00171DC8">
      <w:pPr>
        <w:spacing w:line="360" w:lineRule="auto"/>
        <w:rPr>
          <w:rFonts w:ascii="Arial" w:hAnsi="Arial" w:cs="Arial"/>
          <w:color w:val="5B9BD5" w:themeColor="accent5"/>
          <w:sz w:val="16"/>
          <w:szCs w:val="16"/>
        </w:rPr>
      </w:pPr>
    </w:p>
    <w:p w14:paraId="0A156290"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La CEGAIP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la CEGAIP, deberá expresar las causas específicas por las cuales así lo considera.”</w:t>
      </w:r>
    </w:p>
    <w:p w14:paraId="7172F3B2" w14:textId="77777777" w:rsidR="00171DC8" w:rsidRPr="00171DC8" w:rsidRDefault="00171DC8" w:rsidP="00171DC8">
      <w:pPr>
        <w:spacing w:line="360" w:lineRule="auto"/>
        <w:rPr>
          <w:rFonts w:ascii="Arial" w:hAnsi="Arial" w:cs="Arial"/>
          <w:color w:val="5B9BD5" w:themeColor="accent5"/>
          <w:sz w:val="16"/>
          <w:szCs w:val="16"/>
        </w:rPr>
      </w:pPr>
    </w:p>
    <w:p w14:paraId="61FBD525"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 xml:space="preserve">Debido a lo anterior, se tiene por incumplida la resolución de mérito; ya que no se cumple con lo establecido en el resolutivo en análisis. </w:t>
      </w:r>
    </w:p>
    <w:p w14:paraId="152CD26C" w14:textId="77777777" w:rsidR="00171DC8" w:rsidRPr="00171DC8" w:rsidRDefault="00171DC8" w:rsidP="00171DC8">
      <w:pPr>
        <w:spacing w:line="360" w:lineRule="auto"/>
        <w:rPr>
          <w:rFonts w:ascii="Arial" w:hAnsi="Arial" w:cs="Arial"/>
          <w:color w:val="5B9BD5" w:themeColor="accent5"/>
          <w:sz w:val="16"/>
          <w:szCs w:val="16"/>
        </w:rPr>
      </w:pPr>
    </w:p>
    <w:p w14:paraId="739134E0" w14:textId="77E0DFE4"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En este contexto y con fundamento en lo dispuesto por el artículo 185 de la Ley de Transparencia, así como por el lineamiento vigésimo primero de los Lineamientos para la Recepción, Substanciación, Resolución y Cumplimiento de los recursos de revisión que lleva este cuerpo colegiado, se requiere a</w:t>
      </w:r>
      <w:r w:rsidR="00716339">
        <w:rPr>
          <w:rFonts w:ascii="Arial" w:hAnsi="Arial" w:cs="Arial"/>
          <w:color w:val="5B9BD5" w:themeColor="accent5"/>
          <w:sz w:val="16"/>
          <w:szCs w:val="16"/>
        </w:rPr>
        <w:t>l Oficial Mayor</w:t>
      </w:r>
      <w:r w:rsidRPr="00171DC8">
        <w:rPr>
          <w:rFonts w:ascii="Arial" w:hAnsi="Arial" w:cs="Arial"/>
          <w:color w:val="5B9BD5" w:themeColor="accent5"/>
          <w:sz w:val="16"/>
          <w:szCs w:val="16"/>
        </w:rPr>
        <w:t xml:space="preserve">, en su </w:t>
      </w:r>
      <w:r w:rsidRPr="00171DC8">
        <w:rPr>
          <w:rFonts w:ascii="Arial" w:hAnsi="Arial" w:cs="Arial"/>
          <w:color w:val="5B9BD5" w:themeColor="accent5"/>
          <w:sz w:val="16"/>
          <w:szCs w:val="16"/>
        </w:rPr>
        <w:lastRenderedPageBreak/>
        <w:t>carácter de superior jerárquico del Titular de la Unidad de Transparencia, para que dentro del término de 05 cinco días hábiles contados a partir del día siguiente en que se practique la respectiva notificación, acompañe las constancias necesarias que acrediten el cumplimiento dado a la resolución dictada el 26 veintiséis de junio de 2018 dos mil dieciocho dentro del recurso en que se actúa, tomando en cuenta las consideraciones contenidas en el presente proveído.</w:t>
      </w:r>
    </w:p>
    <w:p w14:paraId="24A665B2" w14:textId="77777777" w:rsidR="00171DC8" w:rsidRPr="00171DC8" w:rsidRDefault="00171DC8" w:rsidP="00171DC8">
      <w:pPr>
        <w:spacing w:line="360" w:lineRule="auto"/>
        <w:rPr>
          <w:rFonts w:ascii="Arial" w:hAnsi="Arial" w:cs="Arial"/>
          <w:color w:val="5B9BD5" w:themeColor="accent5"/>
          <w:sz w:val="16"/>
          <w:szCs w:val="16"/>
        </w:rPr>
      </w:pPr>
    </w:p>
    <w:p w14:paraId="1E981BEF" w14:textId="77777777" w:rsidR="00171DC8" w:rsidRPr="00171DC8" w:rsidRDefault="00171DC8" w:rsidP="00171DC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Asimismo, se apercibe a los sujetos obligados de que en caso de no cumplir con la resolución de mérito y el presente auto, se procederá en términos de lo establecido en los artículos 190 y 197 fracción XV de la Ley de Transparencia y Acceso a la Información Pública del Estado. Notifíquese por lista y personalmente al sujeto obligado.</w:t>
      </w:r>
    </w:p>
    <w:p w14:paraId="4C745120" w14:textId="77777777" w:rsidR="00171DC8" w:rsidRPr="00171DC8" w:rsidRDefault="00171DC8" w:rsidP="00171DC8">
      <w:pPr>
        <w:spacing w:line="360" w:lineRule="auto"/>
        <w:rPr>
          <w:rFonts w:ascii="Arial" w:hAnsi="Arial" w:cs="Arial"/>
          <w:color w:val="5B9BD5" w:themeColor="accent5"/>
          <w:sz w:val="16"/>
          <w:szCs w:val="16"/>
        </w:rPr>
      </w:pPr>
    </w:p>
    <w:p w14:paraId="1012B2FF" w14:textId="0319B84A" w:rsidR="00C7394D" w:rsidRPr="004522D8" w:rsidRDefault="00171DC8" w:rsidP="004522D8">
      <w:pPr>
        <w:spacing w:line="360" w:lineRule="auto"/>
        <w:rPr>
          <w:rFonts w:ascii="Arial" w:hAnsi="Arial" w:cs="Arial"/>
          <w:color w:val="5B9BD5" w:themeColor="accent5"/>
          <w:sz w:val="16"/>
          <w:szCs w:val="16"/>
        </w:rPr>
      </w:pPr>
      <w:r w:rsidRPr="00171DC8">
        <w:rPr>
          <w:rFonts w:ascii="Arial" w:hAnsi="Arial" w:cs="Arial"/>
          <w:color w:val="5B9BD5" w:themeColor="accent5"/>
          <w:sz w:val="16"/>
          <w:szCs w:val="16"/>
        </w:rPr>
        <w:t xml:space="preserve">Así lo proveyó y firma el Comisionado ponente de la Comisión Estatal de Garantía de Acceso a la Información Pública Alejandro Lafuente Torres, que actúa con el </w:t>
      </w:r>
      <w:r w:rsidR="004522D8" w:rsidRPr="004522D8">
        <w:rPr>
          <w:rFonts w:ascii="Arial" w:hAnsi="Arial" w:cs="Arial"/>
          <w:color w:val="5B9BD5" w:themeColor="accent5"/>
          <w:sz w:val="16"/>
          <w:szCs w:val="16"/>
        </w:rPr>
        <w:t>Licenciada Rosa María Motilla</w:t>
      </w:r>
      <w:r w:rsidR="004522D8">
        <w:rPr>
          <w:rFonts w:ascii="Arial" w:hAnsi="Arial" w:cs="Arial"/>
          <w:color w:val="5B9BD5" w:themeColor="accent5"/>
          <w:sz w:val="16"/>
          <w:szCs w:val="16"/>
        </w:rPr>
        <w:t xml:space="preserve"> </w:t>
      </w:r>
      <w:r w:rsidR="004522D8" w:rsidRPr="004522D8">
        <w:rPr>
          <w:rFonts w:ascii="Arial" w:hAnsi="Arial" w:cs="Arial"/>
          <w:color w:val="5B9BD5" w:themeColor="accent5"/>
          <w:sz w:val="16"/>
          <w:szCs w:val="16"/>
        </w:rPr>
        <w:t>García</w:t>
      </w:r>
      <w:r w:rsidR="004522D8">
        <w:rPr>
          <w:rFonts w:ascii="Arial" w:hAnsi="Arial" w:cs="Arial"/>
          <w:color w:val="5B9BD5" w:themeColor="accent5"/>
          <w:sz w:val="16"/>
          <w:szCs w:val="16"/>
        </w:rPr>
        <w:t xml:space="preserve">, </w:t>
      </w:r>
      <w:r w:rsidR="004522D8" w:rsidRPr="004522D8">
        <w:rPr>
          <w:rFonts w:ascii="Arial" w:hAnsi="Arial" w:cs="Arial"/>
          <w:color w:val="5B9BD5" w:themeColor="accent5"/>
          <w:sz w:val="16"/>
          <w:szCs w:val="16"/>
        </w:rPr>
        <w:t>Secretaria de Pleno</w:t>
      </w:r>
      <w:r w:rsidR="004522D8">
        <w:rPr>
          <w:rFonts w:ascii="Arial" w:hAnsi="Arial" w:cs="Arial"/>
          <w:color w:val="5B9BD5" w:themeColor="accent5"/>
          <w:sz w:val="16"/>
          <w:szCs w:val="16"/>
        </w:rPr>
        <w:t xml:space="preserve">, </w:t>
      </w:r>
      <w:r w:rsidRPr="00171DC8">
        <w:rPr>
          <w:rFonts w:ascii="Arial" w:hAnsi="Arial" w:cs="Arial"/>
          <w:color w:val="5B9BD5" w:themeColor="accent5"/>
          <w:sz w:val="16"/>
          <w:szCs w:val="16"/>
        </w:rPr>
        <w:t>de esta Comisión.</w:t>
      </w:r>
    </w:p>
    <w:p w14:paraId="38699C5B" w14:textId="77777777" w:rsidR="00C7394D" w:rsidRPr="0003514E" w:rsidRDefault="00C7394D" w:rsidP="00C7394D">
      <w:pPr>
        <w:spacing w:line="360" w:lineRule="auto"/>
        <w:ind w:firstLine="680"/>
        <w:jc w:val="both"/>
        <w:rPr>
          <w:rFonts w:ascii="Arial" w:hAnsi="Arial" w:cs="Arial"/>
          <w:color w:val="5B9BD5" w:themeColor="accent5"/>
        </w:rPr>
      </w:pPr>
    </w:p>
    <w:p w14:paraId="46A01FFB" w14:textId="77777777" w:rsidR="00C7394D" w:rsidRPr="008E6D79" w:rsidRDefault="00C7394D" w:rsidP="00C7394D">
      <w:pPr>
        <w:spacing w:line="360" w:lineRule="auto"/>
        <w:ind w:firstLine="680"/>
        <w:jc w:val="both"/>
        <w:rPr>
          <w:rFonts w:ascii="Arial" w:hAnsi="Arial" w:cs="Arial"/>
          <w:color w:val="5B9BD5" w:themeColor="accent5"/>
        </w:rPr>
      </w:pPr>
    </w:p>
    <w:p w14:paraId="40077571" w14:textId="15AB7A7C" w:rsidR="006C04BA" w:rsidRPr="000E0BE8" w:rsidRDefault="006C04BA" w:rsidP="00944CE0">
      <w:pPr>
        <w:jc w:val="both"/>
        <w:rPr>
          <w:rFonts w:ascii="Arial" w:hAnsi="Arial" w:cs="Arial"/>
          <w:i/>
          <w:color w:val="5B9BD5"/>
          <w:sz w:val="18"/>
          <w:szCs w:val="22"/>
        </w:rPr>
      </w:pPr>
      <w:r w:rsidRPr="00DD2733">
        <w:rPr>
          <w:rFonts w:ascii="Arial" w:hAnsi="Arial" w:cs="Arial"/>
          <w:color w:val="5B9BD5"/>
          <w:sz w:val="22"/>
        </w:rPr>
        <w:t xml:space="preserve">                                                                               </w:t>
      </w:r>
    </w:p>
    <w:bookmarkEnd w:id="1"/>
    <w:p w14:paraId="793155BA" w14:textId="77777777" w:rsidR="00752B6A" w:rsidRPr="00334416" w:rsidRDefault="00752B6A" w:rsidP="0046261C">
      <w:pPr>
        <w:tabs>
          <w:tab w:val="left" w:pos="932"/>
        </w:tabs>
        <w:spacing w:line="360" w:lineRule="auto"/>
        <w:ind w:firstLine="708"/>
        <w:jc w:val="both"/>
        <w:rPr>
          <w:rFonts w:ascii="Arial" w:hAnsi="Arial" w:cs="Arial"/>
          <w:sz w:val="22"/>
          <w:lang w:val="es-MX"/>
        </w:rPr>
      </w:pPr>
      <w:r w:rsidRPr="00334416">
        <w:rPr>
          <w:rFonts w:ascii="Arial" w:hAnsi="Arial" w:cs="Arial"/>
          <w:sz w:val="22"/>
          <w:lang w:val="es-MX"/>
        </w:rPr>
        <w:t xml:space="preserve">Lo que transcribo </w:t>
      </w:r>
      <w:r w:rsidR="008A0A1A" w:rsidRPr="00334416">
        <w:rPr>
          <w:rFonts w:ascii="Arial" w:hAnsi="Arial" w:cs="Arial"/>
          <w:sz w:val="22"/>
          <w:lang w:val="es-MX"/>
        </w:rPr>
        <w:t xml:space="preserve">a Usted </w:t>
      </w:r>
      <w:r w:rsidRPr="00334416">
        <w:rPr>
          <w:rFonts w:ascii="Arial" w:hAnsi="Arial" w:cs="Arial"/>
          <w:sz w:val="22"/>
          <w:lang w:val="es-MX"/>
        </w:rPr>
        <w:t>para su conocimiento y efectos legales consiguientes</w:t>
      </w:r>
      <w:r w:rsidR="008A0A1A" w:rsidRPr="00334416">
        <w:rPr>
          <w:rFonts w:ascii="Arial" w:hAnsi="Arial" w:cs="Arial"/>
          <w:sz w:val="22"/>
          <w:lang w:val="es-MX"/>
        </w:rPr>
        <w:t xml:space="preserve"> en vía de notificación del auto inserto</w:t>
      </w:r>
      <w:r w:rsidR="0046261C" w:rsidRPr="00334416">
        <w:rPr>
          <w:rFonts w:ascii="Arial" w:hAnsi="Arial" w:cs="Arial"/>
          <w:sz w:val="22"/>
          <w:lang w:val="es-MX"/>
        </w:rPr>
        <w:t>.</w:t>
      </w:r>
    </w:p>
    <w:p w14:paraId="74B2AD10" w14:textId="77777777" w:rsidR="00080641" w:rsidRPr="00334416" w:rsidRDefault="00752B6A" w:rsidP="004C35FC">
      <w:pPr>
        <w:pStyle w:val="NormalWeb"/>
        <w:spacing w:before="0" w:beforeAutospacing="0" w:after="0" w:afterAutospacing="0"/>
        <w:jc w:val="center"/>
        <w:rPr>
          <w:rFonts w:ascii="Arial" w:hAnsi="Arial" w:cs="Arial"/>
          <w:b/>
          <w:sz w:val="22"/>
          <w:lang w:val="es-MX"/>
        </w:rPr>
      </w:pPr>
      <w:r w:rsidRPr="00334416">
        <w:rPr>
          <w:rFonts w:ascii="Arial" w:hAnsi="Arial" w:cs="Arial"/>
          <w:b/>
          <w:sz w:val="22"/>
          <w:lang w:val="es-MX"/>
        </w:rPr>
        <w:t>Atentamente</w:t>
      </w:r>
      <w:r w:rsidR="004578F5" w:rsidRPr="00334416">
        <w:rPr>
          <w:rFonts w:ascii="Arial" w:hAnsi="Arial" w:cs="Arial"/>
          <w:b/>
          <w:sz w:val="22"/>
          <w:lang w:val="es-MX"/>
        </w:rPr>
        <w:t>.</w:t>
      </w:r>
    </w:p>
    <w:p w14:paraId="05A63F9E" w14:textId="77777777" w:rsidR="004C35FC" w:rsidRPr="00334416" w:rsidRDefault="004C35FC" w:rsidP="00125C6B">
      <w:pPr>
        <w:pStyle w:val="NormalWeb"/>
        <w:spacing w:before="0" w:beforeAutospacing="0" w:after="0" w:afterAutospacing="0"/>
        <w:rPr>
          <w:rFonts w:ascii="Arial" w:hAnsi="Arial" w:cs="Arial"/>
          <w:b/>
          <w:sz w:val="22"/>
          <w:lang w:val="es-MX"/>
        </w:rPr>
      </w:pPr>
    </w:p>
    <w:p w14:paraId="1E892F35" w14:textId="77777777" w:rsidR="00AC2962" w:rsidRDefault="00AC2962" w:rsidP="008C246C">
      <w:pPr>
        <w:jc w:val="center"/>
        <w:rPr>
          <w:rFonts w:ascii="Arial" w:hAnsi="Arial" w:cs="Arial"/>
          <w:b/>
          <w:sz w:val="22"/>
          <w:szCs w:val="23"/>
        </w:rPr>
      </w:pPr>
    </w:p>
    <w:p w14:paraId="56159F56" w14:textId="32900551" w:rsidR="00AC2962" w:rsidRDefault="00AC2962" w:rsidP="008C246C">
      <w:pPr>
        <w:jc w:val="center"/>
        <w:rPr>
          <w:rFonts w:ascii="Arial" w:hAnsi="Arial" w:cs="Arial"/>
          <w:b/>
          <w:sz w:val="22"/>
          <w:szCs w:val="23"/>
        </w:rPr>
      </w:pPr>
    </w:p>
    <w:p w14:paraId="5A28C0B4" w14:textId="77777777" w:rsidR="00AC2962" w:rsidRDefault="00AC2962" w:rsidP="008C246C">
      <w:pPr>
        <w:jc w:val="center"/>
        <w:rPr>
          <w:rFonts w:ascii="Arial" w:hAnsi="Arial" w:cs="Arial"/>
          <w:b/>
          <w:sz w:val="22"/>
          <w:szCs w:val="23"/>
        </w:rPr>
      </w:pPr>
    </w:p>
    <w:p w14:paraId="73BA9876" w14:textId="7A51192E" w:rsidR="00AC2962" w:rsidRPr="00F80D94" w:rsidRDefault="00F80D94" w:rsidP="00F80D94">
      <w:pPr>
        <w:ind w:right="49" w:firstLine="142"/>
        <w:jc w:val="center"/>
        <w:rPr>
          <w:rFonts w:ascii="Arial" w:hAnsi="Arial" w:cs="Arial"/>
          <w:b/>
          <w:sz w:val="22"/>
        </w:rPr>
      </w:pPr>
      <w:r w:rsidRPr="00334416">
        <w:rPr>
          <w:rFonts w:ascii="Arial" w:hAnsi="Arial" w:cs="Arial"/>
          <w:b/>
          <w:sz w:val="22"/>
        </w:rPr>
        <w:t>Lic. Javier Pérez Limón</w:t>
      </w:r>
    </w:p>
    <w:p w14:paraId="7C9C8230" w14:textId="5877E558" w:rsidR="007316FE" w:rsidRPr="00334416" w:rsidRDefault="001828F2" w:rsidP="008C246C">
      <w:pPr>
        <w:jc w:val="center"/>
        <w:rPr>
          <w:sz w:val="22"/>
        </w:rPr>
      </w:pPr>
      <w:r w:rsidRPr="00334416">
        <w:rPr>
          <w:rFonts w:ascii="Arial" w:hAnsi="Arial" w:cs="Arial"/>
          <w:b/>
          <w:sz w:val="22"/>
          <w:szCs w:val="23"/>
        </w:rPr>
        <w:t>Notificador</w:t>
      </w:r>
    </w:p>
    <w:sectPr w:rsidR="007316FE" w:rsidRPr="00334416" w:rsidSect="00C7394D">
      <w:pgSz w:w="12240" w:h="20160" w:code="5"/>
      <w:pgMar w:top="3403" w:right="851" w:bottom="2268" w:left="340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5CFCA9" w14:textId="77777777" w:rsidR="006B42ED" w:rsidRDefault="006B42ED" w:rsidP="00C13204">
      <w:r>
        <w:separator/>
      </w:r>
    </w:p>
  </w:endnote>
  <w:endnote w:type="continuationSeparator" w:id="0">
    <w:p w14:paraId="33DEDBF3" w14:textId="77777777" w:rsidR="006B42ED" w:rsidRDefault="006B42ED" w:rsidP="00C13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2C6C82" w14:textId="77777777" w:rsidR="006B42ED" w:rsidRDefault="006B42ED" w:rsidP="00C13204">
      <w:r>
        <w:separator/>
      </w:r>
    </w:p>
  </w:footnote>
  <w:footnote w:type="continuationSeparator" w:id="0">
    <w:p w14:paraId="703CC884" w14:textId="77777777" w:rsidR="006B42ED" w:rsidRDefault="006B42ED" w:rsidP="00C132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B81E2B"/>
    <w:multiLevelType w:val="hybridMultilevel"/>
    <w:tmpl w:val="264456C0"/>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51474B1E"/>
    <w:multiLevelType w:val="hybridMultilevel"/>
    <w:tmpl w:val="54B06A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2BB"/>
    <w:rsid w:val="00005FB0"/>
    <w:rsid w:val="00007029"/>
    <w:rsid w:val="00036F98"/>
    <w:rsid w:val="000420E4"/>
    <w:rsid w:val="00056B4F"/>
    <w:rsid w:val="00080641"/>
    <w:rsid w:val="00090820"/>
    <w:rsid w:val="00096E34"/>
    <w:rsid w:val="000A1C72"/>
    <w:rsid w:val="000C276F"/>
    <w:rsid w:val="000C59B7"/>
    <w:rsid w:val="000D006A"/>
    <w:rsid w:val="000D365F"/>
    <w:rsid w:val="000D3BE6"/>
    <w:rsid w:val="000D3CB9"/>
    <w:rsid w:val="000E0BE8"/>
    <w:rsid w:val="000E4E47"/>
    <w:rsid w:val="000F2132"/>
    <w:rsid w:val="001167F3"/>
    <w:rsid w:val="00121F0B"/>
    <w:rsid w:val="00125C6B"/>
    <w:rsid w:val="00126ABD"/>
    <w:rsid w:val="00131CEB"/>
    <w:rsid w:val="00132483"/>
    <w:rsid w:val="00142AE5"/>
    <w:rsid w:val="001526D4"/>
    <w:rsid w:val="00163A02"/>
    <w:rsid w:val="00164840"/>
    <w:rsid w:val="00171DC8"/>
    <w:rsid w:val="001828F2"/>
    <w:rsid w:val="001B44AC"/>
    <w:rsid w:val="001D2CFB"/>
    <w:rsid w:val="001D6765"/>
    <w:rsid w:val="001E7F94"/>
    <w:rsid w:val="001F0E4F"/>
    <w:rsid w:val="00212A79"/>
    <w:rsid w:val="002155C8"/>
    <w:rsid w:val="00217739"/>
    <w:rsid w:val="00217BF6"/>
    <w:rsid w:val="00220223"/>
    <w:rsid w:val="002347B2"/>
    <w:rsid w:val="002477FF"/>
    <w:rsid w:val="002603DC"/>
    <w:rsid w:val="00263B2B"/>
    <w:rsid w:val="002653E6"/>
    <w:rsid w:val="002721C6"/>
    <w:rsid w:val="00281751"/>
    <w:rsid w:val="00284222"/>
    <w:rsid w:val="00285C93"/>
    <w:rsid w:val="002B4236"/>
    <w:rsid w:val="002D225B"/>
    <w:rsid w:val="002D3287"/>
    <w:rsid w:val="002D7989"/>
    <w:rsid w:val="002E3571"/>
    <w:rsid w:val="002E4CC8"/>
    <w:rsid w:val="002F3449"/>
    <w:rsid w:val="002F4C15"/>
    <w:rsid w:val="003208DD"/>
    <w:rsid w:val="00333677"/>
    <w:rsid w:val="00334416"/>
    <w:rsid w:val="00361496"/>
    <w:rsid w:val="0036534B"/>
    <w:rsid w:val="003770E3"/>
    <w:rsid w:val="003771DB"/>
    <w:rsid w:val="00385221"/>
    <w:rsid w:val="00393F06"/>
    <w:rsid w:val="00393FFB"/>
    <w:rsid w:val="003B6613"/>
    <w:rsid w:val="003C4C01"/>
    <w:rsid w:val="003C5D93"/>
    <w:rsid w:val="003D0ACC"/>
    <w:rsid w:val="003E5CD1"/>
    <w:rsid w:val="003E648E"/>
    <w:rsid w:val="003F64D8"/>
    <w:rsid w:val="00404055"/>
    <w:rsid w:val="00411ED2"/>
    <w:rsid w:val="004245A3"/>
    <w:rsid w:val="004327AD"/>
    <w:rsid w:val="004522D8"/>
    <w:rsid w:val="00457670"/>
    <w:rsid w:val="004578F5"/>
    <w:rsid w:val="004622A7"/>
    <w:rsid w:val="0046261C"/>
    <w:rsid w:val="0047340E"/>
    <w:rsid w:val="00486C8B"/>
    <w:rsid w:val="00487E95"/>
    <w:rsid w:val="004A30EC"/>
    <w:rsid w:val="004A72BB"/>
    <w:rsid w:val="004B7B20"/>
    <w:rsid w:val="004C35FC"/>
    <w:rsid w:val="004C6912"/>
    <w:rsid w:val="004D1C99"/>
    <w:rsid w:val="004D25F0"/>
    <w:rsid w:val="004E171F"/>
    <w:rsid w:val="004E385A"/>
    <w:rsid w:val="004F3943"/>
    <w:rsid w:val="004F58C4"/>
    <w:rsid w:val="00515D23"/>
    <w:rsid w:val="005176F7"/>
    <w:rsid w:val="00534CB2"/>
    <w:rsid w:val="00546488"/>
    <w:rsid w:val="00563168"/>
    <w:rsid w:val="00566772"/>
    <w:rsid w:val="005910CD"/>
    <w:rsid w:val="005912F5"/>
    <w:rsid w:val="00596C6E"/>
    <w:rsid w:val="005C7060"/>
    <w:rsid w:val="005D5DF8"/>
    <w:rsid w:val="00624715"/>
    <w:rsid w:val="00650357"/>
    <w:rsid w:val="00653285"/>
    <w:rsid w:val="006538AD"/>
    <w:rsid w:val="00671028"/>
    <w:rsid w:val="006729F0"/>
    <w:rsid w:val="00674135"/>
    <w:rsid w:val="0068366B"/>
    <w:rsid w:val="006851BA"/>
    <w:rsid w:val="00694BDB"/>
    <w:rsid w:val="006A04DC"/>
    <w:rsid w:val="006B42ED"/>
    <w:rsid w:val="006B49CE"/>
    <w:rsid w:val="006B4CB0"/>
    <w:rsid w:val="006B5D93"/>
    <w:rsid w:val="006C04BA"/>
    <w:rsid w:val="006D30D6"/>
    <w:rsid w:val="006D3763"/>
    <w:rsid w:val="006E4032"/>
    <w:rsid w:val="006E76DC"/>
    <w:rsid w:val="006E7D35"/>
    <w:rsid w:val="006F5835"/>
    <w:rsid w:val="00705ABE"/>
    <w:rsid w:val="00716339"/>
    <w:rsid w:val="0071796E"/>
    <w:rsid w:val="007217FA"/>
    <w:rsid w:val="007279EA"/>
    <w:rsid w:val="007316FE"/>
    <w:rsid w:val="00742CC9"/>
    <w:rsid w:val="00752B6A"/>
    <w:rsid w:val="0075391E"/>
    <w:rsid w:val="00782A7B"/>
    <w:rsid w:val="007845EE"/>
    <w:rsid w:val="007851CA"/>
    <w:rsid w:val="00790985"/>
    <w:rsid w:val="007A0E7A"/>
    <w:rsid w:val="007A3A26"/>
    <w:rsid w:val="007A4BBD"/>
    <w:rsid w:val="007B6292"/>
    <w:rsid w:val="007B7319"/>
    <w:rsid w:val="007C0036"/>
    <w:rsid w:val="007C022A"/>
    <w:rsid w:val="007C2BCA"/>
    <w:rsid w:val="007D78E0"/>
    <w:rsid w:val="00826449"/>
    <w:rsid w:val="00833DC1"/>
    <w:rsid w:val="0084698F"/>
    <w:rsid w:val="00855F18"/>
    <w:rsid w:val="0087714D"/>
    <w:rsid w:val="008776C5"/>
    <w:rsid w:val="00885562"/>
    <w:rsid w:val="0088674E"/>
    <w:rsid w:val="00887AA4"/>
    <w:rsid w:val="00892536"/>
    <w:rsid w:val="008A0A1A"/>
    <w:rsid w:val="008A51F1"/>
    <w:rsid w:val="008C246C"/>
    <w:rsid w:val="008D17AF"/>
    <w:rsid w:val="008D5490"/>
    <w:rsid w:val="008F7294"/>
    <w:rsid w:val="00901DE5"/>
    <w:rsid w:val="009025F3"/>
    <w:rsid w:val="00905199"/>
    <w:rsid w:val="00924E1F"/>
    <w:rsid w:val="00925147"/>
    <w:rsid w:val="00944CE0"/>
    <w:rsid w:val="0096155A"/>
    <w:rsid w:val="00987684"/>
    <w:rsid w:val="009B454E"/>
    <w:rsid w:val="009D5D94"/>
    <w:rsid w:val="009D75CB"/>
    <w:rsid w:val="00A02A33"/>
    <w:rsid w:val="00A156D8"/>
    <w:rsid w:val="00A34342"/>
    <w:rsid w:val="00A470AD"/>
    <w:rsid w:val="00A5211C"/>
    <w:rsid w:val="00A5346C"/>
    <w:rsid w:val="00A762CF"/>
    <w:rsid w:val="00A93053"/>
    <w:rsid w:val="00AA5519"/>
    <w:rsid w:val="00AA6654"/>
    <w:rsid w:val="00AB2D15"/>
    <w:rsid w:val="00AB341A"/>
    <w:rsid w:val="00AB3E81"/>
    <w:rsid w:val="00AC2962"/>
    <w:rsid w:val="00AD5087"/>
    <w:rsid w:val="00AE0013"/>
    <w:rsid w:val="00AF4B3D"/>
    <w:rsid w:val="00AF4CEA"/>
    <w:rsid w:val="00B03DFB"/>
    <w:rsid w:val="00B04523"/>
    <w:rsid w:val="00B14CF4"/>
    <w:rsid w:val="00B33F4C"/>
    <w:rsid w:val="00B542FC"/>
    <w:rsid w:val="00B64E0F"/>
    <w:rsid w:val="00B75A59"/>
    <w:rsid w:val="00B963F7"/>
    <w:rsid w:val="00BB2943"/>
    <w:rsid w:val="00BB4719"/>
    <w:rsid w:val="00BB6C11"/>
    <w:rsid w:val="00BC6EC1"/>
    <w:rsid w:val="00BF4036"/>
    <w:rsid w:val="00C06E27"/>
    <w:rsid w:val="00C13204"/>
    <w:rsid w:val="00C13EB0"/>
    <w:rsid w:val="00C21E4A"/>
    <w:rsid w:val="00C3293B"/>
    <w:rsid w:val="00C339CB"/>
    <w:rsid w:val="00C4055E"/>
    <w:rsid w:val="00C41204"/>
    <w:rsid w:val="00C52B8F"/>
    <w:rsid w:val="00C52C96"/>
    <w:rsid w:val="00C7394D"/>
    <w:rsid w:val="00CD4859"/>
    <w:rsid w:val="00CE3BE5"/>
    <w:rsid w:val="00CF062F"/>
    <w:rsid w:val="00CF6D68"/>
    <w:rsid w:val="00D14C70"/>
    <w:rsid w:val="00D16A7E"/>
    <w:rsid w:val="00D2666F"/>
    <w:rsid w:val="00D371C0"/>
    <w:rsid w:val="00D40FB2"/>
    <w:rsid w:val="00D4777B"/>
    <w:rsid w:val="00D57AC8"/>
    <w:rsid w:val="00D67CBD"/>
    <w:rsid w:val="00D93A1D"/>
    <w:rsid w:val="00DA263F"/>
    <w:rsid w:val="00DA3DCD"/>
    <w:rsid w:val="00DA699A"/>
    <w:rsid w:val="00DB2B8C"/>
    <w:rsid w:val="00DC2697"/>
    <w:rsid w:val="00DD2733"/>
    <w:rsid w:val="00DD3B69"/>
    <w:rsid w:val="00DF234F"/>
    <w:rsid w:val="00DF2675"/>
    <w:rsid w:val="00DF6180"/>
    <w:rsid w:val="00E01E41"/>
    <w:rsid w:val="00E15151"/>
    <w:rsid w:val="00E20997"/>
    <w:rsid w:val="00E32F86"/>
    <w:rsid w:val="00E41DD6"/>
    <w:rsid w:val="00E4446B"/>
    <w:rsid w:val="00E53ECD"/>
    <w:rsid w:val="00E6698A"/>
    <w:rsid w:val="00E70322"/>
    <w:rsid w:val="00E74103"/>
    <w:rsid w:val="00EA037A"/>
    <w:rsid w:val="00EA7571"/>
    <w:rsid w:val="00ED3868"/>
    <w:rsid w:val="00EE3880"/>
    <w:rsid w:val="00EF02E8"/>
    <w:rsid w:val="00F216D2"/>
    <w:rsid w:val="00F21F9F"/>
    <w:rsid w:val="00F30DE9"/>
    <w:rsid w:val="00F31475"/>
    <w:rsid w:val="00F56B32"/>
    <w:rsid w:val="00F61197"/>
    <w:rsid w:val="00F62571"/>
    <w:rsid w:val="00F76072"/>
    <w:rsid w:val="00F80D94"/>
    <w:rsid w:val="00F81ACE"/>
    <w:rsid w:val="00F81ECC"/>
    <w:rsid w:val="00F823C1"/>
    <w:rsid w:val="00FB13F2"/>
    <w:rsid w:val="00FD1339"/>
    <w:rsid w:val="00FD641A"/>
    <w:rsid w:val="00FE25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62A54"/>
  <w15:chartTrackingRefBased/>
  <w15:docId w15:val="{01F0D0FE-74F1-4DB5-8832-63F3E9F80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72BB"/>
    <w:rPr>
      <w:rFonts w:ascii="Times New Roman" w:eastAsia="Times New Roman" w:hAnsi="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4A72BB"/>
    <w:pPr>
      <w:tabs>
        <w:tab w:val="center" w:pos="4419"/>
        <w:tab w:val="right" w:pos="8838"/>
      </w:tabs>
    </w:pPr>
  </w:style>
  <w:style w:type="character" w:customStyle="1" w:styleId="EncabezadoCar">
    <w:name w:val="Encabezado Car"/>
    <w:link w:val="Encabezado"/>
    <w:rsid w:val="004A72BB"/>
    <w:rPr>
      <w:rFonts w:ascii="Times New Roman" w:eastAsia="Times New Roman" w:hAnsi="Times New Roman" w:cs="Times New Roman"/>
      <w:sz w:val="24"/>
      <w:szCs w:val="24"/>
      <w:lang w:val="es-ES" w:eastAsia="es-ES"/>
    </w:rPr>
  </w:style>
  <w:style w:type="paragraph" w:styleId="NormalWeb">
    <w:name w:val="Normal (Web)"/>
    <w:basedOn w:val="Normal"/>
    <w:unhideWhenUsed/>
    <w:rsid w:val="003C4C01"/>
    <w:pPr>
      <w:spacing w:before="100" w:beforeAutospacing="1" w:after="100" w:afterAutospacing="1"/>
    </w:pPr>
  </w:style>
  <w:style w:type="paragraph" w:styleId="Prrafodelista">
    <w:name w:val="List Paragraph"/>
    <w:basedOn w:val="Normal"/>
    <w:uiPriority w:val="72"/>
    <w:qFormat/>
    <w:rsid w:val="00D93A1D"/>
    <w:pPr>
      <w:ind w:left="720"/>
      <w:contextualSpacing/>
    </w:pPr>
    <w:rPr>
      <w:rFonts w:ascii="Arial" w:hAnsi="Arial"/>
      <w:szCs w:val="20"/>
      <w:lang w:eastAsia="es-MX"/>
    </w:rPr>
  </w:style>
  <w:style w:type="paragraph" w:styleId="Textodeglobo">
    <w:name w:val="Balloon Text"/>
    <w:basedOn w:val="Normal"/>
    <w:link w:val="TextodegloboCar"/>
    <w:uiPriority w:val="99"/>
    <w:semiHidden/>
    <w:unhideWhenUsed/>
    <w:rsid w:val="00650357"/>
    <w:rPr>
      <w:rFonts w:ascii="Segoe UI" w:hAnsi="Segoe UI" w:cs="Segoe UI"/>
      <w:sz w:val="18"/>
      <w:szCs w:val="18"/>
    </w:rPr>
  </w:style>
  <w:style w:type="character" w:customStyle="1" w:styleId="TextodegloboCar">
    <w:name w:val="Texto de globo Car"/>
    <w:link w:val="Textodeglobo"/>
    <w:uiPriority w:val="99"/>
    <w:semiHidden/>
    <w:rsid w:val="00650357"/>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C13204"/>
    <w:pPr>
      <w:tabs>
        <w:tab w:val="center" w:pos="4419"/>
        <w:tab w:val="right" w:pos="8838"/>
      </w:tabs>
    </w:pPr>
  </w:style>
  <w:style w:type="character" w:customStyle="1" w:styleId="PiedepginaCar">
    <w:name w:val="Pie de página Car"/>
    <w:basedOn w:val="Fuentedeprrafopredeter"/>
    <w:link w:val="Piedepgina"/>
    <w:uiPriority w:val="99"/>
    <w:rsid w:val="00C13204"/>
    <w:rPr>
      <w:rFonts w:ascii="Times New Roman" w:eastAsia="Times New Roman" w:hAnsi="Times New Roman"/>
      <w:sz w:val="24"/>
      <w:szCs w:val="24"/>
      <w:lang w:val="es-ES" w:eastAsia="es-ES"/>
    </w:rPr>
  </w:style>
  <w:style w:type="character" w:styleId="Hipervnculo">
    <w:name w:val="Hyperlink"/>
    <w:basedOn w:val="Fuentedeprrafopredeter"/>
    <w:uiPriority w:val="99"/>
    <w:unhideWhenUsed/>
    <w:rsid w:val="00C7394D"/>
    <w:rPr>
      <w:color w:val="0000FF"/>
      <w:u w:val="single"/>
    </w:rPr>
  </w:style>
  <w:style w:type="paragraph" w:customStyle="1" w:styleId="corte4fondo">
    <w:name w:val="corte4 fondo"/>
    <w:basedOn w:val="Normal"/>
    <w:link w:val="corte4fondoCar1"/>
    <w:qFormat/>
    <w:rsid w:val="00C7394D"/>
    <w:pPr>
      <w:spacing w:line="360" w:lineRule="auto"/>
      <w:ind w:firstLine="709"/>
      <w:jc w:val="both"/>
    </w:pPr>
    <w:rPr>
      <w:rFonts w:ascii="Arial" w:hAnsi="Arial"/>
      <w:sz w:val="30"/>
      <w:szCs w:val="20"/>
      <w:lang w:val="es-MX" w:eastAsia="es-MX"/>
    </w:rPr>
  </w:style>
  <w:style w:type="character" w:customStyle="1" w:styleId="corte4fondoCar1">
    <w:name w:val="corte4 fondo Car1"/>
    <w:link w:val="corte4fondo"/>
    <w:rsid w:val="00C7394D"/>
    <w:rPr>
      <w:rFonts w:ascii="Arial" w:eastAsia="Times New Roman" w:hAnsi="Arial"/>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6167">
      <w:bodyDiv w:val="1"/>
      <w:marLeft w:val="0"/>
      <w:marRight w:val="0"/>
      <w:marTop w:val="0"/>
      <w:marBottom w:val="0"/>
      <w:divBdr>
        <w:top w:val="none" w:sz="0" w:space="0" w:color="auto"/>
        <w:left w:val="none" w:sz="0" w:space="0" w:color="auto"/>
        <w:bottom w:val="none" w:sz="0" w:space="0" w:color="auto"/>
        <w:right w:val="none" w:sz="0" w:space="0" w:color="auto"/>
      </w:divBdr>
    </w:div>
    <w:div w:id="739795538">
      <w:bodyDiv w:val="1"/>
      <w:marLeft w:val="0"/>
      <w:marRight w:val="0"/>
      <w:marTop w:val="0"/>
      <w:marBottom w:val="0"/>
      <w:divBdr>
        <w:top w:val="none" w:sz="0" w:space="0" w:color="auto"/>
        <w:left w:val="none" w:sz="0" w:space="0" w:color="auto"/>
        <w:bottom w:val="none" w:sz="0" w:space="0" w:color="auto"/>
        <w:right w:val="none" w:sz="0" w:space="0" w:color="auto"/>
      </w:divBdr>
    </w:div>
    <w:div w:id="831331084">
      <w:bodyDiv w:val="1"/>
      <w:marLeft w:val="0"/>
      <w:marRight w:val="0"/>
      <w:marTop w:val="0"/>
      <w:marBottom w:val="0"/>
      <w:divBdr>
        <w:top w:val="none" w:sz="0" w:space="0" w:color="auto"/>
        <w:left w:val="none" w:sz="0" w:space="0" w:color="auto"/>
        <w:bottom w:val="none" w:sz="0" w:space="0" w:color="auto"/>
        <w:right w:val="none" w:sz="0" w:space="0" w:color="auto"/>
      </w:divBdr>
    </w:div>
    <w:div w:id="850685879">
      <w:bodyDiv w:val="1"/>
      <w:marLeft w:val="0"/>
      <w:marRight w:val="0"/>
      <w:marTop w:val="0"/>
      <w:marBottom w:val="0"/>
      <w:divBdr>
        <w:top w:val="none" w:sz="0" w:space="0" w:color="auto"/>
        <w:left w:val="none" w:sz="0" w:space="0" w:color="auto"/>
        <w:bottom w:val="none" w:sz="0" w:space="0" w:color="auto"/>
        <w:right w:val="none" w:sz="0" w:space="0" w:color="auto"/>
      </w:divBdr>
    </w:div>
    <w:div w:id="1547720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DE2B6-3B1B-475F-AFDA-D2C7D83EC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2441</Words>
  <Characters>13431</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dc:creator>
  <cp:keywords/>
  <cp:lastModifiedBy>home</cp:lastModifiedBy>
  <cp:revision>2</cp:revision>
  <cp:lastPrinted>2018-10-25T14:09:00Z</cp:lastPrinted>
  <dcterms:created xsi:type="dcterms:W3CDTF">2018-11-10T18:56:00Z</dcterms:created>
  <dcterms:modified xsi:type="dcterms:W3CDTF">2018-11-10T18:56:00Z</dcterms:modified>
</cp:coreProperties>
</file>