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BF2438" w14:textId="73DD6505" w:rsidR="0004274F" w:rsidRPr="007C5605" w:rsidRDefault="0026483E" w:rsidP="00B74885">
      <w:pPr>
        <w:pStyle w:val="corte4fondo"/>
        <w:tabs>
          <w:tab w:val="left" w:pos="567"/>
        </w:tabs>
        <w:spacing w:line="240" w:lineRule="auto"/>
        <w:ind w:firstLine="0"/>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RECURSO DE REVISIÓN </w:t>
      </w:r>
      <w:r w:rsidR="006A6940">
        <w:rPr>
          <w:rFonts w:ascii="AvantGarde Bk BT" w:hAnsi="AvantGarde Bk BT" w:cs="Arial"/>
          <w:b/>
          <w:color w:val="000000" w:themeColor="text1"/>
          <w:sz w:val="24"/>
          <w:szCs w:val="24"/>
        </w:rPr>
        <w:t>77</w:t>
      </w:r>
      <w:r w:rsidR="005514F0">
        <w:rPr>
          <w:rFonts w:ascii="AvantGarde Bk BT" w:hAnsi="AvantGarde Bk BT" w:cs="Arial"/>
          <w:b/>
          <w:color w:val="000000" w:themeColor="text1"/>
          <w:sz w:val="24"/>
          <w:szCs w:val="24"/>
        </w:rPr>
        <w:t>8</w:t>
      </w:r>
      <w:r w:rsidR="000E2026">
        <w:rPr>
          <w:rFonts w:ascii="AvantGarde Bk BT" w:hAnsi="AvantGarde Bk BT" w:cs="Arial"/>
          <w:b/>
          <w:color w:val="000000" w:themeColor="text1"/>
          <w:sz w:val="24"/>
          <w:szCs w:val="24"/>
        </w:rPr>
        <w:t>/201</w:t>
      </w:r>
      <w:r w:rsidR="00023148">
        <w:rPr>
          <w:rFonts w:ascii="AvantGarde Bk BT" w:hAnsi="AvantGarde Bk BT" w:cs="Arial"/>
          <w:b/>
          <w:color w:val="000000" w:themeColor="text1"/>
          <w:sz w:val="24"/>
          <w:szCs w:val="24"/>
        </w:rPr>
        <w:t>8</w:t>
      </w:r>
      <w:r w:rsidR="00A2443F" w:rsidRPr="007C5605">
        <w:rPr>
          <w:rFonts w:ascii="AvantGarde Bk BT" w:hAnsi="AvantGarde Bk BT" w:cs="Arial"/>
          <w:b/>
          <w:color w:val="000000" w:themeColor="text1"/>
          <w:sz w:val="24"/>
          <w:szCs w:val="24"/>
        </w:rPr>
        <w:t>-1</w:t>
      </w:r>
      <w:r w:rsidR="0010246E">
        <w:rPr>
          <w:rFonts w:ascii="AvantGarde Bk BT" w:hAnsi="AvantGarde Bk BT" w:cs="Arial"/>
          <w:b/>
          <w:color w:val="000000" w:themeColor="text1"/>
          <w:sz w:val="24"/>
          <w:szCs w:val="24"/>
        </w:rPr>
        <w:t xml:space="preserve"> </w:t>
      </w:r>
      <w:r w:rsidR="007F1CA7">
        <w:rPr>
          <w:rFonts w:ascii="AvantGarde Bk BT" w:hAnsi="AvantGarde Bk BT" w:cs="Arial"/>
          <w:b/>
          <w:color w:val="000000" w:themeColor="text1"/>
          <w:sz w:val="24"/>
          <w:szCs w:val="24"/>
        </w:rPr>
        <w:t>PLATAFORMA</w:t>
      </w:r>
    </w:p>
    <w:p w14:paraId="26DD382F" w14:textId="77777777" w:rsidR="0004274F" w:rsidRPr="007C5605" w:rsidRDefault="0004274F"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14:paraId="0FC133A0"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COMISIONADO PONENTE: </w:t>
      </w:r>
    </w:p>
    <w:p w14:paraId="01E63EB8"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MAESTRO ALEJANDRO LAFUENTE TORRES</w:t>
      </w:r>
    </w:p>
    <w:p w14:paraId="7900D828" w14:textId="77777777" w:rsidR="00B06540" w:rsidRPr="007C5605" w:rsidRDefault="00B06540" w:rsidP="00B74885">
      <w:pPr>
        <w:pStyle w:val="corte4fondo"/>
        <w:tabs>
          <w:tab w:val="left" w:pos="567"/>
        </w:tabs>
        <w:spacing w:line="240" w:lineRule="auto"/>
        <w:ind w:firstLine="0"/>
        <w:jc w:val="right"/>
        <w:rPr>
          <w:rFonts w:ascii="AvantGarde Bk BT" w:hAnsi="AvantGarde Bk BT" w:cs="Arial"/>
          <w:b/>
          <w:color w:val="000000" w:themeColor="text1"/>
          <w:sz w:val="24"/>
          <w:szCs w:val="24"/>
        </w:rPr>
      </w:pPr>
    </w:p>
    <w:p w14:paraId="30716308"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MATERIA:</w:t>
      </w:r>
    </w:p>
    <w:p w14:paraId="08F0F510"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ACCESO A LA INFORMACIÓN PÚBLICA</w:t>
      </w:r>
      <w:r w:rsidR="00F35358">
        <w:rPr>
          <w:rFonts w:ascii="AvantGarde Bk BT" w:hAnsi="AvantGarde Bk BT" w:cs="Arial"/>
          <w:b/>
          <w:color w:val="000000" w:themeColor="text1"/>
          <w:sz w:val="24"/>
          <w:szCs w:val="24"/>
        </w:rPr>
        <w:t>.</w:t>
      </w:r>
    </w:p>
    <w:p w14:paraId="1EF62169" w14:textId="77777777" w:rsidR="00B06540" w:rsidRPr="007C5605" w:rsidRDefault="00B06540" w:rsidP="00B74885">
      <w:pPr>
        <w:pStyle w:val="corte4fondo"/>
        <w:tabs>
          <w:tab w:val="left" w:pos="567"/>
        </w:tabs>
        <w:spacing w:line="240" w:lineRule="auto"/>
        <w:jc w:val="right"/>
        <w:rPr>
          <w:rFonts w:ascii="AvantGarde Bk BT" w:hAnsi="AvantGarde Bk BT" w:cs="Arial"/>
          <w:b/>
          <w:color w:val="000000" w:themeColor="text1"/>
          <w:sz w:val="24"/>
          <w:szCs w:val="24"/>
        </w:rPr>
      </w:pPr>
    </w:p>
    <w:p w14:paraId="636C6E44" w14:textId="77777777" w:rsidR="0004274F" w:rsidRPr="007C5605" w:rsidRDefault="00A35AC9" w:rsidP="00B74885">
      <w:pPr>
        <w:pStyle w:val="corte4fondo"/>
        <w:tabs>
          <w:tab w:val="left" w:pos="567"/>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SUJETO</w:t>
      </w:r>
      <w:r w:rsidR="0004274F" w:rsidRPr="007C5605">
        <w:rPr>
          <w:rFonts w:ascii="AvantGarde Bk BT" w:hAnsi="AvantGarde Bk BT" w:cs="Arial"/>
          <w:b/>
          <w:color w:val="000000" w:themeColor="text1"/>
          <w:sz w:val="24"/>
          <w:szCs w:val="24"/>
        </w:rPr>
        <w:t xml:space="preserve"> OBLIGADO:</w:t>
      </w:r>
    </w:p>
    <w:p w14:paraId="51CF1E96" w14:textId="657D8A36" w:rsidR="0004274F" w:rsidRPr="007C5605" w:rsidRDefault="00745909" w:rsidP="00B74885">
      <w:pPr>
        <w:pStyle w:val="corte4fondo"/>
        <w:tabs>
          <w:tab w:val="left" w:pos="567"/>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PODER JUDICIAL DEL ESTADO</w:t>
      </w:r>
      <w:r w:rsidR="002B06B1">
        <w:rPr>
          <w:rFonts w:ascii="AvantGarde Bk BT" w:hAnsi="AvantGarde Bk BT" w:cs="Arial"/>
          <w:b/>
          <w:color w:val="000000" w:themeColor="text1"/>
          <w:sz w:val="24"/>
          <w:szCs w:val="24"/>
        </w:rPr>
        <w:t>.</w:t>
      </w:r>
    </w:p>
    <w:p w14:paraId="11D55250" w14:textId="77777777" w:rsidR="008A7FF4" w:rsidRDefault="008A7FF4"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14:paraId="3FC3772B" w14:textId="77777777" w:rsidR="008A7FF4" w:rsidRPr="007C5605" w:rsidRDefault="008A7FF4" w:rsidP="00E02BC0">
      <w:pPr>
        <w:pStyle w:val="corte4fondo"/>
        <w:tabs>
          <w:tab w:val="left" w:pos="567"/>
        </w:tabs>
        <w:ind w:firstLine="0"/>
        <w:rPr>
          <w:rFonts w:ascii="AvantGarde Bk BT" w:hAnsi="AvantGarde Bk BT" w:cs="Arial"/>
          <w:color w:val="000000" w:themeColor="text1"/>
          <w:sz w:val="24"/>
          <w:szCs w:val="24"/>
        </w:rPr>
      </w:pPr>
    </w:p>
    <w:p w14:paraId="48BF77A0" w14:textId="1C0D52BD" w:rsidR="0004274F" w:rsidRPr="007C5605" w:rsidRDefault="00CA0F2E" w:rsidP="00E02BC0">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 xml:space="preserve">San Luis Potosí, San Luis Potosí. Acuerdo del Pleno de la Comisión Estatal de Garantía de Acceso a la Información Pública, correspondiente a la sesión del </w:t>
      </w:r>
      <w:r w:rsidR="00AB7A3F">
        <w:rPr>
          <w:rFonts w:ascii="AvantGarde Bk BT" w:hAnsi="AvantGarde Bk BT" w:cs="Arial"/>
          <w:color w:val="000000" w:themeColor="text1"/>
          <w:sz w:val="24"/>
          <w:szCs w:val="24"/>
        </w:rPr>
        <w:t>22 veintidós de noviembre</w:t>
      </w:r>
      <w:r w:rsidR="00745909">
        <w:rPr>
          <w:rFonts w:ascii="AvantGarde Bk BT" w:hAnsi="AvantGarde Bk BT" w:cs="Arial"/>
          <w:color w:val="000000" w:themeColor="text1"/>
          <w:sz w:val="24"/>
          <w:szCs w:val="24"/>
        </w:rPr>
        <w:t xml:space="preserve"> </w:t>
      </w:r>
      <w:r w:rsidR="00023148">
        <w:rPr>
          <w:rFonts w:ascii="AvantGarde Bk BT" w:hAnsi="AvantGarde Bk BT" w:cs="Arial"/>
          <w:color w:val="000000" w:themeColor="text1"/>
          <w:sz w:val="24"/>
          <w:szCs w:val="24"/>
        </w:rPr>
        <w:t>de 2018 dos mil dieciocho</w:t>
      </w:r>
      <w:r w:rsidR="0004274F" w:rsidRPr="007C5605">
        <w:rPr>
          <w:rFonts w:ascii="AvantGarde Bk BT" w:hAnsi="AvantGarde Bk BT" w:cs="Arial"/>
          <w:color w:val="000000" w:themeColor="text1"/>
          <w:sz w:val="24"/>
          <w:szCs w:val="24"/>
        </w:rPr>
        <w:t xml:space="preserve">. </w:t>
      </w:r>
    </w:p>
    <w:p w14:paraId="745D0825" w14:textId="77777777"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14:paraId="300E572C" w14:textId="77777777" w:rsidR="007B7C25" w:rsidRPr="007C5605" w:rsidRDefault="0026483E" w:rsidP="008A7FF4">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14:paraId="313303D5" w14:textId="77777777" w:rsidR="0004274F" w:rsidRPr="007C5605" w:rsidRDefault="0004274F" w:rsidP="00E02BC0">
      <w:pPr>
        <w:pStyle w:val="corte4fondo"/>
        <w:tabs>
          <w:tab w:val="left" w:pos="567"/>
        </w:tabs>
        <w:spacing w:line="240" w:lineRule="auto"/>
        <w:ind w:left="454" w:firstLine="0"/>
        <w:rPr>
          <w:rFonts w:ascii="AvantGarde Bk BT" w:hAnsi="AvantGarde Bk BT" w:cs="Arial"/>
          <w:color w:val="000000" w:themeColor="text1"/>
          <w:sz w:val="24"/>
          <w:szCs w:val="24"/>
        </w:rPr>
      </w:pPr>
    </w:p>
    <w:p w14:paraId="0D26DBD9" w14:textId="77777777" w:rsidR="0004274F" w:rsidRPr="007C5605" w:rsidRDefault="0004274F" w:rsidP="000901C0">
      <w:pPr>
        <w:pStyle w:val="corte4fondo"/>
        <w:tabs>
          <w:tab w:val="left" w:pos="567"/>
        </w:tabs>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14:paraId="26CCC2AA" w14:textId="77777777"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14:paraId="293C48F2" w14:textId="03878887" w:rsidR="00EC45B0" w:rsidRDefault="0004274F" w:rsidP="00AB7A3F">
      <w:pPr>
        <w:pStyle w:val="corte4fondo"/>
        <w:tabs>
          <w:tab w:val="left" w:pos="567"/>
        </w:tabs>
        <w:ind w:left="113"/>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E32F0A" w:rsidRPr="007C5605">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 xml:space="preserve">l </w:t>
      </w:r>
      <w:r w:rsidR="00AB7A3F">
        <w:rPr>
          <w:rFonts w:ascii="AvantGarde Bk BT" w:hAnsi="AvantGarde Bk BT" w:cs="Arial"/>
          <w:color w:val="000000" w:themeColor="text1"/>
          <w:sz w:val="24"/>
          <w:szCs w:val="24"/>
        </w:rPr>
        <w:t>02 dos de septiembre</w:t>
      </w:r>
      <w:r w:rsidR="00C520C6">
        <w:rPr>
          <w:rFonts w:ascii="AvantGarde Bk BT" w:hAnsi="AvantGarde Bk BT" w:cs="Arial"/>
          <w:color w:val="000000" w:themeColor="text1"/>
          <w:sz w:val="24"/>
          <w:szCs w:val="24"/>
        </w:rPr>
        <w:t xml:space="preserve"> </w:t>
      </w:r>
      <w:r w:rsidR="0091068B">
        <w:rPr>
          <w:rFonts w:ascii="AvantGarde Bk BT" w:hAnsi="AvantGarde Bk BT" w:cs="Arial"/>
          <w:color w:val="000000" w:themeColor="text1"/>
          <w:sz w:val="24"/>
          <w:szCs w:val="24"/>
        </w:rPr>
        <w:t>de 2018 dos mil dieciocho</w:t>
      </w:r>
      <w:r w:rsidR="00735D8C">
        <w:rPr>
          <w:rFonts w:ascii="AvantGarde Bk BT" w:hAnsi="AvantGarde Bk BT" w:cs="Arial"/>
          <w:color w:val="000000" w:themeColor="text1"/>
          <w:sz w:val="24"/>
          <w:szCs w:val="24"/>
        </w:rPr>
        <w:t xml:space="preserve"> </w:t>
      </w:r>
      <w:r w:rsidR="006446C2">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w:t>
      </w:r>
      <w:r w:rsidR="006446C2">
        <w:rPr>
          <w:rFonts w:ascii="AvantGarde Bk BT" w:hAnsi="AvantGarde Bk BT" w:cs="Arial"/>
          <w:b/>
          <w:color w:val="000000" w:themeColor="text1"/>
          <w:sz w:val="24"/>
          <w:szCs w:val="24"/>
        </w:rPr>
        <w:t>PODER JUDICIAL DEL ESTADO</w:t>
      </w:r>
      <w:r w:rsidR="00CA749B" w:rsidRPr="00CA749B">
        <w:rPr>
          <w:rFonts w:ascii="AvantGarde Bk BT" w:hAnsi="AvantGarde Bk BT" w:cs="Arial"/>
          <w:b/>
          <w:color w:val="000000" w:themeColor="text1"/>
          <w:sz w:val="24"/>
          <w:szCs w:val="24"/>
        </w:rPr>
        <w:t xml:space="preserve"> </w:t>
      </w:r>
      <w:r w:rsidR="00581774">
        <w:rPr>
          <w:rFonts w:ascii="AvantGarde Bk BT" w:hAnsi="AvantGarde Bk BT" w:cs="Arial"/>
          <w:color w:val="000000" w:themeColor="text1"/>
          <w:sz w:val="24"/>
          <w:szCs w:val="24"/>
        </w:rPr>
        <w:t>recibió</w:t>
      </w:r>
      <w:r w:rsidR="00EE6185">
        <w:rPr>
          <w:rFonts w:ascii="AvantGarde Bk BT" w:hAnsi="AvantGarde Bk BT" w:cs="Arial"/>
          <w:color w:val="000000" w:themeColor="text1"/>
          <w:sz w:val="24"/>
          <w:szCs w:val="24"/>
        </w:rPr>
        <w:t xml:space="preserve"> una solicitud de información </w:t>
      </w:r>
      <w:r w:rsidR="000B3669">
        <w:rPr>
          <w:rFonts w:ascii="AvantGarde Bk BT" w:hAnsi="AvantGarde Bk BT" w:cs="Arial"/>
          <w:color w:val="000000" w:themeColor="text1"/>
          <w:sz w:val="24"/>
          <w:szCs w:val="24"/>
        </w:rPr>
        <w:t xml:space="preserve">a través </w:t>
      </w:r>
      <w:r w:rsidR="009D162C">
        <w:rPr>
          <w:rFonts w:ascii="AvantGarde Bk BT" w:hAnsi="AvantGarde Bk BT" w:cs="Arial"/>
          <w:color w:val="000000" w:themeColor="text1"/>
          <w:sz w:val="24"/>
          <w:szCs w:val="24"/>
        </w:rPr>
        <w:t>de</w:t>
      </w:r>
      <w:r w:rsidR="001C53D3">
        <w:rPr>
          <w:rFonts w:ascii="AvantGarde Bk BT" w:hAnsi="AvantGarde Bk BT" w:cs="Arial"/>
          <w:color w:val="000000" w:themeColor="text1"/>
          <w:sz w:val="24"/>
          <w:szCs w:val="24"/>
        </w:rPr>
        <w:t xml:space="preserve"> la Plataforma Nacional de Transparencia</w:t>
      </w:r>
      <w:r w:rsidR="000B3669">
        <w:rPr>
          <w:rFonts w:ascii="AvantGarde Bk BT" w:hAnsi="AvantGarde Bk BT" w:cs="Arial"/>
          <w:color w:val="000000" w:themeColor="text1"/>
          <w:sz w:val="24"/>
          <w:szCs w:val="24"/>
        </w:rPr>
        <w:t>, misma que quedó registrada con número de folio 00</w:t>
      </w:r>
      <w:r w:rsidR="00AB7A3F">
        <w:rPr>
          <w:rFonts w:ascii="AvantGarde Bk BT" w:hAnsi="AvantGarde Bk BT" w:cs="Arial"/>
          <w:color w:val="000000" w:themeColor="text1"/>
          <w:sz w:val="24"/>
          <w:szCs w:val="24"/>
        </w:rPr>
        <w:t>65</w:t>
      </w:r>
      <w:r w:rsidR="00AB29BF">
        <w:rPr>
          <w:rFonts w:ascii="AvantGarde Bk BT" w:hAnsi="AvantGarde Bk BT" w:cs="Arial"/>
          <w:color w:val="000000" w:themeColor="text1"/>
          <w:sz w:val="24"/>
          <w:szCs w:val="24"/>
        </w:rPr>
        <w:t>39</w:t>
      </w:r>
      <w:r w:rsidR="000B3669">
        <w:rPr>
          <w:rFonts w:ascii="AvantGarde Bk BT" w:hAnsi="AvantGarde Bk BT" w:cs="Arial"/>
          <w:color w:val="000000" w:themeColor="text1"/>
          <w:sz w:val="24"/>
          <w:szCs w:val="24"/>
        </w:rPr>
        <w:t>18</w:t>
      </w:r>
      <w:r w:rsidR="00AB7A3F">
        <w:rPr>
          <w:rFonts w:ascii="AvantGarde Bk BT" w:hAnsi="AvantGarde Bk BT" w:cs="Arial"/>
          <w:color w:val="000000" w:themeColor="text1"/>
          <w:sz w:val="24"/>
          <w:szCs w:val="24"/>
        </w:rPr>
        <w:t xml:space="preserve">. </w:t>
      </w:r>
      <w:r w:rsidR="000B3669">
        <w:rPr>
          <w:rFonts w:ascii="AvantGarde Bk BT" w:hAnsi="AvantGarde Bk BT" w:cs="Arial"/>
          <w:color w:val="000000" w:themeColor="text1"/>
          <w:sz w:val="24"/>
          <w:szCs w:val="24"/>
        </w:rPr>
        <w:t xml:space="preserve">(Visible a foja </w:t>
      </w:r>
      <w:r w:rsidR="0059683F">
        <w:rPr>
          <w:rFonts w:ascii="AvantGarde Bk BT" w:hAnsi="AvantGarde Bk BT" w:cs="Arial"/>
          <w:color w:val="000000" w:themeColor="text1"/>
          <w:sz w:val="24"/>
          <w:szCs w:val="24"/>
        </w:rPr>
        <w:t>0</w:t>
      </w:r>
      <w:r w:rsidR="00AB7A3F">
        <w:rPr>
          <w:rFonts w:ascii="AvantGarde Bk BT" w:hAnsi="AvantGarde Bk BT" w:cs="Arial"/>
          <w:color w:val="000000" w:themeColor="text1"/>
          <w:sz w:val="24"/>
          <w:szCs w:val="24"/>
        </w:rPr>
        <w:t xml:space="preserve">2 </w:t>
      </w:r>
      <w:r w:rsidR="000B3669">
        <w:rPr>
          <w:rFonts w:ascii="AvantGarde Bk BT" w:hAnsi="AvantGarde Bk BT" w:cs="Arial"/>
          <w:color w:val="000000" w:themeColor="text1"/>
          <w:sz w:val="24"/>
          <w:szCs w:val="24"/>
        </w:rPr>
        <w:t>de autos).</w:t>
      </w:r>
      <w:r w:rsidR="000B3669" w:rsidRPr="000B3669">
        <w:rPr>
          <w:rFonts w:ascii="AvantGarde Bk BT" w:hAnsi="AvantGarde Bk BT" w:cs="Arial"/>
          <w:color w:val="000000" w:themeColor="text1"/>
          <w:sz w:val="24"/>
          <w:szCs w:val="24"/>
        </w:rPr>
        <w:t xml:space="preserve">  </w:t>
      </w:r>
    </w:p>
    <w:p w14:paraId="426687F9" w14:textId="77777777" w:rsidR="00D62AB1" w:rsidRDefault="00D62AB1" w:rsidP="00AB7A3F">
      <w:pPr>
        <w:pStyle w:val="corte4fondo"/>
        <w:tabs>
          <w:tab w:val="left" w:pos="567"/>
        </w:tabs>
        <w:ind w:left="113"/>
        <w:rPr>
          <w:rFonts w:ascii="AvantGarde Bk BT" w:hAnsi="AvantGarde Bk BT" w:cs="Arial"/>
          <w:color w:val="000000" w:themeColor="text1"/>
          <w:sz w:val="24"/>
          <w:szCs w:val="24"/>
        </w:rPr>
      </w:pPr>
    </w:p>
    <w:p w14:paraId="11F61DA5" w14:textId="23827D6B" w:rsidR="004B04F4" w:rsidRDefault="0004274F" w:rsidP="00D62AB1">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SEGUNDO.</w:t>
      </w:r>
      <w:r w:rsidR="00715CEA" w:rsidRPr="007C5605">
        <w:rPr>
          <w:rFonts w:ascii="AvantGarde Bk BT" w:hAnsi="AvantGarde Bk BT" w:cs="Arial"/>
          <w:b/>
          <w:color w:val="000000" w:themeColor="text1"/>
          <w:sz w:val="24"/>
          <w:szCs w:val="24"/>
        </w:rPr>
        <w:t xml:space="preserve"> </w:t>
      </w:r>
      <w:r w:rsidRPr="007C5605">
        <w:rPr>
          <w:rFonts w:ascii="AvantGarde Bk BT" w:hAnsi="AvantGarde Bk BT" w:cs="Arial"/>
          <w:b/>
          <w:color w:val="000000" w:themeColor="text1"/>
          <w:sz w:val="24"/>
          <w:szCs w:val="24"/>
        </w:rPr>
        <w:t xml:space="preserve">Respuesta a la solicitud de acceso a la información pública. </w:t>
      </w:r>
      <w:r w:rsidRPr="007C5605">
        <w:rPr>
          <w:rFonts w:ascii="AvantGarde Bk BT" w:hAnsi="AvantGarde Bk BT" w:cs="Arial"/>
          <w:color w:val="000000" w:themeColor="text1"/>
          <w:sz w:val="24"/>
          <w:szCs w:val="24"/>
        </w:rPr>
        <w:t xml:space="preserve">El </w:t>
      </w:r>
      <w:r w:rsidR="00AB7A3F">
        <w:rPr>
          <w:rFonts w:ascii="AvantGarde Bk BT" w:hAnsi="AvantGarde Bk BT" w:cs="Arial"/>
          <w:color w:val="000000" w:themeColor="text1"/>
          <w:sz w:val="24"/>
          <w:szCs w:val="24"/>
        </w:rPr>
        <w:t>01 uno de octubre</w:t>
      </w:r>
      <w:r w:rsidR="00402426">
        <w:rPr>
          <w:rFonts w:ascii="AvantGarde Bk BT" w:hAnsi="AvantGarde Bk BT" w:cs="Arial"/>
          <w:color w:val="000000" w:themeColor="text1"/>
          <w:sz w:val="24"/>
          <w:szCs w:val="24"/>
        </w:rPr>
        <w:t xml:space="preserve"> de 2018 dos mil dieciocho</w:t>
      </w:r>
      <w:r w:rsidR="002C3608">
        <w:rPr>
          <w:rFonts w:ascii="AvantGarde Bk BT" w:hAnsi="AvantGarde Bk BT" w:cs="Arial"/>
          <w:color w:val="000000" w:themeColor="text1"/>
          <w:sz w:val="24"/>
          <w:szCs w:val="24"/>
        </w:rPr>
        <w:t xml:space="preserve"> </w:t>
      </w:r>
      <w:r w:rsidR="00D74CED">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w:t>
      </w:r>
      <w:r w:rsidR="00D74CED" w:rsidRPr="00D74CED">
        <w:rPr>
          <w:rFonts w:ascii="AvantGarde Bk BT" w:hAnsi="AvantGarde Bk BT" w:cs="Arial"/>
          <w:b/>
          <w:color w:val="000000" w:themeColor="text1"/>
          <w:sz w:val="24"/>
          <w:szCs w:val="24"/>
        </w:rPr>
        <w:t>PODER JUDICIAL DEL ESTADO</w:t>
      </w:r>
      <w:r w:rsidR="00B81424" w:rsidRPr="00CA749B">
        <w:rPr>
          <w:rFonts w:ascii="AvantGarde Bk BT" w:hAnsi="AvantGarde Bk BT" w:cs="Arial"/>
          <w:b/>
          <w:color w:val="000000" w:themeColor="text1"/>
          <w:sz w:val="24"/>
          <w:szCs w:val="24"/>
        </w:rPr>
        <w:t xml:space="preserve"> </w:t>
      </w:r>
      <w:r w:rsidRPr="007C5605">
        <w:rPr>
          <w:rFonts w:ascii="AvantGarde Bk BT" w:hAnsi="AvantGarde Bk BT" w:cs="Arial"/>
          <w:color w:val="000000" w:themeColor="text1"/>
          <w:sz w:val="24"/>
          <w:szCs w:val="24"/>
        </w:rPr>
        <w:t>otorgó contestación</w:t>
      </w:r>
      <w:r w:rsidR="00D531CC" w:rsidRPr="007C5605">
        <w:rPr>
          <w:rFonts w:ascii="AvantGarde Bk BT" w:hAnsi="AvantGarde Bk BT" w:cs="Arial"/>
          <w:color w:val="000000" w:themeColor="text1"/>
          <w:sz w:val="24"/>
          <w:szCs w:val="24"/>
        </w:rPr>
        <w:t xml:space="preserve"> a la solicitud de información</w:t>
      </w:r>
      <w:r w:rsidR="004B04F4">
        <w:rPr>
          <w:rFonts w:ascii="AvantGarde Bk BT" w:hAnsi="AvantGarde Bk BT" w:cs="Arial"/>
          <w:color w:val="000000" w:themeColor="text1"/>
          <w:sz w:val="24"/>
          <w:szCs w:val="24"/>
        </w:rPr>
        <w:t xml:space="preserve"> visible </w:t>
      </w:r>
      <w:r w:rsidR="00D62AB1">
        <w:rPr>
          <w:rFonts w:ascii="AvantGarde Bk BT" w:hAnsi="AvantGarde Bk BT" w:cs="Arial"/>
          <w:color w:val="000000" w:themeColor="text1"/>
          <w:sz w:val="24"/>
          <w:szCs w:val="24"/>
        </w:rPr>
        <w:t>de</w:t>
      </w:r>
      <w:r w:rsidR="004B04F4">
        <w:rPr>
          <w:rFonts w:ascii="AvantGarde Bk BT" w:hAnsi="AvantGarde Bk BT" w:cs="Arial"/>
          <w:color w:val="000000" w:themeColor="text1"/>
          <w:sz w:val="24"/>
          <w:szCs w:val="24"/>
        </w:rPr>
        <w:t xml:space="preserve"> foja </w:t>
      </w:r>
      <w:r w:rsidR="00D62AB1">
        <w:rPr>
          <w:rFonts w:ascii="AvantGarde Bk BT" w:hAnsi="AvantGarde Bk BT" w:cs="Arial"/>
          <w:color w:val="000000" w:themeColor="text1"/>
          <w:sz w:val="24"/>
          <w:szCs w:val="24"/>
        </w:rPr>
        <w:t xml:space="preserve">03 a </w:t>
      </w:r>
      <w:r w:rsidR="00AB29BF">
        <w:rPr>
          <w:rFonts w:ascii="AvantGarde Bk BT" w:hAnsi="AvantGarde Bk BT" w:cs="Arial"/>
          <w:color w:val="000000" w:themeColor="text1"/>
          <w:sz w:val="24"/>
          <w:szCs w:val="24"/>
        </w:rPr>
        <w:t>2</w:t>
      </w:r>
      <w:r w:rsidR="00D62AB1">
        <w:rPr>
          <w:rFonts w:ascii="AvantGarde Bk BT" w:hAnsi="AvantGarde Bk BT" w:cs="Arial"/>
          <w:color w:val="000000" w:themeColor="text1"/>
          <w:sz w:val="24"/>
          <w:szCs w:val="24"/>
        </w:rPr>
        <w:t>7</w:t>
      </w:r>
      <w:r w:rsidR="004B04F4">
        <w:rPr>
          <w:rFonts w:ascii="AvantGarde Bk BT" w:hAnsi="AvantGarde Bk BT" w:cs="Arial"/>
          <w:color w:val="000000" w:themeColor="text1"/>
          <w:sz w:val="24"/>
          <w:szCs w:val="24"/>
        </w:rPr>
        <w:t xml:space="preserve"> de autos</w:t>
      </w:r>
      <w:r w:rsidR="00D62AB1">
        <w:rPr>
          <w:rFonts w:ascii="AvantGarde Bk BT" w:hAnsi="AvantGarde Bk BT" w:cs="Arial"/>
          <w:color w:val="000000" w:themeColor="text1"/>
          <w:sz w:val="24"/>
          <w:szCs w:val="24"/>
        </w:rPr>
        <w:t>.</w:t>
      </w:r>
    </w:p>
    <w:p w14:paraId="3891D13F" w14:textId="77777777" w:rsidR="00D62AB1" w:rsidRDefault="00D62AB1" w:rsidP="00D62AB1">
      <w:pPr>
        <w:pStyle w:val="corte4fondo"/>
        <w:tabs>
          <w:tab w:val="left" w:pos="567"/>
        </w:tabs>
        <w:rPr>
          <w:rFonts w:ascii="AvantGarde Bk BT" w:hAnsi="AvantGarde Bk BT" w:cs="Arial"/>
          <w:color w:val="000000" w:themeColor="text1"/>
          <w:sz w:val="24"/>
          <w:szCs w:val="24"/>
        </w:rPr>
      </w:pPr>
    </w:p>
    <w:p w14:paraId="77F486B8" w14:textId="34CFC752" w:rsidR="005A648D" w:rsidRDefault="00CC35B6" w:rsidP="00D62AB1">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Pr="007C5605">
        <w:rPr>
          <w:rFonts w:ascii="AvantGarde Bk BT" w:hAnsi="AvantGarde Bk BT" w:cs="Arial"/>
          <w:b/>
          <w:color w:val="000000" w:themeColor="text1"/>
          <w:sz w:val="24"/>
          <w:szCs w:val="24"/>
        </w:rPr>
        <w:t>. Interposición del recurso.</w:t>
      </w:r>
      <w:r w:rsidRPr="007C5605">
        <w:rPr>
          <w:rFonts w:ascii="AvantGarde Bk BT" w:hAnsi="AvantGarde Bk BT" w:cs="Arial"/>
          <w:color w:val="000000" w:themeColor="text1"/>
          <w:sz w:val="24"/>
          <w:szCs w:val="24"/>
        </w:rPr>
        <w:t xml:space="preserve"> El </w:t>
      </w:r>
      <w:r w:rsidR="00D62AB1">
        <w:rPr>
          <w:rFonts w:ascii="AvantGarde Bk BT" w:hAnsi="AvantGarde Bk BT" w:cs="Arial"/>
          <w:color w:val="000000" w:themeColor="text1"/>
          <w:sz w:val="24"/>
          <w:szCs w:val="24"/>
        </w:rPr>
        <w:t>02 dos</w:t>
      </w:r>
      <w:r w:rsidR="00C9469D">
        <w:rPr>
          <w:rFonts w:ascii="AvantGarde Bk BT" w:hAnsi="AvantGarde Bk BT" w:cs="Arial"/>
          <w:color w:val="000000" w:themeColor="text1"/>
          <w:sz w:val="24"/>
          <w:szCs w:val="24"/>
        </w:rPr>
        <w:t xml:space="preserve"> de</w:t>
      </w:r>
      <w:r w:rsidR="00D62AB1">
        <w:rPr>
          <w:rFonts w:ascii="AvantGarde Bk BT" w:hAnsi="AvantGarde Bk BT" w:cs="Arial"/>
          <w:color w:val="000000" w:themeColor="text1"/>
          <w:sz w:val="24"/>
          <w:szCs w:val="24"/>
        </w:rPr>
        <w:t xml:space="preserve"> octubre</w:t>
      </w:r>
      <w:r w:rsidR="00366C8D">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 xml:space="preserve">de </w:t>
      </w:r>
      <w:r w:rsidR="00D230E7">
        <w:rPr>
          <w:rFonts w:ascii="AvantGarde Bk BT" w:hAnsi="AvantGarde Bk BT" w:cs="Arial"/>
          <w:color w:val="000000" w:themeColor="text1"/>
          <w:sz w:val="24"/>
          <w:szCs w:val="24"/>
        </w:rPr>
        <w:t>2018 dos mil dieciocho</w:t>
      </w:r>
      <w:r w:rsidRPr="007C5605">
        <w:rPr>
          <w:rFonts w:ascii="AvantGarde Bk BT" w:hAnsi="AvantGarde Bk BT" w:cs="Arial"/>
          <w:color w:val="000000" w:themeColor="text1"/>
          <w:sz w:val="24"/>
          <w:szCs w:val="24"/>
        </w:rPr>
        <w:t xml:space="preserve"> </w:t>
      </w:r>
      <w:r w:rsidR="00E31DED">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solicitante de la información interpuso el recurso de revisión en contra de la </w:t>
      </w:r>
      <w:r w:rsidR="00653626">
        <w:rPr>
          <w:rFonts w:ascii="AvantGarde Bk BT" w:hAnsi="AvantGarde Bk BT" w:cs="Arial"/>
          <w:color w:val="000000" w:themeColor="text1"/>
          <w:sz w:val="24"/>
          <w:szCs w:val="24"/>
        </w:rPr>
        <w:t xml:space="preserve">de </w:t>
      </w:r>
      <w:r w:rsidRPr="007C5605">
        <w:rPr>
          <w:rFonts w:ascii="AvantGarde Bk BT" w:hAnsi="AvantGarde Bk BT" w:cs="Arial"/>
          <w:color w:val="000000" w:themeColor="text1"/>
          <w:sz w:val="24"/>
          <w:szCs w:val="24"/>
        </w:rPr>
        <w:t xml:space="preserve">respuesta </w:t>
      </w:r>
      <w:r w:rsidR="00653626">
        <w:rPr>
          <w:rFonts w:ascii="AvantGarde Bk BT" w:hAnsi="AvantGarde Bk BT" w:cs="Arial"/>
          <w:color w:val="000000" w:themeColor="text1"/>
          <w:sz w:val="24"/>
          <w:szCs w:val="24"/>
        </w:rPr>
        <w:t>a la solicitud</w:t>
      </w:r>
      <w:r w:rsidR="00D62AB1">
        <w:rPr>
          <w:rFonts w:ascii="AvantGarde Bk BT" w:hAnsi="AvantGarde Bk BT" w:cs="Arial"/>
          <w:color w:val="000000" w:themeColor="text1"/>
          <w:sz w:val="24"/>
          <w:szCs w:val="24"/>
        </w:rPr>
        <w:t>.</w:t>
      </w:r>
      <w:r w:rsidR="005A648D">
        <w:rPr>
          <w:rFonts w:ascii="AvantGarde Bk BT" w:hAnsi="AvantGarde Bk BT" w:cs="Arial"/>
          <w:color w:val="000000" w:themeColor="text1"/>
          <w:sz w:val="24"/>
          <w:szCs w:val="24"/>
        </w:rPr>
        <w:t xml:space="preserve"> (Visible a foja 01 uno de autos).</w:t>
      </w:r>
    </w:p>
    <w:p w14:paraId="7AE12FA9" w14:textId="77777777" w:rsidR="00CC35B6" w:rsidRPr="0092495A" w:rsidRDefault="00CC35B6" w:rsidP="00CC35B6">
      <w:pPr>
        <w:pStyle w:val="corte4fondo"/>
        <w:tabs>
          <w:tab w:val="left" w:pos="567"/>
        </w:tabs>
        <w:ind w:firstLine="0"/>
        <w:rPr>
          <w:rFonts w:ascii="AvantGarde Bk BT" w:hAnsi="AvantGarde Bk BT" w:cs="Arial"/>
          <w:color w:val="000000" w:themeColor="text1"/>
          <w:sz w:val="24"/>
          <w:szCs w:val="24"/>
        </w:rPr>
      </w:pPr>
    </w:p>
    <w:p w14:paraId="2BEE591C" w14:textId="6F39A8AE"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Trámite del recurso de revisión ante esta Comisión Estatal de Garantía de Acceso a la Información Pública.</w:t>
      </w:r>
      <w:r w:rsidRPr="007C5605">
        <w:rPr>
          <w:rFonts w:ascii="AvantGarde Bk BT" w:hAnsi="AvantGarde Bk BT" w:cs="Arial"/>
          <w:color w:val="000000" w:themeColor="text1"/>
          <w:sz w:val="24"/>
          <w:szCs w:val="24"/>
        </w:rPr>
        <w:t xml:space="preserve"> Mediante auto del </w:t>
      </w:r>
      <w:r w:rsidR="00D62AB1">
        <w:rPr>
          <w:rFonts w:ascii="AvantGarde Bk BT" w:hAnsi="AvantGarde Bk BT" w:cs="Arial"/>
          <w:color w:val="000000" w:themeColor="text1"/>
          <w:sz w:val="24"/>
          <w:szCs w:val="24"/>
        </w:rPr>
        <w:t>08 ocho</w:t>
      </w:r>
      <w:r w:rsidR="003D5937">
        <w:rPr>
          <w:rFonts w:ascii="AvantGarde Bk BT" w:hAnsi="AvantGarde Bk BT" w:cs="Arial"/>
          <w:color w:val="000000" w:themeColor="text1"/>
          <w:sz w:val="24"/>
          <w:szCs w:val="24"/>
        </w:rPr>
        <w:t xml:space="preserve"> de </w:t>
      </w:r>
      <w:r w:rsidR="00D62AB1">
        <w:rPr>
          <w:rFonts w:ascii="AvantGarde Bk BT" w:hAnsi="AvantGarde Bk BT" w:cs="Arial"/>
          <w:color w:val="000000" w:themeColor="text1"/>
          <w:sz w:val="24"/>
          <w:szCs w:val="24"/>
        </w:rPr>
        <w:t xml:space="preserve">octubre </w:t>
      </w:r>
      <w:r w:rsidR="00D230E7">
        <w:rPr>
          <w:rFonts w:ascii="AvantGarde Bk BT" w:hAnsi="AvantGarde Bk BT" w:cs="Arial"/>
          <w:color w:val="000000" w:themeColor="text1"/>
          <w:sz w:val="24"/>
          <w:szCs w:val="24"/>
        </w:rPr>
        <w:t xml:space="preserve">de 2018 </w:t>
      </w:r>
      <w:r w:rsidR="00D230E7">
        <w:rPr>
          <w:rFonts w:ascii="AvantGarde Bk BT" w:hAnsi="AvantGarde Bk BT" w:cs="Arial"/>
          <w:color w:val="000000" w:themeColor="text1"/>
          <w:sz w:val="24"/>
          <w:szCs w:val="24"/>
        </w:rPr>
        <w:lastRenderedPageBreak/>
        <w:t>dos mil dieciocho</w:t>
      </w:r>
      <w:r w:rsidRPr="007C5605">
        <w:rPr>
          <w:rFonts w:ascii="AvantGarde Bk BT" w:hAnsi="AvantGarde Bk BT" w:cs="Arial"/>
          <w:color w:val="000000" w:themeColor="text1"/>
          <w:sz w:val="24"/>
          <w:szCs w:val="24"/>
        </w:rPr>
        <w:t xml:space="preserve"> la presidencia de esta Comisión de Transparencia tuvo por recibido el recurso de revisión, que por razón de turno, tocó conocer a la ponencia del Maestro Alejandro Lafuente Torres para que procediera, previo su análisis, a su admisión o </w:t>
      </w:r>
      <w:proofErr w:type="spellStart"/>
      <w:r w:rsidRPr="007C5605">
        <w:rPr>
          <w:rFonts w:ascii="AvantGarde Bk BT" w:hAnsi="AvantGarde Bk BT" w:cs="Arial"/>
          <w:color w:val="000000" w:themeColor="text1"/>
          <w:sz w:val="24"/>
          <w:szCs w:val="24"/>
        </w:rPr>
        <w:t>desechamiento</w:t>
      </w:r>
      <w:proofErr w:type="spellEnd"/>
      <w:r w:rsidRPr="007C5605">
        <w:rPr>
          <w:rFonts w:ascii="AvantGarde Bk BT" w:hAnsi="AvantGarde Bk BT" w:cs="Arial"/>
          <w:color w:val="000000" w:themeColor="text1"/>
          <w:sz w:val="24"/>
          <w:szCs w:val="24"/>
        </w:rPr>
        <w:t xml:space="preserve"> según fuera el caso.</w:t>
      </w:r>
    </w:p>
    <w:p w14:paraId="71DD649B" w14:textId="77777777"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14:paraId="55697B8E" w14:textId="1543AA1C"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QUINTO</w:t>
      </w:r>
      <w:r w:rsidRPr="007C5605">
        <w:rPr>
          <w:rFonts w:ascii="AvantGarde Bk BT" w:hAnsi="AvantGarde Bk BT" w:cs="Arial"/>
          <w:b/>
          <w:color w:val="000000" w:themeColor="text1"/>
          <w:sz w:val="24"/>
          <w:szCs w:val="24"/>
        </w:rPr>
        <w:t xml:space="preserve">. Auto de </w:t>
      </w:r>
      <w:r>
        <w:rPr>
          <w:rFonts w:ascii="AvantGarde Bk BT" w:hAnsi="AvantGarde Bk BT" w:cs="Arial"/>
          <w:b/>
          <w:color w:val="000000" w:themeColor="text1"/>
          <w:sz w:val="24"/>
          <w:szCs w:val="24"/>
        </w:rPr>
        <w:t>admisión</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Por proveído del </w:t>
      </w:r>
      <w:r w:rsidR="00D62AB1">
        <w:rPr>
          <w:rFonts w:ascii="AvantGarde Bk BT" w:hAnsi="AvantGarde Bk BT" w:cs="Arial"/>
          <w:color w:val="000000" w:themeColor="text1"/>
          <w:sz w:val="24"/>
          <w:szCs w:val="24"/>
        </w:rPr>
        <w:t>09 nueve de octubre</w:t>
      </w:r>
      <w:r w:rsidR="00D230E7">
        <w:rPr>
          <w:rFonts w:ascii="AvantGarde Bk BT" w:hAnsi="AvantGarde Bk BT" w:cs="Arial"/>
          <w:color w:val="000000" w:themeColor="text1"/>
          <w:sz w:val="24"/>
          <w:szCs w:val="24"/>
        </w:rPr>
        <w:t xml:space="preserve"> de 2018 dos mil dieciocho</w:t>
      </w:r>
      <w:r w:rsidRPr="007C5605">
        <w:rPr>
          <w:rFonts w:ascii="AvantGarde Bk BT" w:hAnsi="AvantGarde Bk BT" w:cs="Arial"/>
          <w:color w:val="000000" w:themeColor="text1"/>
          <w:sz w:val="24"/>
          <w:szCs w:val="24"/>
        </w:rPr>
        <w:t xml:space="preserve"> el Comisionado Ponente:</w:t>
      </w:r>
    </w:p>
    <w:p w14:paraId="4AB5CA21" w14:textId="77777777"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14:paraId="3B184222" w14:textId="04B441CE"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Admitió en tiempo </w:t>
      </w:r>
      <w:r w:rsidR="00FF46AB">
        <w:rPr>
          <w:rFonts w:ascii="AvantGarde Bk BT" w:hAnsi="AvantGarde Bk BT" w:cs="Arial"/>
          <w:color w:val="000000" w:themeColor="text1"/>
          <w:sz w:val="24"/>
          <w:szCs w:val="24"/>
        </w:rPr>
        <w:t>y forma el medio de impugnación en atención a la</w:t>
      </w:r>
      <w:r w:rsidR="00D62AB1">
        <w:rPr>
          <w:rFonts w:ascii="AvantGarde Bk BT" w:hAnsi="AvantGarde Bk BT" w:cs="Arial"/>
          <w:color w:val="000000" w:themeColor="text1"/>
          <w:sz w:val="24"/>
          <w:szCs w:val="24"/>
        </w:rPr>
        <w:t>s</w:t>
      </w:r>
      <w:r w:rsidR="00FF46AB">
        <w:rPr>
          <w:rFonts w:ascii="AvantGarde Bk BT" w:hAnsi="AvantGarde Bk BT" w:cs="Arial"/>
          <w:color w:val="000000" w:themeColor="text1"/>
          <w:sz w:val="24"/>
          <w:szCs w:val="24"/>
        </w:rPr>
        <w:t xml:space="preserve"> hipótesis estable</w:t>
      </w:r>
      <w:r w:rsidR="00717599">
        <w:rPr>
          <w:rFonts w:ascii="AvantGarde Bk BT" w:hAnsi="AvantGarde Bk BT" w:cs="Arial"/>
          <w:color w:val="000000" w:themeColor="text1"/>
          <w:sz w:val="24"/>
          <w:szCs w:val="24"/>
        </w:rPr>
        <w:t>cida</w:t>
      </w:r>
      <w:r w:rsidR="00D62AB1">
        <w:rPr>
          <w:rFonts w:ascii="AvantGarde Bk BT" w:hAnsi="AvantGarde Bk BT" w:cs="Arial"/>
          <w:color w:val="000000" w:themeColor="text1"/>
          <w:sz w:val="24"/>
          <w:szCs w:val="24"/>
        </w:rPr>
        <w:t>s</w:t>
      </w:r>
      <w:r w:rsidR="00717599">
        <w:rPr>
          <w:rFonts w:ascii="AvantGarde Bk BT" w:hAnsi="AvantGarde Bk BT" w:cs="Arial"/>
          <w:color w:val="000000" w:themeColor="text1"/>
          <w:sz w:val="24"/>
          <w:szCs w:val="24"/>
        </w:rPr>
        <w:t xml:space="preserve"> en la fracci</w:t>
      </w:r>
      <w:r w:rsidR="00D62AB1">
        <w:rPr>
          <w:rFonts w:ascii="AvantGarde Bk BT" w:hAnsi="AvantGarde Bk BT" w:cs="Arial"/>
          <w:color w:val="000000" w:themeColor="text1"/>
          <w:sz w:val="24"/>
          <w:szCs w:val="24"/>
        </w:rPr>
        <w:t>ones I</w:t>
      </w:r>
      <w:r w:rsidR="00AB29BF">
        <w:rPr>
          <w:rFonts w:ascii="AvantGarde Bk BT" w:hAnsi="AvantGarde Bk BT" w:cs="Arial"/>
          <w:color w:val="000000" w:themeColor="text1"/>
          <w:sz w:val="24"/>
          <w:szCs w:val="24"/>
        </w:rPr>
        <w:t>I</w:t>
      </w:r>
      <w:r w:rsidR="00D62AB1">
        <w:rPr>
          <w:rFonts w:ascii="AvantGarde Bk BT" w:hAnsi="AvantGarde Bk BT" w:cs="Arial"/>
          <w:color w:val="000000" w:themeColor="text1"/>
          <w:sz w:val="24"/>
          <w:szCs w:val="24"/>
        </w:rPr>
        <w:t xml:space="preserve"> y </w:t>
      </w:r>
      <w:r w:rsidR="00BD7074">
        <w:rPr>
          <w:rFonts w:ascii="AvantGarde Bk BT" w:hAnsi="AvantGarde Bk BT" w:cs="Arial"/>
          <w:color w:val="000000" w:themeColor="text1"/>
          <w:sz w:val="24"/>
          <w:szCs w:val="24"/>
        </w:rPr>
        <w:t>V</w:t>
      </w:r>
      <w:r w:rsidR="00FF46AB">
        <w:rPr>
          <w:rFonts w:ascii="AvantGarde Bk BT" w:hAnsi="AvantGarde Bk BT" w:cs="Arial"/>
          <w:color w:val="000000" w:themeColor="text1"/>
          <w:sz w:val="24"/>
          <w:szCs w:val="24"/>
        </w:rPr>
        <w:t xml:space="preserve"> del artículo 167 de la Ley de la materia.</w:t>
      </w:r>
    </w:p>
    <w:p w14:paraId="2CADECA4" w14:textId="34B871C6" w:rsidR="00CC35B6" w:rsidRPr="00BF7B76" w:rsidRDefault="00CC35B6" w:rsidP="00CC35B6">
      <w:pPr>
        <w:pStyle w:val="corte4fondo"/>
        <w:tabs>
          <w:tab w:val="left" w:pos="567"/>
        </w:tabs>
        <w:ind w:left="680" w:firstLine="0"/>
        <w:rPr>
          <w:rFonts w:ascii="AvantGarde Bk BT" w:hAnsi="AvantGarde Bk BT" w:cs="Arial"/>
          <w:b/>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 xml:space="preserve">El ponente registró en el Libro de Gobierno el presente expediente como </w:t>
      </w:r>
      <w:r>
        <w:rPr>
          <w:rFonts w:ascii="AvantGarde Bk BT" w:hAnsi="AvantGarde Bk BT" w:cs="Arial"/>
          <w:color w:val="000000" w:themeColor="text1"/>
          <w:sz w:val="24"/>
          <w:szCs w:val="24"/>
        </w:rPr>
        <w:t xml:space="preserve">recurso de revisión </w:t>
      </w:r>
      <w:r w:rsidRPr="00BF7B76">
        <w:rPr>
          <w:rFonts w:ascii="AvantGarde Bk BT" w:hAnsi="AvantGarde Bk BT" w:cs="Arial"/>
          <w:b/>
          <w:color w:val="000000" w:themeColor="text1"/>
          <w:sz w:val="24"/>
          <w:szCs w:val="24"/>
        </w:rPr>
        <w:t>RR-</w:t>
      </w:r>
      <w:r w:rsidR="00D62AB1">
        <w:rPr>
          <w:rFonts w:ascii="AvantGarde Bk BT" w:hAnsi="AvantGarde Bk BT" w:cs="Arial"/>
          <w:b/>
          <w:color w:val="000000" w:themeColor="text1"/>
          <w:sz w:val="24"/>
          <w:szCs w:val="24"/>
        </w:rPr>
        <w:t>77</w:t>
      </w:r>
      <w:r w:rsidR="00AB29BF">
        <w:rPr>
          <w:rFonts w:ascii="AvantGarde Bk BT" w:hAnsi="AvantGarde Bk BT" w:cs="Arial"/>
          <w:b/>
          <w:color w:val="000000" w:themeColor="text1"/>
          <w:sz w:val="24"/>
          <w:szCs w:val="24"/>
        </w:rPr>
        <w:t>8</w:t>
      </w:r>
      <w:r w:rsidR="0060124B">
        <w:rPr>
          <w:rFonts w:ascii="AvantGarde Bk BT" w:hAnsi="AvantGarde Bk BT" w:cs="Arial"/>
          <w:b/>
          <w:color w:val="000000" w:themeColor="text1"/>
          <w:sz w:val="24"/>
          <w:szCs w:val="24"/>
        </w:rPr>
        <w:t>/</w:t>
      </w:r>
      <w:r w:rsidR="00CD570B">
        <w:rPr>
          <w:rFonts w:ascii="AvantGarde Bk BT" w:hAnsi="AvantGarde Bk BT" w:cs="Arial"/>
          <w:b/>
          <w:color w:val="000000" w:themeColor="text1"/>
          <w:sz w:val="24"/>
          <w:szCs w:val="24"/>
        </w:rPr>
        <w:t>201</w:t>
      </w:r>
      <w:r w:rsidR="00D230E7">
        <w:rPr>
          <w:rFonts w:ascii="AvantGarde Bk BT" w:hAnsi="AvantGarde Bk BT" w:cs="Arial"/>
          <w:b/>
          <w:color w:val="000000" w:themeColor="text1"/>
          <w:sz w:val="24"/>
          <w:szCs w:val="24"/>
        </w:rPr>
        <w:t>8</w:t>
      </w:r>
      <w:r w:rsidR="00CD570B">
        <w:rPr>
          <w:rFonts w:ascii="AvantGarde Bk BT" w:hAnsi="AvantGarde Bk BT" w:cs="Arial"/>
          <w:b/>
          <w:color w:val="000000" w:themeColor="text1"/>
          <w:sz w:val="24"/>
          <w:szCs w:val="24"/>
        </w:rPr>
        <w:t>-1</w:t>
      </w:r>
      <w:r w:rsidR="00FC1B8C">
        <w:rPr>
          <w:rFonts w:ascii="AvantGarde Bk BT" w:hAnsi="AvantGarde Bk BT" w:cs="Arial"/>
          <w:b/>
          <w:color w:val="000000" w:themeColor="text1"/>
          <w:sz w:val="24"/>
          <w:szCs w:val="24"/>
        </w:rPr>
        <w:t xml:space="preserve"> </w:t>
      </w:r>
      <w:r w:rsidR="007D5084">
        <w:rPr>
          <w:rFonts w:ascii="AvantGarde Bk BT" w:hAnsi="AvantGarde Bk BT" w:cs="Arial"/>
          <w:b/>
          <w:color w:val="000000" w:themeColor="text1"/>
          <w:sz w:val="24"/>
          <w:szCs w:val="24"/>
        </w:rPr>
        <w:t>PLATAFORMA</w:t>
      </w:r>
      <w:r w:rsidRPr="00BF7B76">
        <w:rPr>
          <w:rFonts w:ascii="AvantGarde Bk BT" w:hAnsi="AvantGarde Bk BT" w:cs="Arial"/>
          <w:b/>
          <w:color w:val="000000" w:themeColor="text1"/>
          <w:sz w:val="24"/>
          <w:szCs w:val="24"/>
        </w:rPr>
        <w:t>.</w:t>
      </w:r>
    </w:p>
    <w:p w14:paraId="275C24B3" w14:textId="77777777"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Tuvo como ente obligado</w:t>
      </w:r>
      <w:r w:rsidRPr="007C5605">
        <w:rPr>
          <w:rFonts w:ascii="AvantGarde Bk BT" w:hAnsi="AvantGarde Bk BT" w:cs="Arial"/>
          <w:color w:val="000000" w:themeColor="text1"/>
          <w:sz w:val="24"/>
          <w:szCs w:val="24"/>
        </w:rPr>
        <w:t xml:space="preserve"> </w:t>
      </w:r>
      <w:r w:rsidR="005A266C">
        <w:rPr>
          <w:rFonts w:ascii="AvantGarde Bk BT" w:hAnsi="AvantGarde Bk BT" w:cs="Arial"/>
          <w:color w:val="000000" w:themeColor="text1"/>
          <w:sz w:val="24"/>
          <w:szCs w:val="24"/>
        </w:rPr>
        <w:t>al</w:t>
      </w:r>
      <w:r w:rsidRPr="007C5605">
        <w:rPr>
          <w:rFonts w:ascii="AvantGarde Bk BT" w:hAnsi="AvantGarde Bk BT" w:cs="Arial"/>
          <w:color w:val="000000" w:themeColor="text1"/>
          <w:sz w:val="24"/>
          <w:szCs w:val="24"/>
        </w:rPr>
        <w:t xml:space="preserve"> </w:t>
      </w:r>
      <w:r w:rsidR="005A266C">
        <w:rPr>
          <w:rFonts w:ascii="AvantGarde Bk BT" w:hAnsi="AvantGarde Bk BT" w:cs="Arial"/>
          <w:b/>
          <w:color w:val="000000" w:themeColor="text1"/>
          <w:sz w:val="24"/>
          <w:szCs w:val="24"/>
        </w:rPr>
        <w:t>PODER JUDICIAL DEL ESTADO</w:t>
      </w:r>
      <w:r w:rsidR="00D230E7" w:rsidRPr="00D230E7">
        <w:rPr>
          <w:rFonts w:ascii="AvantGarde Bk BT" w:hAnsi="AvantGarde Bk BT" w:cs="Arial"/>
          <w:b/>
          <w:color w:val="000000" w:themeColor="text1"/>
          <w:sz w:val="24"/>
          <w:szCs w:val="24"/>
        </w:rPr>
        <w:t xml:space="preserve">, </w:t>
      </w:r>
      <w:r w:rsidR="002C7FD6" w:rsidRPr="00D230E7">
        <w:rPr>
          <w:rFonts w:ascii="AvantGarde Bk BT" w:hAnsi="AvantGarde Bk BT" w:cs="Arial"/>
          <w:b/>
          <w:color w:val="000000" w:themeColor="text1"/>
          <w:sz w:val="24"/>
          <w:szCs w:val="24"/>
        </w:rPr>
        <w:t xml:space="preserve">por conducto de </w:t>
      </w:r>
      <w:r w:rsidR="00FC1B8C">
        <w:rPr>
          <w:rFonts w:ascii="AvantGarde Bk BT" w:hAnsi="AvantGarde Bk BT" w:cs="Arial"/>
          <w:b/>
          <w:color w:val="000000" w:themeColor="text1"/>
          <w:sz w:val="24"/>
          <w:szCs w:val="24"/>
        </w:rPr>
        <w:t>su TITULAR</w:t>
      </w:r>
      <w:r w:rsidR="00717216">
        <w:rPr>
          <w:rFonts w:ascii="AvantGarde Bk BT" w:hAnsi="AvantGarde Bk BT" w:cs="Arial"/>
          <w:b/>
          <w:color w:val="000000" w:themeColor="text1"/>
          <w:sz w:val="24"/>
          <w:szCs w:val="24"/>
        </w:rPr>
        <w:t xml:space="preserve"> y</w:t>
      </w:r>
      <w:r w:rsidR="00717216">
        <w:rPr>
          <w:rFonts w:ascii="AvantGarde Bk BT" w:hAnsi="AvantGarde Bk BT" w:cs="Arial"/>
          <w:color w:val="000000" w:themeColor="text1"/>
          <w:sz w:val="24"/>
          <w:szCs w:val="24"/>
        </w:rPr>
        <w:t xml:space="preserve"> </w:t>
      </w:r>
      <w:r w:rsidR="00FC1B8C">
        <w:rPr>
          <w:rFonts w:ascii="AvantGarde Bk BT" w:hAnsi="AvantGarde Bk BT" w:cs="Arial"/>
          <w:b/>
          <w:color w:val="000000" w:themeColor="text1"/>
          <w:sz w:val="24"/>
          <w:szCs w:val="24"/>
        </w:rPr>
        <w:t>del</w:t>
      </w:r>
      <w:r w:rsidR="004407B8">
        <w:rPr>
          <w:rFonts w:ascii="AvantGarde Bk BT" w:hAnsi="AvantGarde Bk BT" w:cs="Arial"/>
          <w:b/>
          <w:color w:val="000000" w:themeColor="text1"/>
          <w:sz w:val="24"/>
          <w:szCs w:val="24"/>
        </w:rPr>
        <w:t xml:space="preserve"> </w:t>
      </w:r>
      <w:r>
        <w:rPr>
          <w:rFonts w:ascii="AvantGarde Bk BT" w:hAnsi="AvantGarde Bk BT" w:cs="Arial"/>
          <w:b/>
          <w:color w:val="000000" w:themeColor="text1"/>
          <w:sz w:val="24"/>
          <w:szCs w:val="24"/>
        </w:rPr>
        <w:t xml:space="preserve">TITULAR </w:t>
      </w:r>
      <w:r w:rsidRPr="007C5605">
        <w:rPr>
          <w:rFonts w:ascii="AvantGarde Bk BT" w:hAnsi="AvantGarde Bk BT" w:cs="Arial"/>
          <w:b/>
          <w:color w:val="000000" w:themeColor="text1"/>
          <w:sz w:val="24"/>
          <w:szCs w:val="24"/>
        </w:rPr>
        <w:t>DE LA UNIDAD DE TRANSPARENCI</w:t>
      </w:r>
      <w:r w:rsidR="002C7FD6">
        <w:rPr>
          <w:rFonts w:ascii="AvantGarde Bk BT" w:hAnsi="AvantGarde Bk BT" w:cs="Arial"/>
          <w:b/>
          <w:color w:val="000000" w:themeColor="text1"/>
          <w:sz w:val="24"/>
          <w:szCs w:val="24"/>
        </w:rPr>
        <w:t>A.</w:t>
      </w:r>
      <w:r w:rsidR="00D230E7">
        <w:rPr>
          <w:rFonts w:ascii="AvantGarde Bk BT" w:hAnsi="AvantGarde Bk BT" w:cs="Arial"/>
          <w:b/>
          <w:color w:val="000000" w:themeColor="text1"/>
          <w:sz w:val="24"/>
          <w:szCs w:val="24"/>
        </w:rPr>
        <w:t xml:space="preserve"> </w:t>
      </w:r>
    </w:p>
    <w:p w14:paraId="14F8A7B2" w14:textId="77777777" w:rsidR="005A2679" w:rsidRDefault="00CC35B6" w:rsidP="005A267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Se puso a disposición de las partes el expediente para que en un plazo máximo de 7 siete días manifestaran lo que a su derecho convinie</w:t>
      </w:r>
      <w:r w:rsidR="00774B90">
        <w:rPr>
          <w:rFonts w:ascii="AvantGarde Bk BT" w:hAnsi="AvantGarde Bk BT" w:cs="Arial"/>
          <w:color w:val="000000" w:themeColor="text1"/>
          <w:sz w:val="24"/>
          <w:szCs w:val="24"/>
        </w:rPr>
        <w:t xml:space="preserve">ra –ofrecer pruebas, </w:t>
      </w:r>
      <w:r>
        <w:rPr>
          <w:rFonts w:ascii="AvantGarde Bk BT" w:hAnsi="AvantGarde Bk BT" w:cs="Arial"/>
          <w:color w:val="000000" w:themeColor="text1"/>
          <w:sz w:val="24"/>
          <w:szCs w:val="24"/>
        </w:rPr>
        <w:t>alegar</w:t>
      </w:r>
      <w:r w:rsidR="005A2679">
        <w:rPr>
          <w:rFonts w:ascii="AvantGarde Bk BT" w:hAnsi="AvantGarde Bk BT" w:cs="Arial"/>
          <w:color w:val="000000" w:themeColor="text1"/>
          <w:sz w:val="24"/>
          <w:szCs w:val="24"/>
        </w:rPr>
        <w:t xml:space="preserve"> y para que rindiera un informe acerca de la información solicitada en cuanto a:</w:t>
      </w:r>
    </w:p>
    <w:p w14:paraId="224601C7" w14:textId="77777777"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Su contenido, calidad y si se cuenta en la modalidad solicitada.</w:t>
      </w:r>
    </w:p>
    <w:p w14:paraId="72BEE5EA" w14:textId="77777777"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encuentra en sus archivos.</w:t>
      </w:r>
    </w:p>
    <w:p w14:paraId="20872BCF" w14:textId="77777777"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tiene la obligación de generar, o si la obtuvo; y para el caso que manifieste no contar con la obligación de generarla o poseerla, fundar y motivar las circunstancias que lo acrediten.</w:t>
      </w:r>
    </w:p>
    <w:p w14:paraId="7CA869F4" w14:textId="77777777"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Las características físicas de los documentos en los que conta la información.</w:t>
      </w:r>
    </w:p>
    <w:p w14:paraId="63F5B9F6" w14:textId="77777777" w:rsidR="00CC35B6" w:rsidRPr="00774B90" w:rsidRDefault="005A2679" w:rsidP="00774B90">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actualiza algún supuesto de excepción de derecho de acceso a la información.</w:t>
      </w:r>
    </w:p>
    <w:p w14:paraId="64EC0A2D" w14:textId="77777777"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A</w:t>
      </w:r>
      <w:r w:rsidRPr="007C5605">
        <w:rPr>
          <w:rFonts w:ascii="AvantGarde Bk BT" w:hAnsi="AvantGarde Bk BT" w:cs="Arial"/>
          <w:color w:val="000000" w:themeColor="text1"/>
          <w:sz w:val="24"/>
          <w:szCs w:val="24"/>
        </w:rPr>
        <w:t xml:space="preserve">percibió a las autoridades de que en caso de ser omisas para manifestar lo que a su derecho conviniera respecto del presente recurso se aplicarían en su </w:t>
      </w:r>
      <w:r w:rsidRPr="007C5605">
        <w:rPr>
          <w:rFonts w:ascii="AvantGarde Bk BT" w:hAnsi="AvantGarde Bk BT" w:cs="Arial"/>
          <w:color w:val="000000" w:themeColor="text1"/>
          <w:sz w:val="24"/>
          <w:szCs w:val="24"/>
        </w:rPr>
        <w:lastRenderedPageBreak/>
        <w:t>contra las medidas de apremio previstas en el artículo 190, fracción I, de la Ley de Transparencia y Acceso a la Información Pública del Estado.</w:t>
      </w:r>
    </w:p>
    <w:p w14:paraId="4E4F4B32" w14:textId="77777777"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O</w:t>
      </w:r>
      <w:r w:rsidRPr="007C5605">
        <w:rPr>
          <w:rFonts w:ascii="AvantGarde Bk BT" w:hAnsi="AvantGarde Bk BT" w:cs="Arial"/>
          <w:color w:val="000000" w:themeColor="text1"/>
          <w:sz w:val="24"/>
          <w:szCs w:val="24"/>
        </w:rPr>
        <w:t>rdenó el traslado a las autoridades con la copia simple del recurso de re</w:t>
      </w:r>
      <w:r>
        <w:rPr>
          <w:rFonts w:ascii="AvantGarde Bk BT" w:hAnsi="AvantGarde Bk BT" w:cs="Arial"/>
          <w:color w:val="000000" w:themeColor="text1"/>
          <w:sz w:val="24"/>
          <w:szCs w:val="24"/>
        </w:rPr>
        <w:t xml:space="preserve">visión; las requirió </w:t>
      </w:r>
      <w:r w:rsidRPr="007C5605">
        <w:rPr>
          <w:rFonts w:ascii="AvantGarde Bk BT" w:hAnsi="AvantGarde Bk BT" w:cs="Arial"/>
          <w:color w:val="000000" w:themeColor="text1"/>
          <w:sz w:val="24"/>
          <w:szCs w:val="24"/>
        </w:rPr>
        <w:t xml:space="preserve">para </w:t>
      </w:r>
      <w:r>
        <w:rPr>
          <w:rFonts w:ascii="AvantGarde Bk BT" w:hAnsi="AvantGarde Bk BT" w:cs="Arial"/>
          <w:color w:val="000000" w:themeColor="text1"/>
          <w:sz w:val="24"/>
          <w:szCs w:val="24"/>
        </w:rPr>
        <w:t xml:space="preserve">que </w:t>
      </w:r>
      <w:r w:rsidRPr="007C5605">
        <w:rPr>
          <w:rFonts w:ascii="AvantGarde Bk BT" w:hAnsi="AvantGarde Bk BT" w:cs="Arial"/>
          <w:color w:val="000000" w:themeColor="text1"/>
          <w:sz w:val="24"/>
          <w:szCs w:val="24"/>
        </w:rPr>
        <w:t>remitieran copia certificada del nombramiento que los acreditara como tales; para que señalaran personas y domicilio para oír y recibir notificaciones en esta ciudad y se les informó que una vez que fuera decretado el cierre de instrucción no se atendería la información que fuese enviada.</w:t>
      </w:r>
    </w:p>
    <w:p w14:paraId="530497C0" w14:textId="77777777" w:rsidR="00CC35B6" w:rsidRPr="007C5605" w:rsidRDefault="00CC0E73" w:rsidP="00CC35B6">
      <w:pPr>
        <w:pStyle w:val="corte4fondo"/>
        <w:tabs>
          <w:tab w:val="left" w:pos="567"/>
        </w:tabs>
        <w:ind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 </w:t>
      </w:r>
    </w:p>
    <w:p w14:paraId="723E91BD" w14:textId="20D47BA2" w:rsidR="00CC0E73" w:rsidRDefault="00CC35B6" w:rsidP="00CC35B6">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SEXTO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Rendición del informe de</w:t>
      </w:r>
      <w:r>
        <w:rPr>
          <w:rFonts w:ascii="AvantGarde Bk BT" w:hAnsi="AvantGarde Bk BT" w:cs="Arial"/>
          <w:b/>
          <w:color w:val="000000" w:themeColor="text1"/>
          <w:sz w:val="24"/>
          <w:szCs w:val="24"/>
        </w:rPr>
        <w:t>l sujeto obligado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Mediante el auto de</w:t>
      </w:r>
      <w:r w:rsidR="00CC0E73">
        <w:rPr>
          <w:rFonts w:ascii="AvantGarde Bk BT" w:hAnsi="AvantGarde Bk BT" w:cs="Arial"/>
          <w:color w:val="000000" w:themeColor="text1"/>
          <w:sz w:val="24"/>
          <w:szCs w:val="24"/>
        </w:rPr>
        <w:t xml:space="preserve">l </w:t>
      </w:r>
      <w:r w:rsidR="00354E5A">
        <w:rPr>
          <w:rFonts w:ascii="AvantGarde Bk BT" w:hAnsi="AvantGarde Bk BT" w:cs="Arial"/>
          <w:color w:val="000000" w:themeColor="text1"/>
          <w:sz w:val="24"/>
          <w:szCs w:val="24"/>
        </w:rPr>
        <w:t>30 treinta de octubre</w:t>
      </w:r>
      <w:r w:rsidR="005D675B">
        <w:rPr>
          <w:rFonts w:ascii="AvantGarde Bk BT" w:hAnsi="AvantGarde Bk BT" w:cs="Arial"/>
          <w:color w:val="000000" w:themeColor="text1"/>
          <w:sz w:val="24"/>
          <w:szCs w:val="24"/>
        </w:rPr>
        <w:t xml:space="preserve"> de 2018 dos mil dieciocho</w:t>
      </w:r>
      <w:r w:rsidR="00CC0E73">
        <w:rPr>
          <w:rFonts w:ascii="AvantGarde Bk BT" w:hAnsi="AvantGarde Bk BT" w:cs="Arial"/>
          <w:color w:val="000000" w:themeColor="text1"/>
          <w:sz w:val="24"/>
          <w:szCs w:val="24"/>
        </w:rPr>
        <w:t xml:space="preserve"> el ponente:</w:t>
      </w:r>
    </w:p>
    <w:p w14:paraId="6569FC90" w14:textId="77777777" w:rsidR="00CC0E73" w:rsidRDefault="00CC0E73" w:rsidP="00CC35B6">
      <w:pPr>
        <w:pStyle w:val="corte4fondo"/>
        <w:tabs>
          <w:tab w:val="left" w:pos="567"/>
        </w:tabs>
        <w:rPr>
          <w:rFonts w:ascii="AvantGarde Bk BT" w:hAnsi="AvantGarde Bk BT" w:cs="Arial"/>
          <w:color w:val="000000" w:themeColor="text1"/>
          <w:sz w:val="24"/>
          <w:szCs w:val="24"/>
        </w:rPr>
      </w:pPr>
    </w:p>
    <w:p w14:paraId="2E0B18B9" w14:textId="646719AB" w:rsidR="0060124B" w:rsidRPr="0008758B" w:rsidRDefault="00CC0E73" w:rsidP="0008758B">
      <w:pPr>
        <w:pStyle w:val="corte4fondo"/>
        <w:numPr>
          <w:ilvl w:val="0"/>
          <w:numId w:val="19"/>
        </w:numPr>
        <w:tabs>
          <w:tab w:val="left" w:pos="567"/>
        </w:tabs>
        <w:rPr>
          <w:rFonts w:ascii="AvantGarde Bk BT" w:hAnsi="AvantGarde Bk BT" w:cs="Arial"/>
          <w:color w:val="000000" w:themeColor="text1"/>
          <w:sz w:val="24"/>
          <w:szCs w:val="24"/>
        </w:rPr>
      </w:pPr>
      <w:r w:rsidRPr="0060124B">
        <w:rPr>
          <w:rFonts w:ascii="AvantGarde Bk BT" w:hAnsi="AvantGarde Bk BT" w:cs="Arial"/>
          <w:color w:val="000000" w:themeColor="text1"/>
          <w:sz w:val="24"/>
          <w:szCs w:val="24"/>
        </w:rPr>
        <w:t xml:space="preserve">Tuvo por </w:t>
      </w:r>
      <w:proofErr w:type="gramStart"/>
      <w:r w:rsidRPr="0060124B">
        <w:rPr>
          <w:rFonts w:ascii="AvantGarde Bk BT" w:hAnsi="AvantGarde Bk BT" w:cs="Arial"/>
          <w:color w:val="000000" w:themeColor="text1"/>
          <w:sz w:val="24"/>
          <w:szCs w:val="24"/>
        </w:rPr>
        <w:t>recibido</w:t>
      </w:r>
      <w:r w:rsidR="00FE6F1A">
        <w:rPr>
          <w:rFonts w:ascii="AvantGarde Bk BT" w:hAnsi="AvantGarde Bk BT" w:cs="Arial"/>
          <w:color w:val="000000" w:themeColor="text1"/>
          <w:sz w:val="24"/>
          <w:szCs w:val="24"/>
        </w:rPr>
        <w:t xml:space="preserve"> </w:t>
      </w:r>
      <w:r w:rsidR="00A63284">
        <w:rPr>
          <w:rFonts w:ascii="AvantGarde Bk BT" w:hAnsi="AvantGarde Bk BT" w:cs="Arial"/>
          <w:color w:val="000000" w:themeColor="text1"/>
          <w:sz w:val="24"/>
          <w:szCs w:val="24"/>
        </w:rPr>
        <w:t>oficios</w:t>
      </w:r>
      <w:proofErr w:type="gramEnd"/>
      <w:r w:rsidR="00A63284">
        <w:rPr>
          <w:rFonts w:ascii="AvantGarde Bk BT" w:hAnsi="AvantGarde Bk BT" w:cs="Arial"/>
          <w:color w:val="000000" w:themeColor="text1"/>
          <w:sz w:val="24"/>
          <w:szCs w:val="24"/>
        </w:rPr>
        <w:t xml:space="preserve"> número </w:t>
      </w:r>
      <w:r w:rsidR="00A24254">
        <w:rPr>
          <w:rFonts w:ascii="AvantGarde Bk BT" w:hAnsi="AvantGarde Bk BT" w:cs="Arial"/>
          <w:color w:val="000000" w:themeColor="text1"/>
          <w:sz w:val="24"/>
          <w:szCs w:val="24"/>
        </w:rPr>
        <w:t>UIP/68</w:t>
      </w:r>
      <w:r w:rsidR="00AB29BF">
        <w:rPr>
          <w:rFonts w:ascii="AvantGarde Bk BT" w:hAnsi="AvantGarde Bk BT" w:cs="Arial"/>
          <w:color w:val="000000" w:themeColor="text1"/>
          <w:sz w:val="24"/>
          <w:szCs w:val="24"/>
        </w:rPr>
        <w:t>2</w:t>
      </w:r>
      <w:r w:rsidR="00A63284">
        <w:rPr>
          <w:rFonts w:ascii="AvantGarde Bk BT" w:hAnsi="AvantGarde Bk BT" w:cs="Arial"/>
          <w:color w:val="000000" w:themeColor="text1"/>
          <w:sz w:val="24"/>
          <w:szCs w:val="24"/>
        </w:rPr>
        <w:t>/2018</w:t>
      </w:r>
      <w:r w:rsidR="00A24254">
        <w:rPr>
          <w:rFonts w:ascii="AvantGarde Bk BT" w:hAnsi="AvantGarde Bk BT" w:cs="Arial"/>
          <w:color w:val="000000" w:themeColor="text1"/>
          <w:sz w:val="24"/>
          <w:szCs w:val="24"/>
        </w:rPr>
        <w:t xml:space="preserve"> y UIP/68</w:t>
      </w:r>
      <w:r w:rsidR="00AB29BF">
        <w:rPr>
          <w:rFonts w:ascii="AvantGarde Bk BT" w:hAnsi="AvantGarde Bk BT" w:cs="Arial"/>
          <w:color w:val="000000" w:themeColor="text1"/>
          <w:sz w:val="24"/>
          <w:szCs w:val="24"/>
        </w:rPr>
        <w:t>5</w:t>
      </w:r>
      <w:r w:rsidR="00A24254">
        <w:rPr>
          <w:rFonts w:ascii="AvantGarde Bk BT" w:hAnsi="AvantGarde Bk BT" w:cs="Arial"/>
          <w:color w:val="000000" w:themeColor="text1"/>
          <w:sz w:val="24"/>
          <w:szCs w:val="24"/>
        </w:rPr>
        <w:t>/2018</w:t>
      </w:r>
      <w:r w:rsidR="00A63284">
        <w:rPr>
          <w:rFonts w:ascii="AvantGarde Bk BT" w:hAnsi="AvantGarde Bk BT" w:cs="Arial"/>
          <w:color w:val="000000" w:themeColor="text1"/>
          <w:sz w:val="24"/>
          <w:szCs w:val="24"/>
        </w:rPr>
        <w:t xml:space="preserve">, signado por </w:t>
      </w:r>
      <w:r w:rsidR="00832621">
        <w:rPr>
          <w:rFonts w:ascii="AvantGarde Bk BT" w:hAnsi="AvantGarde Bk BT" w:cs="Arial"/>
          <w:color w:val="000000" w:themeColor="text1"/>
          <w:sz w:val="24"/>
          <w:szCs w:val="24"/>
        </w:rPr>
        <w:t xml:space="preserve">el Jefe de la Unidad de Transparencia </w:t>
      </w:r>
      <w:r w:rsidR="00A24254">
        <w:rPr>
          <w:rFonts w:ascii="AvantGarde Bk BT" w:hAnsi="AvantGarde Bk BT" w:cs="Arial"/>
          <w:color w:val="000000" w:themeColor="text1"/>
          <w:sz w:val="24"/>
          <w:szCs w:val="24"/>
        </w:rPr>
        <w:t>y el Presidente del Supremo Tribunal de Justicia del Estado</w:t>
      </w:r>
      <w:r w:rsidR="00832621">
        <w:rPr>
          <w:rFonts w:ascii="AvantGarde Bk BT" w:hAnsi="AvantGarde Bk BT" w:cs="Arial"/>
          <w:color w:val="000000" w:themeColor="text1"/>
          <w:sz w:val="24"/>
          <w:szCs w:val="24"/>
        </w:rPr>
        <w:t>.</w:t>
      </w:r>
    </w:p>
    <w:p w14:paraId="7AC04712" w14:textId="23B2A76D" w:rsidR="00927BD8" w:rsidRPr="0060124B" w:rsidRDefault="00A24254" w:rsidP="00B52313">
      <w:pPr>
        <w:pStyle w:val="corte4fondo"/>
        <w:numPr>
          <w:ilvl w:val="0"/>
          <w:numId w:val="19"/>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R</w:t>
      </w:r>
      <w:r w:rsidR="00927BD8" w:rsidRPr="0060124B">
        <w:rPr>
          <w:rFonts w:ascii="AvantGarde Bk BT" w:hAnsi="AvantGarde Bk BT" w:cs="Arial"/>
          <w:color w:val="000000" w:themeColor="text1"/>
          <w:sz w:val="24"/>
          <w:szCs w:val="24"/>
        </w:rPr>
        <w:t xml:space="preserve">econoció </w:t>
      </w:r>
      <w:r>
        <w:rPr>
          <w:rFonts w:ascii="AvantGarde Bk BT" w:hAnsi="AvantGarde Bk BT" w:cs="Arial"/>
          <w:color w:val="000000" w:themeColor="text1"/>
          <w:sz w:val="24"/>
          <w:szCs w:val="24"/>
        </w:rPr>
        <w:t>la personería con la que comparecieron</w:t>
      </w:r>
      <w:r w:rsidR="00927BD8" w:rsidRPr="0060124B">
        <w:rPr>
          <w:rFonts w:ascii="AvantGarde Bk BT" w:hAnsi="AvantGarde Bk BT" w:cs="Arial"/>
          <w:color w:val="000000" w:themeColor="text1"/>
          <w:sz w:val="24"/>
          <w:szCs w:val="24"/>
        </w:rPr>
        <w:t xml:space="preserve"> en este expediente.</w:t>
      </w:r>
    </w:p>
    <w:p w14:paraId="3D7383E3" w14:textId="6B39CA55" w:rsidR="004D1715" w:rsidRDefault="004D1715" w:rsidP="00CC0E73">
      <w:pPr>
        <w:pStyle w:val="corte4fondo"/>
        <w:numPr>
          <w:ilvl w:val="0"/>
          <w:numId w:val="17"/>
        </w:numPr>
        <w:tabs>
          <w:tab w:val="left" w:pos="567"/>
        </w:tabs>
        <w:rPr>
          <w:rFonts w:ascii="AvantGarde Bk BT" w:hAnsi="AvantGarde Bk BT" w:cs="Arial"/>
          <w:color w:val="000000" w:themeColor="text1"/>
          <w:sz w:val="24"/>
          <w:szCs w:val="24"/>
        </w:rPr>
      </w:pPr>
      <w:r w:rsidRPr="004D1715">
        <w:rPr>
          <w:rFonts w:ascii="AvantGarde Bk BT" w:hAnsi="AvantGarde Bk BT" w:cs="Arial"/>
          <w:color w:val="000000" w:themeColor="text1"/>
          <w:sz w:val="24"/>
          <w:szCs w:val="24"/>
        </w:rPr>
        <w:t xml:space="preserve">Tuvo </w:t>
      </w:r>
      <w:r w:rsidR="00CC35B6" w:rsidRPr="004D1715">
        <w:rPr>
          <w:rFonts w:ascii="AvantGarde Bk BT" w:hAnsi="AvantGarde Bk BT" w:cs="Arial"/>
          <w:color w:val="000000" w:themeColor="text1"/>
          <w:sz w:val="24"/>
          <w:szCs w:val="24"/>
        </w:rPr>
        <w:t xml:space="preserve">por </w:t>
      </w:r>
      <w:r w:rsidR="00A24254">
        <w:rPr>
          <w:rFonts w:ascii="AvantGarde Bk BT" w:hAnsi="AvantGarde Bk BT" w:cs="Arial"/>
          <w:color w:val="000000" w:themeColor="text1"/>
          <w:sz w:val="24"/>
          <w:szCs w:val="24"/>
        </w:rPr>
        <w:t xml:space="preserve">rendido en tiempo el informe ordenado en el auto de admisión, por realizadas las </w:t>
      </w:r>
      <w:r w:rsidR="00CA366F" w:rsidRPr="004D1715">
        <w:rPr>
          <w:rFonts w:ascii="AvantGarde Bk BT" w:hAnsi="AvantGarde Bk BT" w:cs="Arial"/>
          <w:color w:val="000000" w:themeColor="text1"/>
          <w:sz w:val="24"/>
          <w:szCs w:val="24"/>
        </w:rPr>
        <w:t>manifes</w:t>
      </w:r>
      <w:r w:rsidR="00A24254">
        <w:rPr>
          <w:rFonts w:ascii="AvantGarde Bk BT" w:hAnsi="AvantGarde Bk BT" w:cs="Arial"/>
          <w:color w:val="000000" w:themeColor="text1"/>
          <w:sz w:val="24"/>
          <w:szCs w:val="24"/>
        </w:rPr>
        <w:t>taciones correspondientes al sujeto obligado</w:t>
      </w:r>
      <w:r>
        <w:rPr>
          <w:rFonts w:ascii="AvantGarde Bk BT" w:hAnsi="AvantGarde Bk BT" w:cs="Arial"/>
          <w:color w:val="000000" w:themeColor="text1"/>
          <w:sz w:val="24"/>
          <w:szCs w:val="24"/>
        </w:rPr>
        <w:t>.</w:t>
      </w:r>
    </w:p>
    <w:p w14:paraId="1397692B" w14:textId="2E27D0A0" w:rsidR="00CA366F" w:rsidRPr="004D1715" w:rsidRDefault="00BE69B7" w:rsidP="00CC0E73">
      <w:pPr>
        <w:pStyle w:val="corte4fondo"/>
        <w:numPr>
          <w:ilvl w:val="0"/>
          <w:numId w:val="17"/>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Tuvo al recurrente por</w:t>
      </w:r>
      <w:r w:rsidR="0061501E">
        <w:rPr>
          <w:rFonts w:ascii="AvantGarde Bk BT" w:hAnsi="AvantGarde Bk BT" w:cs="Arial"/>
          <w:color w:val="000000" w:themeColor="text1"/>
          <w:sz w:val="24"/>
          <w:szCs w:val="24"/>
        </w:rPr>
        <w:t xml:space="preserve"> omiso en ofrecer pruebas y realizar manifestaciones en vía de </w:t>
      </w:r>
      <w:r w:rsidR="00CA366F" w:rsidRPr="004D1715">
        <w:rPr>
          <w:rFonts w:ascii="AvantGarde Bk BT" w:hAnsi="AvantGarde Bk BT" w:cs="Arial"/>
          <w:color w:val="000000" w:themeColor="text1"/>
          <w:sz w:val="24"/>
          <w:szCs w:val="24"/>
        </w:rPr>
        <w:t>alegatos.</w:t>
      </w:r>
    </w:p>
    <w:p w14:paraId="32AA57F6" w14:textId="77777777" w:rsidR="00906E32" w:rsidRDefault="00906E32" w:rsidP="00906E32">
      <w:pPr>
        <w:pStyle w:val="corte4fondo"/>
        <w:numPr>
          <w:ilvl w:val="0"/>
          <w:numId w:val="17"/>
        </w:numPr>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Para concluir, </w:t>
      </w:r>
      <w:r>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ponente declaró cerrado el periodo de instrucción y procedió a elaborar el proyecto de resolución respectivo.</w:t>
      </w:r>
    </w:p>
    <w:p w14:paraId="4BFD3AD4" w14:textId="77777777" w:rsidR="00906E32" w:rsidRDefault="00906E32" w:rsidP="00832621">
      <w:pPr>
        <w:pStyle w:val="corte4fondo"/>
        <w:tabs>
          <w:tab w:val="left" w:pos="567"/>
        </w:tabs>
        <w:ind w:firstLine="0"/>
        <w:rPr>
          <w:rFonts w:ascii="AvantGarde Bk BT" w:hAnsi="AvantGarde Bk BT" w:cs="Arial"/>
          <w:color w:val="000000" w:themeColor="text1"/>
          <w:sz w:val="24"/>
          <w:szCs w:val="24"/>
        </w:rPr>
      </w:pPr>
    </w:p>
    <w:p w14:paraId="4CC6B546" w14:textId="77777777" w:rsidR="00CC35B6" w:rsidRDefault="00CC35B6" w:rsidP="00CC35B6">
      <w:pPr>
        <w:pStyle w:val="corte4fondo"/>
        <w:tabs>
          <w:tab w:val="left" w:pos="567"/>
        </w:tabs>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CONSIDERANDO</w:t>
      </w:r>
    </w:p>
    <w:p w14:paraId="7E252B99" w14:textId="77777777" w:rsidR="00E215D2" w:rsidRDefault="00E215D2" w:rsidP="00CC35B6">
      <w:pPr>
        <w:pStyle w:val="corte4fondo"/>
        <w:tabs>
          <w:tab w:val="left" w:pos="567"/>
        </w:tabs>
        <w:jc w:val="center"/>
        <w:rPr>
          <w:rFonts w:ascii="AvantGarde Bk BT" w:hAnsi="AvantGarde Bk BT" w:cs="Arial"/>
          <w:b/>
          <w:color w:val="000000" w:themeColor="text1"/>
          <w:sz w:val="24"/>
          <w:szCs w:val="24"/>
        </w:rPr>
      </w:pPr>
    </w:p>
    <w:p w14:paraId="73067F5F" w14:textId="77777777" w:rsidR="00E215D2" w:rsidRDefault="00E215D2" w:rsidP="00E215D2">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 Competencia.</w:t>
      </w:r>
      <w:r w:rsidRPr="007C5605">
        <w:rPr>
          <w:rFonts w:ascii="AvantGarde Bk BT" w:hAnsi="AvantGarde Bk BT" w:cs="Arial"/>
          <w:color w:val="000000" w:themeColor="text1"/>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w:t>
      </w:r>
      <w:r w:rsidRPr="007C5605">
        <w:rPr>
          <w:rFonts w:ascii="AvantGarde Bk BT" w:hAnsi="AvantGarde Bk BT" w:cs="Arial"/>
          <w:color w:val="000000" w:themeColor="text1"/>
          <w:sz w:val="24"/>
          <w:szCs w:val="24"/>
        </w:rPr>
        <w:lastRenderedPageBreak/>
        <w:t xml:space="preserve">I y II, 35, fracción I, y 175 de la Ley de Transparencia y Acceso a la Información Pública de este Estado. </w:t>
      </w:r>
    </w:p>
    <w:p w14:paraId="5B5143D7" w14:textId="77777777" w:rsidR="00E215D2" w:rsidRPr="007C5605" w:rsidRDefault="00E215D2" w:rsidP="00E215D2">
      <w:pPr>
        <w:pStyle w:val="corte4fondo"/>
        <w:tabs>
          <w:tab w:val="left" w:pos="567"/>
        </w:tabs>
        <w:rPr>
          <w:rFonts w:ascii="AvantGarde Bk BT" w:hAnsi="AvantGarde Bk BT" w:cs="Arial"/>
          <w:color w:val="000000" w:themeColor="text1"/>
          <w:sz w:val="24"/>
          <w:szCs w:val="24"/>
        </w:rPr>
      </w:pPr>
    </w:p>
    <w:p w14:paraId="57A47156" w14:textId="77777777" w:rsidR="00D47B22" w:rsidRDefault="00E215D2" w:rsidP="00001770">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SEGUNDO. </w:t>
      </w:r>
      <w:r w:rsidR="00D47B22" w:rsidRPr="00D47B22">
        <w:rPr>
          <w:rFonts w:ascii="AvantGarde Bk BT" w:hAnsi="AvantGarde Bk BT" w:cs="Arial"/>
          <w:b/>
          <w:color w:val="000000" w:themeColor="text1"/>
          <w:sz w:val="24"/>
          <w:szCs w:val="24"/>
        </w:rPr>
        <w:t>Procedencia.</w:t>
      </w:r>
      <w:r w:rsidR="00D47B22" w:rsidRPr="00D47B22">
        <w:rPr>
          <w:rFonts w:ascii="AvantGarde Bk BT" w:hAnsi="AvantGarde Bk BT" w:cs="Arial"/>
          <w:color w:val="000000" w:themeColor="text1"/>
          <w:sz w:val="24"/>
          <w:szCs w:val="24"/>
        </w:rPr>
        <w:t xml:space="preserve"> El</w:t>
      </w:r>
      <w:r w:rsidR="00D47B22" w:rsidRPr="007C5605">
        <w:rPr>
          <w:rFonts w:ascii="AvantGarde Bk BT" w:hAnsi="AvantGarde Bk BT" w:cs="Arial"/>
          <w:color w:val="000000" w:themeColor="text1"/>
          <w:sz w:val="24"/>
          <w:szCs w:val="24"/>
        </w:rPr>
        <w:t xml:space="preserve"> presente recurso de revisión es procedente en términos del artículo 166 </w:t>
      </w:r>
      <w:r w:rsidR="007C31AD">
        <w:rPr>
          <w:rFonts w:ascii="AvantGarde Bk BT" w:hAnsi="AvantGarde Bk BT" w:cs="Arial"/>
          <w:color w:val="000000" w:themeColor="text1"/>
          <w:sz w:val="24"/>
          <w:szCs w:val="24"/>
        </w:rPr>
        <w:t xml:space="preserve"> y 167 </w:t>
      </w:r>
      <w:r w:rsidR="00D47B22" w:rsidRPr="007C5605">
        <w:rPr>
          <w:rFonts w:ascii="AvantGarde Bk BT" w:hAnsi="AvantGarde Bk BT" w:cs="Arial"/>
          <w:color w:val="000000" w:themeColor="text1"/>
          <w:sz w:val="24"/>
          <w:szCs w:val="24"/>
        </w:rPr>
        <w:t xml:space="preserve">de la Ley de Transparencia y Acceso a la Información Pública del Estado ya que </w:t>
      </w:r>
      <w:r w:rsidR="00D47B22">
        <w:rPr>
          <w:rFonts w:ascii="AvantGarde Bk BT" w:hAnsi="AvantGarde Bk BT" w:cs="Arial"/>
          <w:color w:val="000000" w:themeColor="text1"/>
          <w:sz w:val="24"/>
          <w:szCs w:val="24"/>
        </w:rPr>
        <w:t xml:space="preserve">la </w:t>
      </w:r>
      <w:r w:rsidR="00D47B22" w:rsidRPr="007C5605">
        <w:rPr>
          <w:rFonts w:ascii="AvantGarde Bk BT" w:hAnsi="AvantGarde Bk BT" w:cs="Arial"/>
          <w:color w:val="000000" w:themeColor="text1"/>
          <w:sz w:val="24"/>
          <w:szCs w:val="24"/>
        </w:rPr>
        <w:t>recurrente se inconforma por la</w:t>
      </w:r>
      <w:r w:rsidR="007C31AD">
        <w:rPr>
          <w:rFonts w:ascii="AvantGarde Bk BT" w:hAnsi="AvantGarde Bk BT" w:cs="Arial"/>
          <w:color w:val="000000" w:themeColor="text1"/>
          <w:sz w:val="24"/>
          <w:szCs w:val="24"/>
        </w:rPr>
        <w:t xml:space="preserve"> </w:t>
      </w:r>
      <w:r w:rsidR="00D47B22" w:rsidRPr="007C5605">
        <w:rPr>
          <w:rFonts w:ascii="AvantGarde Bk BT" w:hAnsi="AvantGarde Bk BT" w:cs="Arial"/>
          <w:color w:val="000000" w:themeColor="text1"/>
          <w:sz w:val="24"/>
          <w:szCs w:val="24"/>
        </w:rPr>
        <w:t xml:space="preserve">respuesta a su solicitud de acceso a la información pública. </w:t>
      </w:r>
    </w:p>
    <w:p w14:paraId="5A9CCF1A" w14:textId="77777777" w:rsidR="000F1794" w:rsidRPr="00001770" w:rsidRDefault="000F1794" w:rsidP="00001770">
      <w:pPr>
        <w:pStyle w:val="corte4fondo"/>
        <w:tabs>
          <w:tab w:val="left" w:pos="567"/>
        </w:tabs>
        <w:rPr>
          <w:rFonts w:ascii="AvantGarde Bk BT" w:hAnsi="AvantGarde Bk BT" w:cs="Arial"/>
          <w:color w:val="000000" w:themeColor="text1"/>
          <w:sz w:val="24"/>
          <w:szCs w:val="24"/>
        </w:rPr>
      </w:pPr>
    </w:p>
    <w:p w14:paraId="4CC1F0A3" w14:textId="77777777" w:rsidR="00E215D2" w:rsidRPr="007C5605" w:rsidRDefault="007B126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00E215D2" w:rsidRPr="007C5605">
        <w:rPr>
          <w:rFonts w:ascii="AvantGarde Bk BT" w:hAnsi="AvantGarde Bk BT" w:cs="Arial"/>
          <w:b/>
          <w:color w:val="000000" w:themeColor="text1"/>
          <w:sz w:val="24"/>
          <w:szCs w:val="24"/>
        </w:rPr>
        <w:t>. Legitimación.</w:t>
      </w:r>
      <w:r w:rsidR="00E215D2" w:rsidRPr="007C5605">
        <w:rPr>
          <w:rFonts w:ascii="AvantGarde Bk BT" w:hAnsi="AvantGarde Bk BT" w:cs="Arial"/>
          <w:color w:val="000000" w:themeColor="text1"/>
          <w:sz w:val="24"/>
          <w:szCs w:val="24"/>
        </w:rPr>
        <w:t xml:space="preserve"> </w:t>
      </w:r>
      <w:r w:rsidR="0060124B">
        <w:rPr>
          <w:rFonts w:ascii="AvantGarde Bk BT" w:hAnsi="AvantGarde Bk BT" w:cs="Arial"/>
          <w:color w:val="000000" w:themeColor="text1"/>
          <w:sz w:val="24"/>
          <w:szCs w:val="24"/>
        </w:rPr>
        <w:t>El</w:t>
      </w:r>
      <w:r w:rsidR="00E215D2" w:rsidRPr="007C5605">
        <w:rPr>
          <w:rFonts w:ascii="AvantGarde Bk BT" w:hAnsi="AvantGarde Bk BT" w:cs="Arial"/>
          <w:color w:val="000000" w:themeColor="text1"/>
          <w:sz w:val="24"/>
          <w:szCs w:val="24"/>
        </w:rPr>
        <w:t xml:space="preserve"> re</w:t>
      </w:r>
      <w:r w:rsidR="00B00056">
        <w:rPr>
          <w:rFonts w:ascii="AvantGarde Bk BT" w:hAnsi="AvantGarde Bk BT" w:cs="Arial"/>
          <w:color w:val="000000" w:themeColor="text1"/>
          <w:sz w:val="24"/>
          <w:szCs w:val="24"/>
        </w:rPr>
        <w:t>currente se encuentra legitimado</w:t>
      </w:r>
      <w:r w:rsidR="00E215D2" w:rsidRPr="007C5605">
        <w:rPr>
          <w:rFonts w:ascii="AvantGarde Bk BT" w:hAnsi="AvantGarde Bk BT" w:cs="Arial"/>
          <w:color w:val="000000" w:themeColor="text1"/>
          <w:sz w:val="24"/>
          <w:szCs w:val="24"/>
        </w:rPr>
        <w:t xml:space="preserve"> para interponer el recurso de revisión, ya que fue </w:t>
      </w:r>
      <w:r w:rsidR="0060124B">
        <w:rPr>
          <w:rFonts w:ascii="AvantGarde Bk BT" w:hAnsi="AvantGarde Bk BT" w:cs="Arial"/>
          <w:color w:val="000000" w:themeColor="text1"/>
          <w:sz w:val="24"/>
          <w:szCs w:val="24"/>
        </w:rPr>
        <w:t>éste</w:t>
      </w:r>
      <w:r w:rsidR="00E215D2" w:rsidRPr="007C5605">
        <w:rPr>
          <w:rFonts w:ascii="AvantGarde Bk BT" w:hAnsi="AvantGarde Bk BT" w:cs="Arial"/>
          <w:color w:val="000000" w:themeColor="text1"/>
          <w:sz w:val="24"/>
          <w:szCs w:val="24"/>
        </w:rPr>
        <w:t xml:space="preserve"> quien presentó la solicitud de acceso a la información pública y </w:t>
      </w:r>
      <w:r w:rsidR="00E215D2">
        <w:rPr>
          <w:rFonts w:ascii="AvantGarde Bk BT" w:hAnsi="AvantGarde Bk BT" w:cs="Arial"/>
          <w:color w:val="000000" w:themeColor="text1"/>
          <w:sz w:val="24"/>
          <w:szCs w:val="24"/>
        </w:rPr>
        <w:t>es precisamente</w:t>
      </w:r>
      <w:r w:rsidR="00E215D2" w:rsidRPr="007C5605">
        <w:rPr>
          <w:rFonts w:ascii="AvantGarde Bk BT" w:hAnsi="AvantGarde Bk BT" w:cs="Arial"/>
          <w:color w:val="000000" w:themeColor="text1"/>
          <w:sz w:val="24"/>
          <w:szCs w:val="24"/>
        </w:rPr>
        <w:t xml:space="preserve"> a quien le pudiera deparar perjuicio la respuesta.</w:t>
      </w:r>
    </w:p>
    <w:p w14:paraId="47396F09" w14:textId="77777777" w:rsidR="00E215D2" w:rsidRPr="007C5605" w:rsidRDefault="00E215D2" w:rsidP="00E215D2">
      <w:pPr>
        <w:pStyle w:val="corte4fondo"/>
        <w:tabs>
          <w:tab w:val="left" w:pos="567"/>
        </w:tabs>
        <w:rPr>
          <w:rFonts w:ascii="AvantGarde Bk BT" w:hAnsi="AvantGarde Bk BT" w:cs="Arial"/>
          <w:color w:val="000000" w:themeColor="text1"/>
          <w:sz w:val="24"/>
          <w:szCs w:val="24"/>
        </w:rPr>
      </w:pPr>
    </w:p>
    <w:p w14:paraId="0165939A" w14:textId="11BD4518" w:rsidR="00E215D2" w:rsidRPr="00EA2555" w:rsidRDefault="007B126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00E215D2" w:rsidRPr="00EA2555">
        <w:rPr>
          <w:rFonts w:ascii="AvantGarde Bk BT" w:hAnsi="AvantGarde Bk BT" w:cs="Arial"/>
          <w:b/>
          <w:color w:val="000000" w:themeColor="text1"/>
          <w:sz w:val="24"/>
          <w:szCs w:val="24"/>
        </w:rPr>
        <w:t>. Oportunidad del recurso.</w:t>
      </w:r>
      <w:r w:rsidR="00E215D2" w:rsidRPr="00EA2555">
        <w:rPr>
          <w:rFonts w:ascii="AvantGarde Bk BT" w:hAnsi="AvantGarde Bk BT" w:cs="Arial"/>
          <w:color w:val="000000" w:themeColor="text1"/>
          <w:sz w:val="24"/>
          <w:szCs w:val="24"/>
        </w:rPr>
        <w:t xml:space="preserve"> La interposición del escrito inicial del recurso de revisión fue oportuna al</w:t>
      </w:r>
      <w:r w:rsidR="0061501E">
        <w:rPr>
          <w:rFonts w:ascii="AvantGarde Bk BT" w:hAnsi="AvantGarde Bk BT" w:cs="Arial"/>
          <w:color w:val="000000" w:themeColor="text1"/>
          <w:sz w:val="24"/>
          <w:szCs w:val="24"/>
        </w:rPr>
        <w:t xml:space="preserve"> ser presentado</w:t>
      </w:r>
      <w:r w:rsidR="00E215D2" w:rsidRPr="00EA2555">
        <w:rPr>
          <w:rFonts w:ascii="AvantGarde Bk BT" w:hAnsi="AvantGarde Bk BT" w:cs="Arial"/>
          <w:color w:val="000000" w:themeColor="text1"/>
          <w:sz w:val="24"/>
          <w:szCs w:val="24"/>
        </w:rPr>
        <w:t xml:space="preserve"> dentro del plazo de quince días a que se refiere el artículo 166 de la Ley de Transparencia y Acceso a la Información Pública del Estado, como se expone a continuación:</w:t>
      </w:r>
    </w:p>
    <w:p w14:paraId="30DC1A91" w14:textId="77777777" w:rsidR="00E215D2" w:rsidRPr="00EA2555" w:rsidRDefault="00E215D2" w:rsidP="00E215D2">
      <w:pPr>
        <w:pStyle w:val="corte4fondo"/>
        <w:tabs>
          <w:tab w:val="left" w:pos="567"/>
        </w:tabs>
        <w:rPr>
          <w:rFonts w:ascii="AvantGarde Bk BT" w:hAnsi="AvantGarde Bk BT" w:cs="Arial"/>
          <w:color w:val="000000" w:themeColor="text1"/>
          <w:sz w:val="24"/>
          <w:szCs w:val="24"/>
        </w:rPr>
      </w:pPr>
    </w:p>
    <w:p w14:paraId="06F3F92F" w14:textId="7986153C" w:rsidR="00E215D2" w:rsidRPr="00EA2555" w:rsidRDefault="00E215D2" w:rsidP="00630546">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El </w:t>
      </w:r>
      <w:r w:rsidR="0061501E">
        <w:rPr>
          <w:rFonts w:ascii="AvantGarde Bk BT" w:hAnsi="AvantGarde Bk BT" w:cs="Arial"/>
          <w:color w:val="000000" w:themeColor="text1"/>
          <w:sz w:val="24"/>
          <w:szCs w:val="24"/>
        </w:rPr>
        <w:t>01 uno de octubre</w:t>
      </w:r>
      <w:r w:rsidRPr="00EA2555">
        <w:rPr>
          <w:rFonts w:ascii="AvantGarde Bk BT" w:hAnsi="AvantGarde Bk BT" w:cs="Arial"/>
          <w:color w:val="000000" w:themeColor="text1"/>
          <w:sz w:val="24"/>
          <w:szCs w:val="24"/>
        </w:rPr>
        <w:t xml:space="preserve"> de </w:t>
      </w:r>
      <w:r w:rsidR="002B236F">
        <w:rPr>
          <w:rFonts w:ascii="AvantGarde Bk BT" w:hAnsi="AvantGarde Bk BT" w:cs="Arial"/>
          <w:color w:val="000000" w:themeColor="text1"/>
          <w:sz w:val="24"/>
          <w:szCs w:val="24"/>
        </w:rPr>
        <w:t>2018 dos mil dieciocho</w:t>
      </w:r>
      <w:r w:rsidRPr="00EA2555">
        <w:rPr>
          <w:rFonts w:ascii="AvantGarde Bk BT" w:hAnsi="AvantGarde Bk BT" w:cs="Arial"/>
          <w:color w:val="000000" w:themeColor="text1"/>
          <w:sz w:val="24"/>
          <w:szCs w:val="24"/>
        </w:rPr>
        <w:t xml:space="preserve"> </w:t>
      </w:r>
      <w:r w:rsidR="0061501E">
        <w:rPr>
          <w:rFonts w:ascii="AvantGarde Bk BT" w:hAnsi="AvantGarde Bk BT" w:cs="Arial"/>
          <w:color w:val="000000" w:themeColor="text1"/>
          <w:sz w:val="24"/>
          <w:szCs w:val="24"/>
        </w:rPr>
        <w:t>el</w:t>
      </w:r>
      <w:r w:rsidR="00630546">
        <w:rPr>
          <w:rFonts w:ascii="AvantGarde Bk BT" w:hAnsi="AvantGarde Bk BT" w:cs="Arial"/>
          <w:color w:val="000000" w:themeColor="text1"/>
          <w:sz w:val="24"/>
          <w:szCs w:val="24"/>
        </w:rPr>
        <w:t xml:space="preserve"> </w:t>
      </w:r>
      <w:r w:rsidRPr="00EA2555">
        <w:rPr>
          <w:rFonts w:ascii="AvantGarde Bk BT" w:hAnsi="AvantGarde Bk BT" w:cs="Arial"/>
          <w:color w:val="000000" w:themeColor="text1"/>
          <w:sz w:val="24"/>
          <w:szCs w:val="24"/>
        </w:rPr>
        <w:t>solicitante de la i</w:t>
      </w:r>
      <w:r w:rsidR="00630546">
        <w:rPr>
          <w:rFonts w:ascii="AvantGarde Bk BT" w:hAnsi="AvantGarde Bk BT" w:cs="Arial"/>
          <w:color w:val="000000" w:themeColor="text1"/>
          <w:sz w:val="24"/>
          <w:szCs w:val="24"/>
        </w:rPr>
        <w:t>nformación fue notificad</w:t>
      </w:r>
      <w:r w:rsidR="0061501E">
        <w:rPr>
          <w:rFonts w:ascii="AvantGarde Bk BT" w:hAnsi="AvantGarde Bk BT" w:cs="Arial"/>
          <w:color w:val="000000" w:themeColor="text1"/>
          <w:sz w:val="24"/>
          <w:szCs w:val="24"/>
        </w:rPr>
        <w:t>o</w:t>
      </w:r>
      <w:r w:rsidR="007E6130">
        <w:rPr>
          <w:rFonts w:ascii="AvantGarde Bk BT" w:hAnsi="AvantGarde Bk BT" w:cs="Arial"/>
          <w:color w:val="000000" w:themeColor="text1"/>
          <w:sz w:val="24"/>
          <w:szCs w:val="24"/>
        </w:rPr>
        <w:t xml:space="preserve"> de la </w:t>
      </w:r>
      <w:r w:rsidR="00A66405">
        <w:rPr>
          <w:rFonts w:ascii="AvantGarde Bk BT" w:hAnsi="AvantGarde Bk BT" w:cs="Arial"/>
          <w:color w:val="000000" w:themeColor="text1"/>
          <w:sz w:val="24"/>
          <w:szCs w:val="24"/>
        </w:rPr>
        <w:t xml:space="preserve">respuesta a su solicitud de información. </w:t>
      </w:r>
    </w:p>
    <w:p w14:paraId="58AB2A25" w14:textId="51631021"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Por lo tanto, el plazo de los quince días hábiles para interponer el recurso de revisión transcurrió del </w:t>
      </w:r>
      <w:r w:rsidR="0061501E">
        <w:rPr>
          <w:rFonts w:ascii="AvantGarde Bk BT" w:hAnsi="AvantGarde Bk BT" w:cs="Arial"/>
          <w:color w:val="000000" w:themeColor="text1"/>
          <w:sz w:val="24"/>
          <w:szCs w:val="24"/>
        </w:rPr>
        <w:t>02 dos</w:t>
      </w:r>
      <w:r w:rsidR="00630546">
        <w:rPr>
          <w:rFonts w:ascii="AvantGarde Bk BT" w:hAnsi="AvantGarde Bk BT" w:cs="Arial"/>
          <w:color w:val="000000" w:themeColor="text1"/>
          <w:sz w:val="24"/>
          <w:szCs w:val="24"/>
        </w:rPr>
        <w:t xml:space="preserve"> al </w:t>
      </w:r>
      <w:r w:rsidR="0061501E">
        <w:rPr>
          <w:rFonts w:ascii="AvantGarde Bk BT" w:hAnsi="AvantGarde Bk BT" w:cs="Arial"/>
          <w:color w:val="000000" w:themeColor="text1"/>
          <w:sz w:val="24"/>
          <w:szCs w:val="24"/>
        </w:rPr>
        <w:t>24 veinticuatro, ambos de octubre</w:t>
      </w:r>
      <w:r w:rsidR="002E7959">
        <w:rPr>
          <w:rFonts w:ascii="AvantGarde Bk BT" w:hAnsi="AvantGarde Bk BT" w:cs="Arial"/>
          <w:color w:val="000000" w:themeColor="text1"/>
          <w:sz w:val="24"/>
          <w:szCs w:val="24"/>
        </w:rPr>
        <w:t xml:space="preserve"> de 2018 dos mil dieciocho</w:t>
      </w:r>
      <w:r w:rsidRPr="00EA2555">
        <w:rPr>
          <w:rFonts w:ascii="AvantGarde Bk BT" w:hAnsi="AvantGarde Bk BT" w:cs="Arial"/>
          <w:color w:val="000000" w:themeColor="text1"/>
          <w:sz w:val="24"/>
          <w:szCs w:val="24"/>
        </w:rPr>
        <w:t>.</w:t>
      </w:r>
    </w:p>
    <w:p w14:paraId="397CBA20" w14:textId="515748DC"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Sin tomar en cuenta los días </w:t>
      </w:r>
      <w:r w:rsidR="0061501E">
        <w:rPr>
          <w:rFonts w:ascii="AvantGarde Bk BT" w:hAnsi="AvantGarde Bk BT" w:cs="Arial"/>
          <w:color w:val="000000" w:themeColor="text1"/>
          <w:sz w:val="24"/>
          <w:szCs w:val="24"/>
        </w:rPr>
        <w:t>06 seis, 07 siete, 12 doce, 13 trece, 14 catorce, 20 veinte y 21 veintiuno de octubre</w:t>
      </w:r>
      <w:r w:rsidR="00630546">
        <w:rPr>
          <w:rFonts w:ascii="AvantGarde Bk BT" w:hAnsi="AvantGarde Bk BT" w:cs="Arial"/>
          <w:color w:val="000000" w:themeColor="text1"/>
          <w:sz w:val="24"/>
          <w:szCs w:val="24"/>
        </w:rPr>
        <w:t xml:space="preserve"> </w:t>
      </w:r>
      <w:r w:rsidR="002E7959">
        <w:rPr>
          <w:rFonts w:ascii="AvantGarde Bk BT" w:hAnsi="AvantGarde Bk BT" w:cs="Arial"/>
          <w:color w:val="000000" w:themeColor="text1"/>
          <w:sz w:val="24"/>
          <w:szCs w:val="24"/>
        </w:rPr>
        <w:t>de 2018 dos mil dieciocho</w:t>
      </w:r>
      <w:r w:rsidR="00EA2555">
        <w:rPr>
          <w:rFonts w:ascii="AvantGarde Bk BT" w:hAnsi="AvantGarde Bk BT" w:cs="Arial"/>
          <w:color w:val="000000" w:themeColor="text1"/>
          <w:sz w:val="24"/>
          <w:szCs w:val="24"/>
        </w:rPr>
        <w:t xml:space="preserve"> </w:t>
      </w:r>
      <w:r w:rsidRPr="00EA2555">
        <w:rPr>
          <w:rFonts w:ascii="AvantGarde Bk BT" w:hAnsi="AvantGarde Bk BT" w:cs="Arial"/>
          <w:color w:val="000000" w:themeColor="text1"/>
          <w:sz w:val="24"/>
          <w:szCs w:val="24"/>
        </w:rPr>
        <w:t>por ser inhábiles.</w:t>
      </w:r>
    </w:p>
    <w:p w14:paraId="00FD3658" w14:textId="00AEFA31" w:rsidR="00E215D2"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Consecuentemente si el </w:t>
      </w:r>
      <w:r w:rsidR="0091489C">
        <w:rPr>
          <w:rFonts w:ascii="AvantGarde Bk BT" w:hAnsi="AvantGarde Bk BT" w:cs="Arial"/>
          <w:color w:val="000000" w:themeColor="text1"/>
          <w:sz w:val="24"/>
          <w:szCs w:val="24"/>
        </w:rPr>
        <w:t>02 dos</w:t>
      </w:r>
      <w:r w:rsidR="001F5EF9">
        <w:rPr>
          <w:rFonts w:ascii="AvantGarde Bk BT" w:hAnsi="AvantGarde Bk BT" w:cs="Arial"/>
          <w:color w:val="000000" w:themeColor="text1"/>
          <w:sz w:val="24"/>
          <w:szCs w:val="24"/>
        </w:rPr>
        <w:t xml:space="preserve"> de </w:t>
      </w:r>
      <w:r w:rsidR="0061501E">
        <w:rPr>
          <w:rFonts w:ascii="AvantGarde Bk BT" w:hAnsi="AvantGarde Bk BT" w:cs="Arial"/>
          <w:color w:val="000000" w:themeColor="text1"/>
          <w:sz w:val="24"/>
          <w:szCs w:val="24"/>
        </w:rPr>
        <w:t>octubre</w:t>
      </w:r>
      <w:r w:rsidR="006D5323">
        <w:rPr>
          <w:rFonts w:ascii="AvantGarde Bk BT" w:hAnsi="AvantGarde Bk BT" w:cs="Arial"/>
          <w:color w:val="000000" w:themeColor="text1"/>
          <w:sz w:val="24"/>
          <w:szCs w:val="24"/>
        </w:rPr>
        <w:t xml:space="preserve"> de 2018 dos mil dieciocho</w:t>
      </w:r>
      <w:r w:rsidRPr="00EA2555">
        <w:rPr>
          <w:rFonts w:ascii="AvantGarde Bk BT" w:hAnsi="AvantGarde Bk BT" w:cs="Arial"/>
          <w:color w:val="000000" w:themeColor="text1"/>
          <w:sz w:val="24"/>
          <w:szCs w:val="24"/>
        </w:rPr>
        <w:t xml:space="preserve"> el recurrente interpuso el citado medio de impugnación ante esta Comisión de Transparencia, resulta claro que es oportuna su presentación.</w:t>
      </w:r>
    </w:p>
    <w:p w14:paraId="0D1A83D8" w14:textId="77777777" w:rsidR="00E215D2" w:rsidRPr="007C5605" w:rsidRDefault="00E215D2" w:rsidP="00E215D2">
      <w:pPr>
        <w:pStyle w:val="corte4fondo"/>
        <w:tabs>
          <w:tab w:val="left" w:pos="567"/>
        </w:tabs>
        <w:ind w:firstLine="0"/>
        <w:rPr>
          <w:rFonts w:ascii="AvantGarde Bk BT" w:hAnsi="AvantGarde Bk BT" w:cs="Arial"/>
          <w:color w:val="000000" w:themeColor="text1"/>
          <w:sz w:val="24"/>
          <w:szCs w:val="24"/>
        </w:rPr>
      </w:pPr>
    </w:p>
    <w:p w14:paraId="4D40BFF3" w14:textId="3B88C5BD" w:rsidR="004A0B72" w:rsidRDefault="00E215D2" w:rsidP="004A0B72">
      <w:pPr>
        <w:pStyle w:val="corte4fondo"/>
        <w:tabs>
          <w:tab w:val="left" w:pos="567"/>
        </w:tabs>
        <w:ind w:firstLine="68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404C55" w:rsidRPr="00397017">
        <w:rPr>
          <w:rFonts w:ascii="AvantGarde Bk BT" w:hAnsi="AvantGarde Bk BT" w:cs="Arial"/>
          <w:b/>
          <w:color w:val="000000" w:themeColor="text1"/>
          <w:sz w:val="24"/>
          <w:szCs w:val="24"/>
        </w:rPr>
        <w:t>QUINTO</w:t>
      </w:r>
      <w:r w:rsidRPr="00397017">
        <w:rPr>
          <w:rFonts w:ascii="AvantGarde Bk BT" w:hAnsi="AvantGarde Bk BT" w:cs="Arial"/>
          <w:b/>
          <w:color w:val="000000" w:themeColor="text1"/>
          <w:sz w:val="24"/>
          <w:szCs w:val="24"/>
        </w:rPr>
        <w:t xml:space="preserve">. </w:t>
      </w:r>
      <w:r w:rsidR="00852B70" w:rsidRPr="00397017">
        <w:rPr>
          <w:rFonts w:ascii="AvantGarde Bk BT" w:hAnsi="AvantGarde Bk BT" w:cs="Arial"/>
          <w:b/>
          <w:color w:val="000000" w:themeColor="text1"/>
          <w:sz w:val="24"/>
          <w:szCs w:val="24"/>
        </w:rPr>
        <w:t>Causales de improcedencia.</w:t>
      </w:r>
      <w:r w:rsidR="00852B70" w:rsidRPr="007C5605">
        <w:rPr>
          <w:rFonts w:ascii="AvantGarde Bk BT" w:hAnsi="AvantGarde Bk BT" w:cs="Arial"/>
          <w:color w:val="000000" w:themeColor="text1"/>
          <w:sz w:val="24"/>
          <w:szCs w:val="24"/>
        </w:rPr>
        <w:t xml:space="preserve"> </w:t>
      </w:r>
      <w:r w:rsidR="004A0B72" w:rsidRPr="007C5605">
        <w:rPr>
          <w:rFonts w:ascii="AvantGarde Bk BT" w:hAnsi="AvantGarde Bk BT" w:cs="Arial"/>
          <w:color w:val="000000" w:themeColor="text1"/>
          <w:sz w:val="24"/>
          <w:szCs w:val="24"/>
        </w:rPr>
        <w:t xml:space="preserve">Las causales de improcedencia previstas en el artículo 179 de la Ley de Transparencia son de estudio oficioso y preferente a </w:t>
      </w:r>
      <w:r w:rsidR="004A0B72" w:rsidRPr="007C5605">
        <w:rPr>
          <w:rFonts w:ascii="AvantGarde Bk BT" w:hAnsi="AvantGarde Bk BT" w:cs="Arial"/>
          <w:color w:val="000000" w:themeColor="text1"/>
          <w:sz w:val="24"/>
          <w:szCs w:val="24"/>
        </w:rPr>
        <w:lastRenderedPageBreak/>
        <w:t>cualquier otra cuestión planteada</w:t>
      </w:r>
      <w:r w:rsidR="00397017">
        <w:rPr>
          <w:rFonts w:ascii="AvantGarde Bk BT" w:hAnsi="AvantGarde Bk BT" w:cs="Arial"/>
          <w:color w:val="000000" w:themeColor="text1"/>
          <w:sz w:val="24"/>
          <w:szCs w:val="24"/>
        </w:rPr>
        <w:t>. En el caso, al no actualizarse causal de improcedencia alguna manifestada por el sujeto obligado o advertida por este órgano garante se procede al estudio de fondo de la cuestión planteada.</w:t>
      </w:r>
    </w:p>
    <w:p w14:paraId="4810A162" w14:textId="77777777" w:rsidR="00852B70" w:rsidRDefault="00852B70" w:rsidP="00397017">
      <w:pPr>
        <w:pStyle w:val="corte4fondo"/>
        <w:tabs>
          <w:tab w:val="left" w:pos="567"/>
        </w:tabs>
        <w:ind w:firstLine="0"/>
        <w:rPr>
          <w:rFonts w:ascii="AvantGarde Bk BT" w:hAnsi="AvantGarde Bk BT" w:cs="Arial"/>
          <w:b/>
          <w:color w:val="000000" w:themeColor="text1"/>
          <w:sz w:val="24"/>
          <w:szCs w:val="24"/>
        </w:rPr>
      </w:pPr>
    </w:p>
    <w:p w14:paraId="410C1580" w14:textId="07CE27BB" w:rsidR="00E215D2" w:rsidRPr="008B5FE3" w:rsidRDefault="00852B70" w:rsidP="008B5FE3">
      <w:pPr>
        <w:pStyle w:val="corte4fondo"/>
        <w:tabs>
          <w:tab w:val="left" w:pos="567"/>
        </w:tabs>
        <w:ind w:firstLine="680"/>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 xml:space="preserve">SEXTO. </w:t>
      </w:r>
      <w:r w:rsidR="00E215D2" w:rsidRPr="007C5605">
        <w:rPr>
          <w:rFonts w:ascii="AvantGarde Bk BT" w:hAnsi="AvantGarde Bk BT" w:cs="Arial"/>
          <w:b/>
          <w:color w:val="000000" w:themeColor="text1"/>
          <w:sz w:val="24"/>
          <w:szCs w:val="24"/>
        </w:rPr>
        <w:t>Estudio de fondo.</w:t>
      </w:r>
      <w:r w:rsidR="00E215D2" w:rsidRPr="007C5605">
        <w:rPr>
          <w:rFonts w:ascii="AvantGarde Bk BT" w:hAnsi="AvantGarde Bk BT" w:cs="Arial"/>
          <w:color w:val="000000" w:themeColor="text1"/>
          <w:sz w:val="24"/>
          <w:szCs w:val="24"/>
        </w:rPr>
        <w:t xml:space="preserve">  Esta Comisión Estatal de Garantía de Acceso a la Información Pública entra al estudio de fondo del presente asunto de conformidad con lo siguiente:</w:t>
      </w:r>
    </w:p>
    <w:p w14:paraId="07A1B4BB" w14:textId="20ACF90A" w:rsidR="008540CA" w:rsidRDefault="008540CA" w:rsidP="00E215D2">
      <w:pPr>
        <w:pStyle w:val="corte4fondo"/>
        <w:tabs>
          <w:tab w:val="left" w:pos="567"/>
        </w:tabs>
        <w:rPr>
          <w:rFonts w:ascii="AvantGarde Bk BT" w:hAnsi="AvantGarde Bk BT" w:cs="Arial"/>
          <w:color w:val="000000" w:themeColor="text1"/>
          <w:sz w:val="24"/>
          <w:szCs w:val="24"/>
        </w:rPr>
      </w:pPr>
    </w:p>
    <w:p w14:paraId="61B88DA7" w14:textId="7B5EA90F" w:rsidR="004F2B2F" w:rsidRDefault="003854F9"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Bien, el presente recurso </w:t>
      </w:r>
      <w:r w:rsidR="004F2B2F">
        <w:rPr>
          <w:rFonts w:ascii="AvantGarde Bk BT" w:hAnsi="AvantGarde Bk BT" w:cs="Arial"/>
          <w:color w:val="000000" w:themeColor="text1"/>
          <w:sz w:val="24"/>
          <w:szCs w:val="24"/>
        </w:rPr>
        <w:t>se originó en virtud de que el recurrente solicitó al Poder Judicial del Estado la siguiente Información:</w:t>
      </w:r>
    </w:p>
    <w:p w14:paraId="77837A29" w14:textId="77777777" w:rsidR="00D65554" w:rsidRDefault="00D65554" w:rsidP="00E215D2">
      <w:pPr>
        <w:pStyle w:val="corte4fondo"/>
        <w:tabs>
          <w:tab w:val="left" w:pos="567"/>
        </w:tabs>
        <w:rPr>
          <w:rFonts w:ascii="AvantGarde Bk BT" w:hAnsi="AvantGarde Bk BT" w:cs="Arial"/>
          <w:color w:val="000000" w:themeColor="text1"/>
          <w:sz w:val="24"/>
          <w:szCs w:val="24"/>
        </w:rPr>
      </w:pPr>
    </w:p>
    <w:p w14:paraId="3662D4C4" w14:textId="5475729F" w:rsidR="00CA3C25" w:rsidRPr="00DC6D5E" w:rsidRDefault="00DC6D5E" w:rsidP="00DC6D5E">
      <w:pPr>
        <w:pStyle w:val="corte4fondo"/>
        <w:tabs>
          <w:tab w:val="left" w:pos="567"/>
        </w:tabs>
        <w:rPr>
          <w:rFonts w:ascii="AvantGarde Bk BT" w:hAnsi="AvantGarde Bk BT" w:cs="Arial"/>
          <w:color w:val="000000" w:themeColor="text1"/>
          <w:sz w:val="24"/>
          <w:szCs w:val="24"/>
        </w:rPr>
      </w:pPr>
      <w:r w:rsidRPr="003E1AE0">
        <w:rPr>
          <w:rFonts w:ascii="AvantGarde Bk BT" w:hAnsi="AvantGarde Bk BT" w:cs="Arial"/>
          <w:i/>
          <w:color w:val="000000" w:themeColor="text1"/>
          <w:sz w:val="24"/>
          <w:szCs w:val="24"/>
        </w:rPr>
        <w:t>“Inventario de la dirección de recursos financieros.”</w:t>
      </w:r>
      <w:r>
        <w:rPr>
          <w:rFonts w:ascii="AvantGarde Bk BT" w:hAnsi="AvantGarde Bk BT" w:cs="Arial"/>
          <w:color w:val="000000" w:themeColor="text1"/>
          <w:sz w:val="24"/>
          <w:szCs w:val="24"/>
        </w:rPr>
        <w:t xml:space="preserve"> (sic)</w:t>
      </w:r>
    </w:p>
    <w:p w14:paraId="2E91D504" w14:textId="77777777" w:rsidR="00CA3C25" w:rsidRDefault="00CA3C25" w:rsidP="00E215D2">
      <w:pPr>
        <w:pStyle w:val="corte4fondo"/>
        <w:tabs>
          <w:tab w:val="left" w:pos="567"/>
        </w:tabs>
        <w:rPr>
          <w:rFonts w:ascii="AvantGarde Bk BT" w:hAnsi="AvantGarde Bk BT" w:cs="Arial"/>
          <w:color w:val="000000" w:themeColor="text1"/>
          <w:sz w:val="24"/>
          <w:szCs w:val="24"/>
        </w:rPr>
      </w:pPr>
    </w:p>
    <w:p w14:paraId="1C87F20B" w14:textId="0F2F07AB" w:rsidR="00CA3C25" w:rsidRDefault="00CA3C2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A dicha solicitud recayó la siguiente respuesta:</w:t>
      </w:r>
    </w:p>
    <w:p w14:paraId="633A2765" w14:textId="3705DDF6" w:rsidR="00CA3C25" w:rsidRDefault="00881A93" w:rsidP="00E215D2">
      <w:pPr>
        <w:pStyle w:val="corte4fondo"/>
        <w:tabs>
          <w:tab w:val="left" w:pos="567"/>
        </w:tabs>
        <w:rPr>
          <w:rFonts w:ascii="AvantGarde Bk BT" w:hAnsi="AvantGarde Bk BT" w:cs="Arial"/>
          <w:color w:val="000000" w:themeColor="text1"/>
          <w:sz w:val="24"/>
          <w:szCs w:val="24"/>
        </w:rPr>
      </w:pPr>
      <w:r>
        <w:rPr>
          <w:noProof/>
        </w:rPr>
        <w:drawing>
          <wp:anchor distT="0" distB="0" distL="114300" distR="114300" simplePos="0" relativeHeight="251658240" behindDoc="0" locked="0" layoutInCell="1" allowOverlap="1" wp14:anchorId="397CFBF0" wp14:editId="34C93C8A">
            <wp:simplePos x="0" y="0"/>
            <wp:positionH relativeFrom="margin">
              <wp:posOffset>851535</wp:posOffset>
            </wp:positionH>
            <wp:positionV relativeFrom="paragraph">
              <wp:posOffset>1270</wp:posOffset>
            </wp:positionV>
            <wp:extent cx="4886325" cy="4697730"/>
            <wp:effectExtent l="0" t="0" r="9525" b="762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33848" t="15519" r="27038" b="17588"/>
                    <a:stretch/>
                  </pic:blipFill>
                  <pic:spPr bwMode="auto">
                    <a:xfrm>
                      <a:off x="0" y="0"/>
                      <a:ext cx="4886325" cy="46977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840F128" w14:textId="7C15F809" w:rsidR="00E63C20" w:rsidRDefault="00B57DE4">
      <w:pPr>
        <w:rPr>
          <w:rFonts w:ascii="AvantGarde Bk BT" w:eastAsia="Times New Roman" w:hAnsi="AvantGarde Bk BT" w:cs="Arial"/>
          <w:color w:val="000000" w:themeColor="text1"/>
          <w:sz w:val="24"/>
          <w:szCs w:val="24"/>
        </w:rPr>
      </w:pPr>
      <w:r>
        <w:rPr>
          <w:rFonts w:ascii="AvantGarde Bk BT" w:hAnsi="AvantGarde Bk BT" w:cs="Arial"/>
          <w:color w:val="000000" w:themeColor="text1"/>
          <w:sz w:val="24"/>
          <w:szCs w:val="24"/>
        </w:rPr>
        <w:br w:type="page"/>
      </w:r>
    </w:p>
    <w:p w14:paraId="1D5FE0CF" w14:textId="3BA9DA50" w:rsidR="00E63C20" w:rsidRDefault="00E63C20"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 xml:space="preserve">Pues bien, debido a dicha respuesta el recurrente interpuso el presente recurso de revisión y </w:t>
      </w:r>
      <w:r w:rsidR="00881A93">
        <w:rPr>
          <w:rFonts w:ascii="AvantGarde Bk BT" w:hAnsi="AvantGarde Bk BT" w:cs="Arial"/>
          <w:color w:val="000000" w:themeColor="text1"/>
          <w:sz w:val="24"/>
          <w:szCs w:val="24"/>
        </w:rPr>
        <w:t>textualmente</w:t>
      </w:r>
      <w:r>
        <w:rPr>
          <w:rFonts w:ascii="AvantGarde Bk BT" w:hAnsi="AvantGarde Bk BT" w:cs="Arial"/>
          <w:color w:val="000000" w:themeColor="text1"/>
          <w:sz w:val="24"/>
          <w:szCs w:val="24"/>
        </w:rPr>
        <w:t xml:space="preserve"> señaló como agravio:</w:t>
      </w:r>
    </w:p>
    <w:p w14:paraId="4B58FD71" w14:textId="77777777" w:rsidR="00FF2EBE" w:rsidRDefault="00FF2EBE" w:rsidP="00E215D2">
      <w:pPr>
        <w:pStyle w:val="corte4fondo"/>
        <w:tabs>
          <w:tab w:val="left" w:pos="567"/>
        </w:tabs>
        <w:rPr>
          <w:rFonts w:ascii="AvantGarde Bk BT" w:hAnsi="AvantGarde Bk BT" w:cs="Arial"/>
          <w:color w:val="000000" w:themeColor="text1"/>
          <w:sz w:val="24"/>
          <w:szCs w:val="24"/>
        </w:rPr>
      </w:pPr>
    </w:p>
    <w:p w14:paraId="3AC5516C" w14:textId="77777777" w:rsidR="00881A93" w:rsidRPr="00FF2EBE" w:rsidRDefault="00881A93" w:rsidP="00881A93">
      <w:pPr>
        <w:pStyle w:val="corte4fondo"/>
        <w:tabs>
          <w:tab w:val="left" w:pos="567"/>
        </w:tabs>
        <w:ind w:left="1069"/>
        <w:rPr>
          <w:rFonts w:ascii="AvantGarde Bk BT" w:hAnsi="AvantGarde Bk BT" w:cs="Arial"/>
          <w:i/>
          <w:color w:val="000000" w:themeColor="text1"/>
          <w:sz w:val="24"/>
          <w:szCs w:val="24"/>
        </w:rPr>
      </w:pPr>
      <w:r w:rsidRPr="00FF2EBE">
        <w:rPr>
          <w:rFonts w:ascii="AvantGarde Bk BT" w:hAnsi="AvantGarde Bk BT" w:cs="Arial"/>
          <w:i/>
          <w:color w:val="000000" w:themeColor="text1"/>
          <w:sz w:val="24"/>
          <w:szCs w:val="24"/>
        </w:rPr>
        <w:t xml:space="preserve">“1. Si bien existe un inventario general publicado yo no solicité eso, si no el inventario específico de un área del gobierno. </w:t>
      </w:r>
    </w:p>
    <w:p w14:paraId="3ED16E35" w14:textId="77777777" w:rsidR="00881A93" w:rsidRPr="00FF2EBE" w:rsidRDefault="00881A93" w:rsidP="00881A93">
      <w:pPr>
        <w:pStyle w:val="corte4fondo"/>
        <w:tabs>
          <w:tab w:val="left" w:pos="567"/>
        </w:tabs>
        <w:ind w:left="1069"/>
        <w:rPr>
          <w:rFonts w:ascii="AvantGarde Bk BT" w:hAnsi="AvantGarde Bk BT" w:cs="Arial"/>
          <w:i/>
          <w:color w:val="000000" w:themeColor="text1"/>
          <w:sz w:val="24"/>
          <w:szCs w:val="24"/>
        </w:rPr>
      </w:pPr>
      <w:r w:rsidRPr="00FF2EBE">
        <w:rPr>
          <w:rFonts w:ascii="AvantGarde Bk BT" w:hAnsi="AvantGarde Bk BT" w:cs="Arial"/>
          <w:i/>
          <w:color w:val="000000" w:themeColor="text1"/>
          <w:sz w:val="24"/>
          <w:szCs w:val="24"/>
        </w:rPr>
        <w:t xml:space="preserve">2. Considero que es un documento que existe por </w:t>
      </w:r>
      <w:proofErr w:type="spellStart"/>
      <w:r w:rsidRPr="00FF2EBE">
        <w:rPr>
          <w:rFonts w:ascii="AvantGarde Bk BT" w:hAnsi="AvantGarde Bk BT" w:cs="Arial"/>
          <w:i/>
          <w:color w:val="000000" w:themeColor="text1"/>
          <w:sz w:val="24"/>
          <w:szCs w:val="24"/>
        </w:rPr>
        <w:t>asi</w:t>
      </w:r>
      <w:proofErr w:type="spellEnd"/>
      <w:r w:rsidRPr="00FF2EBE">
        <w:rPr>
          <w:rFonts w:ascii="AvantGarde Bk BT" w:hAnsi="AvantGarde Bk BT" w:cs="Arial"/>
          <w:i/>
          <w:color w:val="000000" w:themeColor="text1"/>
          <w:sz w:val="24"/>
          <w:szCs w:val="24"/>
        </w:rPr>
        <w:t xml:space="preserve"> solicitarlo diversas normas, por ejemplo, Si cada titular de área está obligado a hacer una entrega recepción de un inventario de bienes, eso significa que el mismo existe, si consideramos que “la información derivada de las obligaciones de transparencia debe existir si se refiere a las facultades, competencias y funciones que los ordenamientos jurídicos y administrativos otorgan a los sujetos obligados”, entonces se entiende que sí existen tales inventarios de cada área.</w:t>
      </w:r>
    </w:p>
    <w:p w14:paraId="54649CED" w14:textId="39F4C76B" w:rsidR="00116955" w:rsidRDefault="00881A93" w:rsidP="00881A93">
      <w:pPr>
        <w:pStyle w:val="corte4fondo"/>
        <w:tabs>
          <w:tab w:val="left" w:pos="567"/>
        </w:tabs>
        <w:ind w:left="1069" w:firstLine="0"/>
        <w:rPr>
          <w:rFonts w:ascii="AvantGarde Bk BT" w:hAnsi="AvantGarde Bk BT" w:cs="Arial"/>
          <w:color w:val="000000" w:themeColor="text1"/>
          <w:sz w:val="24"/>
          <w:szCs w:val="24"/>
        </w:rPr>
      </w:pPr>
      <w:r w:rsidRPr="00FF2EBE">
        <w:rPr>
          <w:rFonts w:ascii="AvantGarde Bk BT" w:hAnsi="AvantGarde Bk BT" w:cs="Arial"/>
          <w:i/>
          <w:color w:val="000000" w:themeColor="text1"/>
          <w:sz w:val="24"/>
          <w:szCs w:val="24"/>
        </w:rPr>
        <w:t>3. En este caso el Poder Judicial no se manifiesta respecto de lo que solicité y me contestan sobre un documento diverso que no corresponde a un área específica, por lo anterior, deben o darme lo que solicito o elaborar un acta del comité de transparencia donde conste que no existe lo que he solicitado.”</w:t>
      </w:r>
      <w:r>
        <w:rPr>
          <w:rFonts w:ascii="AvantGarde Bk BT" w:hAnsi="AvantGarde Bk BT" w:cs="Arial"/>
          <w:color w:val="000000" w:themeColor="text1"/>
          <w:sz w:val="24"/>
          <w:szCs w:val="24"/>
        </w:rPr>
        <w:t xml:space="preserve"> (sic)</w:t>
      </w:r>
    </w:p>
    <w:p w14:paraId="2FFFB4BD" w14:textId="77777777" w:rsidR="00FF2EBE" w:rsidRDefault="00FF2EBE" w:rsidP="00881A93">
      <w:pPr>
        <w:pStyle w:val="corte4fondo"/>
        <w:tabs>
          <w:tab w:val="left" w:pos="567"/>
        </w:tabs>
        <w:ind w:left="1069" w:firstLine="0"/>
        <w:rPr>
          <w:rFonts w:ascii="AvantGarde Bk BT" w:hAnsi="AvantGarde Bk BT" w:cs="Arial"/>
          <w:color w:val="000000" w:themeColor="text1"/>
          <w:sz w:val="24"/>
          <w:szCs w:val="24"/>
        </w:rPr>
      </w:pPr>
    </w:p>
    <w:p w14:paraId="64A6211E" w14:textId="6FA0CD09" w:rsidR="004B0B19" w:rsidRDefault="007B4E6C" w:rsidP="004B0B19">
      <w:pPr>
        <w:pStyle w:val="corte4fondo"/>
        <w:tabs>
          <w:tab w:val="left" w:pos="567"/>
        </w:tabs>
        <w:rPr>
          <w:rFonts w:ascii="AvantGarde Bk BT" w:hAnsi="AvantGarde Bk BT" w:cs="Arial"/>
          <w:color w:val="000000" w:themeColor="text1"/>
          <w:sz w:val="24"/>
          <w:szCs w:val="24"/>
        </w:rPr>
      </w:pPr>
      <w:r w:rsidRPr="00881A93">
        <w:rPr>
          <w:rFonts w:ascii="AvantGarde Bk BT" w:hAnsi="AvantGarde Bk BT" w:cs="Arial"/>
          <w:color w:val="000000" w:themeColor="text1"/>
          <w:sz w:val="24"/>
          <w:szCs w:val="24"/>
        </w:rPr>
        <w:t>Ahora</w:t>
      </w:r>
      <w:r w:rsidR="00956935" w:rsidRPr="00881A93">
        <w:rPr>
          <w:rFonts w:ascii="AvantGarde Bk BT" w:hAnsi="AvantGarde Bk BT" w:cs="Arial"/>
          <w:color w:val="000000" w:themeColor="text1"/>
          <w:sz w:val="24"/>
          <w:szCs w:val="24"/>
        </w:rPr>
        <w:t xml:space="preserve">, </w:t>
      </w:r>
      <w:r w:rsidR="00325459" w:rsidRPr="00881A93">
        <w:rPr>
          <w:rFonts w:ascii="AvantGarde Bk BT" w:hAnsi="AvantGarde Bk BT" w:cs="Arial"/>
          <w:color w:val="000000" w:themeColor="text1"/>
          <w:sz w:val="24"/>
          <w:szCs w:val="24"/>
        </w:rPr>
        <w:t xml:space="preserve">en el informe que rindió el sujeto obligado ante esta Comisión, </w:t>
      </w:r>
      <w:r w:rsidR="006B0283" w:rsidRPr="00881A93">
        <w:rPr>
          <w:rFonts w:ascii="AvantGarde Bk BT" w:hAnsi="AvantGarde Bk BT" w:cs="Arial"/>
          <w:color w:val="000000" w:themeColor="text1"/>
          <w:sz w:val="24"/>
          <w:szCs w:val="24"/>
        </w:rPr>
        <w:t>manifestó</w:t>
      </w:r>
      <w:r w:rsidR="00881A93" w:rsidRPr="00881A93">
        <w:rPr>
          <w:rFonts w:ascii="AvantGarde Bk BT" w:hAnsi="AvantGarde Bk BT" w:cs="Arial"/>
          <w:color w:val="000000" w:themeColor="text1"/>
          <w:sz w:val="24"/>
          <w:szCs w:val="24"/>
        </w:rPr>
        <w:t>:</w:t>
      </w:r>
      <w:r w:rsidR="006B0283" w:rsidRPr="00881A93">
        <w:rPr>
          <w:rFonts w:ascii="AvantGarde Bk BT" w:hAnsi="AvantGarde Bk BT" w:cs="Arial"/>
          <w:color w:val="000000" w:themeColor="text1"/>
          <w:sz w:val="24"/>
          <w:szCs w:val="24"/>
        </w:rPr>
        <w:t xml:space="preserve"> </w:t>
      </w:r>
    </w:p>
    <w:p w14:paraId="5D095D9B" w14:textId="77777777" w:rsidR="00FF2EBE" w:rsidRDefault="00FF2EBE" w:rsidP="004B0B19">
      <w:pPr>
        <w:pStyle w:val="corte4fondo"/>
        <w:tabs>
          <w:tab w:val="left" w:pos="567"/>
        </w:tabs>
        <w:rPr>
          <w:rFonts w:ascii="AvantGarde Bk BT" w:hAnsi="AvantGarde Bk BT" w:cs="Arial"/>
          <w:color w:val="000000" w:themeColor="text1"/>
          <w:sz w:val="24"/>
          <w:szCs w:val="24"/>
        </w:rPr>
      </w:pPr>
    </w:p>
    <w:p w14:paraId="54516FD0" w14:textId="2C2686AD" w:rsidR="0060491A" w:rsidRDefault="00881A93" w:rsidP="00E215D2">
      <w:pPr>
        <w:pStyle w:val="corte4fondo"/>
        <w:tabs>
          <w:tab w:val="left" w:pos="567"/>
        </w:tabs>
        <w:rPr>
          <w:rFonts w:ascii="AvantGarde Bk BT" w:hAnsi="AvantGarde Bk BT" w:cs="Arial"/>
          <w:i/>
          <w:color w:val="000000" w:themeColor="text1"/>
          <w:sz w:val="24"/>
          <w:szCs w:val="24"/>
        </w:rPr>
      </w:pPr>
      <w:r w:rsidRPr="00FF2EBE">
        <w:rPr>
          <w:rFonts w:ascii="AvantGarde Bk BT" w:hAnsi="AvantGarde Bk BT" w:cs="Arial"/>
          <w:i/>
          <w:color w:val="000000" w:themeColor="text1"/>
          <w:sz w:val="24"/>
          <w:szCs w:val="24"/>
        </w:rPr>
        <w:t xml:space="preserve">“Respecto a las manifestaciones que hace el peticionario, se informa que no se tiene la obligación a procesar la información de conformidad con </w:t>
      </w:r>
      <w:r w:rsidR="00B1554F" w:rsidRPr="00FF2EBE">
        <w:rPr>
          <w:rFonts w:ascii="AvantGarde Bk BT" w:hAnsi="AvantGarde Bk BT" w:cs="Arial"/>
          <w:i/>
          <w:color w:val="000000" w:themeColor="text1"/>
          <w:sz w:val="24"/>
          <w:szCs w:val="24"/>
        </w:rPr>
        <w:t>lo señalado por los numerales 60 y 61 de la Ley de la materia, por lo tanto, deberá consultar la ruta proporcionada, tan es así que el recurrente refiere que consultó la información al mencionar expresamente “si bien existe un inventario general publicado.” por lo tanto, el peticionario acepta haber consultado la información y observar lo pedido, se publi</w:t>
      </w:r>
      <w:r w:rsidR="00FF2EBE" w:rsidRPr="00FF2EBE">
        <w:rPr>
          <w:rFonts w:ascii="AvantGarde Bk BT" w:hAnsi="AvantGarde Bk BT" w:cs="Arial"/>
          <w:i/>
          <w:color w:val="000000" w:themeColor="text1"/>
          <w:sz w:val="24"/>
          <w:szCs w:val="24"/>
        </w:rPr>
        <w:t>ca el inventario conforme a la L</w:t>
      </w:r>
      <w:r w:rsidR="00B1554F" w:rsidRPr="00FF2EBE">
        <w:rPr>
          <w:rFonts w:ascii="AvantGarde Bk BT" w:hAnsi="AvantGarde Bk BT" w:cs="Arial"/>
          <w:i/>
          <w:color w:val="000000" w:themeColor="text1"/>
          <w:sz w:val="24"/>
          <w:szCs w:val="24"/>
        </w:rPr>
        <w:t>ey de</w:t>
      </w:r>
      <w:r w:rsidR="00FF2EBE" w:rsidRPr="00FF2EBE">
        <w:rPr>
          <w:rFonts w:ascii="AvantGarde Bk BT" w:hAnsi="AvantGarde Bk BT" w:cs="Arial"/>
          <w:i/>
          <w:color w:val="000000" w:themeColor="text1"/>
          <w:sz w:val="24"/>
          <w:szCs w:val="24"/>
        </w:rPr>
        <w:t xml:space="preserve"> T</w:t>
      </w:r>
      <w:r w:rsidR="00B1554F" w:rsidRPr="00FF2EBE">
        <w:rPr>
          <w:rFonts w:ascii="AvantGarde Bk BT" w:hAnsi="AvantGarde Bk BT" w:cs="Arial"/>
          <w:i/>
          <w:color w:val="000000" w:themeColor="text1"/>
          <w:sz w:val="24"/>
          <w:szCs w:val="24"/>
        </w:rPr>
        <w:t xml:space="preserve">ransparencia y Acceso a la Información Pública, en el artículo 84, fracción XLI de la Ley de la materia, los Lineamientos Estatales para la Difusión, Disposición y Evaluación de las Obligaciones de Transparencia </w:t>
      </w:r>
      <w:r w:rsidR="00B1554F" w:rsidRPr="00FF2EBE">
        <w:rPr>
          <w:rFonts w:ascii="AvantGarde Bk BT" w:hAnsi="AvantGarde Bk BT" w:cs="Arial"/>
          <w:i/>
          <w:color w:val="000000" w:themeColor="text1"/>
          <w:sz w:val="24"/>
          <w:szCs w:val="24"/>
        </w:rPr>
        <w:lastRenderedPageBreak/>
        <w:t>Comunes y Específicas, publicados en el Periódico Oficial del Estado y emitidos por esta Comisión.”</w:t>
      </w:r>
    </w:p>
    <w:p w14:paraId="7FC58495" w14:textId="77777777" w:rsidR="00FF2EBE" w:rsidRPr="00FF2EBE" w:rsidRDefault="00FF2EBE" w:rsidP="00E215D2">
      <w:pPr>
        <w:pStyle w:val="corte4fondo"/>
        <w:tabs>
          <w:tab w:val="left" w:pos="567"/>
        </w:tabs>
        <w:rPr>
          <w:rFonts w:ascii="AvantGarde Bk BT" w:hAnsi="AvantGarde Bk BT" w:cs="Arial"/>
          <w:i/>
          <w:color w:val="000000" w:themeColor="text1"/>
          <w:sz w:val="24"/>
          <w:szCs w:val="24"/>
        </w:rPr>
      </w:pPr>
    </w:p>
    <w:p w14:paraId="3603F877" w14:textId="796DBC2A" w:rsidR="00A779D1" w:rsidRDefault="00A779D1" w:rsidP="00FF2EBE">
      <w:pPr>
        <w:pStyle w:val="corte4fondo"/>
        <w:tabs>
          <w:tab w:val="left" w:pos="567"/>
        </w:tabs>
        <w:rPr>
          <w:rFonts w:ascii="AvantGarde Bk BT" w:hAnsi="AvantGarde Bk BT" w:cs="Arial"/>
          <w:color w:val="000000" w:themeColor="text1"/>
          <w:sz w:val="24"/>
          <w:szCs w:val="24"/>
        </w:rPr>
      </w:pPr>
      <w:r w:rsidRPr="003F38A7">
        <w:rPr>
          <w:rFonts w:ascii="AvantGarde Bk BT" w:hAnsi="AvantGarde Bk BT" w:cs="Arial"/>
          <w:color w:val="000000" w:themeColor="text1"/>
          <w:sz w:val="24"/>
          <w:szCs w:val="24"/>
        </w:rPr>
        <w:t xml:space="preserve">Bien, para los efectos del presente estudio se procedió a revisar el siguiente enlace electrónico:  </w:t>
      </w:r>
      <w:hyperlink r:id="rId9" w:history="1">
        <w:r w:rsidR="00135278" w:rsidRPr="003F38A7">
          <w:rPr>
            <w:rStyle w:val="Hipervnculo"/>
            <w:rFonts w:ascii="AvantGarde Bk BT" w:hAnsi="AvantGarde Bk BT" w:cs="Arial"/>
            <w:sz w:val="24"/>
            <w:szCs w:val="24"/>
          </w:rPr>
          <w:t>http://www.cegaipslp.org.mx/webcegaip2018N2.nfs/nombre_de_la_vista/A5FBFFF2CDA550AB86258317005D3844/$File/LTAIPSLP84XLIA++ago++18.xlsx</w:t>
        </w:r>
      </w:hyperlink>
      <w:r w:rsidR="00135278" w:rsidRPr="003F38A7">
        <w:rPr>
          <w:rFonts w:ascii="AvantGarde Bk BT" w:hAnsi="AvantGarde Bk BT" w:cs="Arial"/>
          <w:color w:val="000000" w:themeColor="text1"/>
          <w:sz w:val="24"/>
          <w:szCs w:val="24"/>
        </w:rPr>
        <w:t xml:space="preserve"> , misma que fue </w:t>
      </w:r>
      <w:r w:rsidRPr="003F38A7">
        <w:rPr>
          <w:rFonts w:ascii="AvantGarde Bk BT" w:hAnsi="AvantGarde Bk BT" w:cs="Arial"/>
          <w:color w:val="000000" w:themeColor="text1"/>
          <w:sz w:val="24"/>
          <w:szCs w:val="24"/>
        </w:rPr>
        <w:t>proporcionado por el sujeto</w:t>
      </w:r>
      <w:r w:rsidR="00135278" w:rsidRPr="003F38A7">
        <w:rPr>
          <w:rFonts w:ascii="AvantGarde Bk BT" w:hAnsi="AvantGarde Bk BT" w:cs="Arial"/>
          <w:color w:val="000000" w:themeColor="text1"/>
          <w:sz w:val="24"/>
          <w:szCs w:val="24"/>
        </w:rPr>
        <w:t xml:space="preserve"> obligado en su respuesta y abre </w:t>
      </w:r>
      <w:r w:rsidR="00F420CC" w:rsidRPr="003F38A7">
        <w:rPr>
          <w:rFonts w:ascii="AvantGarde Bk BT" w:hAnsi="AvantGarde Bk BT" w:cs="Arial"/>
          <w:color w:val="000000" w:themeColor="text1"/>
          <w:sz w:val="24"/>
          <w:szCs w:val="24"/>
        </w:rPr>
        <w:t xml:space="preserve">el formato LTAIPSLPXLIA alojado en la Plataforma Estatal de Transparencia; sin embargo, </w:t>
      </w:r>
      <w:r w:rsidR="003F38A7" w:rsidRPr="003F38A7">
        <w:rPr>
          <w:rFonts w:ascii="AvantGarde Bk BT" w:hAnsi="AvantGarde Bk BT" w:cs="Arial"/>
          <w:color w:val="000000" w:themeColor="text1"/>
          <w:sz w:val="24"/>
          <w:szCs w:val="24"/>
        </w:rPr>
        <w:t>al revisar el mencionado documento se aprecia que no existe un campo mediante el cual se le pueda permitir al solicitante de la información</w:t>
      </w:r>
      <w:r w:rsidR="00F07424">
        <w:rPr>
          <w:rFonts w:ascii="AvantGarde Bk BT" w:hAnsi="AvantGarde Bk BT" w:cs="Arial"/>
          <w:color w:val="000000" w:themeColor="text1"/>
          <w:sz w:val="24"/>
          <w:szCs w:val="24"/>
        </w:rPr>
        <w:t>, determinar</w:t>
      </w:r>
      <w:r w:rsidR="003F38A7">
        <w:rPr>
          <w:rFonts w:ascii="AvantGarde Bk BT" w:hAnsi="AvantGarde Bk BT" w:cs="Arial"/>
          <w:color w:val="000000" w:themeColor="text1"/>
          <w:sz w:val="24"/>
          <w:szCs w:val="24"/>
        </w:rPr>
        <w:t xml:space="preserve"> a </w:t>
      </w:r>
      <w:r w:rsidR="00F07424">
        <w:rPr>
          <w:rFonts w:ascii="AvantGarde Bk BT" w:hAnsi="AvantGarde Bk BT" w:cs="Arial"/>
          <w:color w:val="000000" w:themeColor="text1"/>
          <w:sz w:val="24"/>
          <w:szCs w:val="24"/>
        </w:rPr>
        <w:t>qué</w:t>
      </w:r>
      <w:r w:rsidR="003F38A7">
        <w:rPr>
          <w:rFonts w:ascii="AvantGarde Bk BT" w:hAnsi="AvantGarde Bk BT" w:cs="Arial"/>
          <w:color w:val="000000" w:themeColor="text1"/>
          <w:sz w:val="24"/>
          <w:szCs w:val="24"/>
        </w:rPr>
        <w:t xml:space="preserve"> área pertenece los bienes listados.</w:t>
      </w:r>
    </w:p>
    <w:p w14:paraId="6BFA996E" w14:textId="77777777" w:rsidR="003F38A7" w:rsidRDefault="003F38A7" w:rsidP="00FF2EBE">
      <w:pPr>
        <w:pStyle w:val="corte4fondo"/>
        <w:tabs>
          <w:tab w:val="left" w:pos="567"/>
        </w:tabs>
        <w:rPr>
          <w:rFonts w:ascii="AvantGarde Bk BT" w:hAnsi="AvantGarde Bk BT" w:cs="Arial"/>
          <w:color w:val="000000" w:themeColor="text1"/>
          <w:sz w:val="24"/>
          <w:szCs w:val="24"/>
        </w:rPr>
      </w:pPr>
    </w:p>
    <w:p w14:paraId="5D7E888B" w14:textId="33D2F1A7" w:rsidR="0014704E" w:rsidRPr="00791DEC" w:rsidRDefault="00791DEC" w:rsidP="00FF2EBE">
      <w:pPr>
        <w:pStyle w:val="corte4fondo"/>
        <w:tabs>
          <w:tab w:val="left" w:pos="567"/>
        </w:tabs>
        <w:rPr>
          <w:rFonts w:ascii="AvantGarde Bk BT" w:hAnsi="AvantGarde Bk BT" w:cs="Arial"/>
          <w:i/>
          <w:color w:val="000000" w:themeColor="text1"/>
          <w:sz w:val="22"/>
          <w:szCs w:val="22"/>
        </w:rPr>
      </w:pPr>
      <w:r>
        <w:rPr>
          <w:rFonts w:ascii="AvantGarde Bk BT" w:hAnsi="AvantGarde Bk BT" w:cs="Arial"/>
          <w:color w:val="000000" w:themeColor="text1"/>
          <w:sz w:val="24"/>
          <w:szCs w:val="24"/>
        </w:rPr>
        <w:t>Al respecto</w:t>
      </w:r>
      <w:r w:rsidR="0014704E" w:rsidRPr="0014704E">
        <w:rPr>
          <w:rFonts w:ascii="AvantGarde Bk BT" w:hAnsi="AvantGarde Bk BT" w:cs="Arial"/>
          <w:color w:val="000000" w:themeColor="text1"/>
          <w:sz w:val="24"/>
          <w:szCs w:val="24"/>
        </w:rPr>
        <w:t xml:space="preserve">, </w:t>
      </w:r>
      <w:r w:rsidR="00FF2EBE">
        <w:rPr>
          <w:rFonts w:ascii="AvantGarde Bk BT" w:hAnsi="AvantGarde Bk BT" w:cs="Arial"/>
          <w:color w:val="000000" w:themeColor="text1"/>
          <w:sz w:val="24"/>
          <w:szCs w:val="24"/>
        </w:rPr>
        <w:t xml:space="preserve">este órgano garante considera que resultan </w:t>
      </w:r>
      <w:r w:rsidR="00A779D1">
        <w:rPr>
          <w:rFonts w:ascii="AvantGarde Bk BT" w:hAnsi="AvantGarde Bk BT" w:cs="Arial"/>
          <w:color w:val="000000" w:themeColor="text1"/>
          <w:sz w:val="24"/>
          <w:szCs w:val="24"/>
        </w:rPr>
        <w:t>procedentes los agravios vertidos por el recurrente, lo anterior en virtud del contenido del artículo 151 de la Ley de la materia</w:t>
      </w:r>
      <w:r w:rsidR="00A779D1">
        <w:rPr>
          <w:rStyle w:val="Refdenotaalpie"/>
          <w:rFonts w:ascii="AvantGarde Bk BT" w:hAnsi="AvantGarde Bk BT" w:cs="Arial"/>
          <w:color w:val="000000" w:themeColor="text1"/>
          <w:sz w:val="24"/>
          <w:szCs w:val="24"/>
        </w:rPr>
        <w:footnoteReference w:id="1"/>
      </w:r>
      <w:r w:rsidR="00A779D1">
        <w:rPr>
          <w:rFonts w:ascii="AvantGarde Bk BT" w:hAnsi="AvantGarde Bk BT" w:cs="Arial"/>
          <w:color w:val="000000" w:themeColor="text1"/>
          <w:sz w:val="24"/>
          <w:szCs w:val="24"/>
        </w:rPr>
        <w:t>, pues este indica que los entes obligados deben permitir el acceso a los documentos que se encuentren en sus archivos o que se encuentren obligados a generar de acuerdo con sus facultades o competencias.</w:t>
      </w:r>
    </w:p>
    <w:p w14:paraId="5A493368" w14:textId="77777777" w:rsidR="0014704E" w:rsidRPr="0014704E" w:rsidRDefault="0014704E" w:rsidP="0014704E">
      <w:pPr>
        <w:pStyle w:val="corte4fondo"/>
        <w:tabs>
          <w:tab w:val="left" w:pos="567"/>
        </w:tabs>
        <w:rPr>
          <w:rFonts w:ascii="AvantGarde Bk BT" w:hAnsi="AvantGarde Bk BT" w:cs="Arial"/>
          <w:color w:val="000000" w:themeColor="text1"/>
          <w:sz w:val="24"/>
          <w:szCs w:val="24"/>
        </w:rPr>
      </w:pPr>
    </w:p>
    <w:p w14:paraId="3D4C5FCC" w14:textId="61DF9117" w:rsidR="00A779D1" w:rsidRDefault="00F07424" w:rsidP="0014704E">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En este orden de ideas, se debe puntualizar que si bien existe un inventario general de los bienes muebles en posesión y/o propiedad del sujeto obligado, también lo es que la información proporcionada no satisface lo requerido por el solicitante, pues en la respuesta otorgada no se advierte a que área pertenece cada bien inventariado.</w:t>
      </w:r>
    </w:p>
    <w:p w14:paraId="58AF8DCB" w14:textId="77777777" w:rsidR="00F07424" w:rsidRDefault="00F07424" w:rsidP="0014704E">
      <w:pPr>
        <w:pStyle w:val="corte4fondo"/>
        <w:tabs>
          <w:tab w:val="left" w:pos="567"/>
        </w:tabs>
        <w:rPr>
          <w:rFonts w:ascii="AvantGarde Bk BT" w:hAnsi="AvantGarde Bk BT" w:cs="Arial"/>
          <w:color w:val="000000" w:themeColor="text1"/>
          <w:sz w:val="24"/>
          <w:szCs w:val="24"/>
        </w:rPr>
      </w:pPr>
    </w:p>
    <w:p w14:paraId="58CE1238" w14:textId="06926132" w:rsidR="00F07424" w:rsidRDefault="003F1ADA" w:rsidP="0014704E">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Por otro lado, es dable hacer el señalamiento de que, de conformidad con el artículo 1</w:t>
      </w:r>
      <w:r w:rsidR="003226DE">
        <w:rPr>
          <w:rStyle w:val="Refdenotaalpie"/>
          <w:rFonts w:ascii="AvantGarde Bk BT" w:hAnsi="AvantGarde Bk BT" w:cs="Arial"/>
          <w:color w:val="000000" w:themeColor="text1"/>
          <w:sz w:val="24"/>
          <w:szCs w:val="24"/>
        </w:rPr>
        <w:footnoteReference w:id="2"/>
      </w:r>
      <w:r>
        <w:rPr>
          <w:rFonts w:ascii="AvantGarde Bk BT" w:hAnsi="AvantGarde Bk BT" w:cs="Arial"/>
          <w:color w:val="000000" w:themeColor="text1"/>
          <w:sz w:val="24"/>
          <w:szCs w:val="24"/>
        </w:rPr>
        <w:t>, 2</w:t>
      </w:r>
      <w:r w:rsidR="003226DE">
        <w:rPr>
          <w:rStyle w:val="Refdenotaalpie"/>
          <w:rFonts w:ascii="AvantGarde Bk BT" w:hAnsi="AvantGarde Bk BT" w:cs="Arial"/>
          <w:color w:val="000000" w:themeColor="text1"/>
          <w:sz w:val="24"/>
          <w:szCs w:val="24"/>
        </w:rPr>
        <w:footnoteReference w:id="3"/>
      </w:r>
      <w:r>
        <w:rPr>
          <w:rFonts w:ascii="AvantGarde Bk BT" w:hAnsi="AvantGarde Bk BT" w:cs="Arial"/>
          <w:color w:val="000000" w:themeColor="text1"/>
          <w:sz w:val="24"/>
          <w:szCs w:val="24"/>
        </w:rPr>
        <w:t>, 4</w:t>
      </w:r>
      <w:r w:rsidR="009647A2">
        <w:rPr>
          <w:rStyle w:val="Refdenotaalpie"/>
          <w:rFonts w:ascii="AvantGarde Bk BT" w:hAnsi="AvantGarde Bk BT" w:cs="Arial"/>
          <w:color w:val="000000" w:themeColor="text1"/>
          <w:sz w:val="24"/>
          <w:szCs w:val="24"/>
        </w:rPr>
        <w:footnoteReference w:id="4"/>
      </w:r>
      <w:r>
        <w:rPr>
          <w:rFonts w:ascii="AvantGarde Bk BT" w:hAnsi="AvantGarde Bk BT" w:cs="Arial"/>
          <w:color w:val="000000" w:themeColor="text1"/>
          <w:sz w:val="24"/>
          <w:szCs w:val="24"/>
        </w:rPr>
        <w:t xml:space="preserve"> y 14, fracción II </w:t>
      </w:r>
      <w:r w:rsidR="009647A2">
        <w:rPr>
          <w:rStyle w:val="Refdenotaalpie"/>
          <w:rFonts w:ascii="AvantGarde Bk BT" w:hAnsi="AvantGarde Bk BT" w:cs="Arial"/>
          <w:color w:val="000000" w:themeColor="text1"/>
          <w:sz w:val="24"/>
          <w:szCs w:val="24"/>
        </w:rPr>
        <w:footnoteReference w:id="5"/>
      </w:r>
      <w:r>
        <w:rPr>
          <w:rFonts w:ascii="AvantGarde Bk BT" w:hAnsi="AvantGarde Bk BT" w:cs="Arial"/>
          <w:color w:val="000000" w:themeColor="text1"/>
          <w:sz w:val="24"/>
          <w:szCs w:val="24"/>
        </w:rPr>
        <w:t>de la Ley de</w:t>
      </w:r>
      <w:r w:rsidR="003226DE">
        <w:rPr>
          <w:rFonts w:ascii="AvantGarde Bk BT" w:hAnsi="AvantGarde Bk BT" w:cs="Arial"/>
          <w:color w:val="000000" w:themeColor="text1"/>
          <w:sz w:val="24"/>
          <w:szCs w:val="24"/>
        </w:rPr>
        <w:t xml:space="preserve"> entrega-recepción de recursos públicos del Estado, todos los servidores públicos -</w:t>
      </w:r>
      <w:r w:rsidR="003226DE" w:rsidRPr="003226DE">
        <w:rPr>
          <w:rFonts w:ascii="AvantGarde Bk BT" w:hAnsi="AvantGarde Bk BT" w:cs="Arial"/>
          <w:color w:val="000000" w:themeColor="text1"/>
          <w:sz w:val="24"/>
          <w:szCs w:val="24"/>
        </w:rPr>
        <w:t>titulares y director</w:t>
      </w:r>
      <w:r w:rsidR="003226DE">
        <w:rPr>
          <w:rFonts w:ascii="AvantGarde Bk BT" w:hAnsi="AvantGarde Bk BT" w:cs="Arial"/>
          <w:color w:val="000000" w:themeColor="text1"/>
          <w:sz w:val="24"/>
          <w:szCs w:val="24"/>
        </w:rPr>
        <w:t>es</w:t>
      </w:r>
      <w:r w:rsidR="003226DE" w:rsidRPr="003226DE">
        <w:rPr>
          <w:rFonts w:ascii="AvantGarde Bk BT" w:hAnsi="AvantGarde Bk BT" w:cs="Arial"/>
          <w:color w:val="000000" w:themeColor="text1"/>
          <w:sz w:val="24"/>
          <w:szCs w:val="24"/>
        </w:rPr>
        <w:t xml:space="preserve"> de área</w:t>
      </w:r>
      <w:r w:rsidR="003226DE">
        <w:rPr>
          <w:rFonts w:ascii="AvantGarde Bk BT" w:hAnsi="AvantGarde Bk BT" w:cs="Arial"/>
          <w:color w:val="000000" w:themeColor="text1"/>
          <w:sz w:val="24"/>
          <w:szCs w:val="24"/>
        </w:rPr>
        <w:t xml:space="preserve">-, se encuentran obligados a rendir </w:t>
      </w:r>
      <w:r w:rsidR="003226DE" w:rsidRPr="003226DE">
        <w:rPr>
          <w:rFonts w:ascii="AvantGarde Bk BT" w:hAnsi="AvantGarde Bk BT" w:cs="Arial"/>
          <w:color w:val="000000" w:themeColor="text1"/>
          <w:sz w:val="24"/>
          <w:szCs w:val="24"/>
        </w:rPr>
        <w:t>por escrito, mediante acta administrativa en la que se describa el estado que guarda la administración, dependencia o entidad de que se trate</w:t>
      </w:r>
      <w:r w:rsidR="003226DE">
        <w:rPr>
          <w:rFonts w:ascii="AvantGarde Bk BT" w:hAnsi="AvantGarde Bk BT" w:cs="Arial"/>
          <w:color w:val="000000" w:themeColor="text1"/>
          <w:sz w:val="24"/>
          <w:szCs w:val="24"/>
        </w:rPr>
        <w:t>,</w:t>
      </w:r>
      <w:r w:rsidR="003226DE" w:rsidRPr="003226DE">
        <w:rPr>
          <w:rFonts w:ascii="AvantGarde Bk BT" w:hAnsi="AvantGarde Bk BT" w:cs="Arial"/>
          <w:color w:val="000000" w:themeColor="text1"/>
          <w:sz w:val="24"/>
          <w:szCs w:val="24"/>
        </w:rPr>
        <w:t xml:space="preserve"> </w:t>
      </w:r>
      <w:r w:rsidR="003226DE">
        <w:rPr>
          <w:rFonts w:ascii="AvantGarde Bk BT" w:hAnsi="AvantGarde Bk BT" w:cs="Arial"/>
          <w:color w:val="000000" w:themeColor="text1"/>
          <w:sz w:val="24"/>
          <w:szCs w:val="24"/>
        </w:rPr>
        <w:t xml:space="preserve">respecto </w:t>
      </w:r>
      <w:r w:rsidR="003226DE" w:rsidRPr="003226DE">
        <w:rPr>
          <w:rFonts w:ascii="AvantGarde Bk BT" w:hAnsi="AvantGarde Bk BT" w:cs="Arial"/>
          <w:color w:val="000000" w:themeColor="text1"/>
          <w:sz w:val="24"/>
          <w:szCs w:val="24"/>
        </w:rPr>
        <w:t>de los asuntos de su competencia y entreguen formalmente el detalle de los recursos financieros, humanos y materiales que tengan asignados para el ejercicio de sus atribuciones a quienes los sustituyan</w:t>
      </w:r>
      <w:r w:rsidR="003226DE">
        <w:rPr>
          <w:rFonts w:ascii="AvantGarde Bk BT" w:hAnsi="AvantGarde Bk BT" w:cs="Arial"/>
          <w:color w:val="000000" w:themeColor="text1"/>
          <w:sz w:val="24"/>
          <w:szCs w:val="24"/>
        </w:rPr>
        <w:t>.</w:t>
      </w:r>
    </w:p>
    <w:p w14:paraId="30DB4597" w14:textId="77777777" w:rsidR="00F07424" w:rsidRDefault="00F07424" w:rsidP="0014704E">
      <w:pPr>
        <w:pStyle w:val="corte4fondo"/>
        <w:tabs>
          <w:tab w:val="left" w:pos="567"/>
        </w:tabs>
        <w:rPr>
          <w:rFonts w:ascii="AvantGarde Bk BT" w:hAnsi="AvantGarde Bk BT" w:cs="Arial"/>
          <w:color w:val="000000" w:themeColor="text1"/>
          <w:sz w:val="24"/>
          <w:szCs w:val="24"/>
        </w:rPr>
      </w:pPr>
    </w:p>
    <w:p w14:paraId="5A023278" w14:textId="7EEA7273" w:rsidR="009647A2" w:rsidRDefault="009647A2" w:rsidP="0014704E">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De las consideraciones antes anotadas, se colige que el sujeto obligado de acuerdo a sus atribuciones, </w:t>
      </w:r>
      <w:r w:rsidR="005300A2">
        <w:rPr>
          <w:rFonts w:ascii="AvantGarde Bk BT" w:hAnsi="AvantGarde Bk BT" w:cs="Arial"/>
          <w:color w:val="000000" w:themeColor="text1"/>
          <w:sz w:val="24"/>
          <w:szCs w:val="24"/>
        </w:rPr>
        <w:t xml:space="preserve">genera </w:t>
      </w:r>
      <w:r>
        <w:rPr>
          <w:rFonts w:ascii="AvantGarde Bk BT" w:hAnsi="AvantGarde Bk BT" w:cs="Arial"/>
          <w:color w:val="000000" w:themeColor="text1"/>
          <w:sz w:val="24"/>
          <w:szCs w:val="24"/>
        </w:rPr>
        <w:t>un documento que satisface lo solicitado por el particul</w:t>
      </w:r>
      <w:r w:rsidR="005300A2">
        <w:rPr>
          <w:rFonts w:ascii="AvantGarde Bk BT" w:hAnsi="AvantGarde Bk BT" w:cs="Arial"/>
          <w:color w:val="000000" w:themeColor="text1"/>
          <w:sz w:val="24"/>
          <w:szCs w:val="24"/>
        </w:rPr>
        <w:t>ar; pues la entrega-recepción del último director de recursos financieros es un documento que la Ley de entrega-recepción de recursos públicos del Estado exige.</w:t>
      </w:r>
    </w:p>
    <w:p w14:paraId="714F1870" w14:textId="77777777" w:rsidR="009E7E9F" w:rsidRDefault="009E7E9F" w:rsidP="00460DFB">
      <w:pPr>
        <w:pStyle w:val="corte4fondo"/>
        <w:tabs>
          <w:tab w:val="left" w:pos="567"/>
        </w:tabs>
        <w:ind w:firstLine="0"/>
        <w:rPr>
          <w:rFonts w:ascii="AvantGarde Bk BT" w:hAnsi="AvantGarde Bk BT" w:cs="Arial"/>
          <w:color w:val="000000" w:themeColor="text1"/>
          <w:sz w:val="24"/>
          <w:szCs w:val="24"/>
        </w:rPr>
      </w:pPr>
    </w:p>
    <w:p w14:paraId="17419B0B" w14:textId="24FA5F82" w:rsidR="00BB22BC" w:rsidRDefault="00655CDD" w:rsidP="00BB22BC">
      <w:pPr>
        <w:pStyle w:val="corte4fondo"/>
        <w:tabs>
          <w:tab w:val="left" w:pos="567"/>
        </w:tabs>
        <w:ind w:firstLine="851"/>
        <w:rPr>
          <w:rFonts w:ascii="AvantGarde Bk BT" w:hAnsi="AvantGarde Bk BT" w:cs="Arial"/>
          <w:color w:val="000000" w:themeColor="text1"/>
          <w:sz w:val="24"/>
          <w:szCs w:val="24"/>
        </w:rPr>
      </w:pPr>
      <w:r>
        <w:rPr>
          <w:rFonts w:ascii="AvantGarde Bk BT" w:hAnsi="AvantGarde Bk BT" w:cs="Arial"/>
          <w:color w:val="000000" w:themeColor="text1"/>
          <w:sz w:val="24"/>
          <w:szCs w:val="24"/>
        </w:rPr>
        <w:t>Ahora bien</w:t>
      </w:r>
      <w:r w:rsidR="00BB22BC">
        <w:rPr>
          <w:rFonts w:ascii="AvantGarde Bk BT" w:hAnsi="AvantGarde Bk BT" w:cs="Arial"/>
          <w:color w:val="000000" w:themeColor="text1"/>
          <w:sz w:val="24"/>
          <w:szCs w:val="24"/>
        </w:rPr>
        <w:t xml:space="preserve">, este cuerpo colegiado debe pronunciarse respecto al fundamento jurídico empleado el sujeto obligado para sustentar dicha </w:t>
      </w:r>
      <w:r w:rsidR="00BB22BC">
        <w:rPr>
          <w:rFonts w:ascii="AvantGarde Bk BT" w:hAnsi="AvantGarde Bk BT" w:cs="Arial"/>
          <w:color w:val="000000" w:themeColor="text1"/>
          <w:sz w:val="24"/>
          <w:szCs w:val="24"/>
        </w:rPr>
        <w:lastRenderedPageBreak/>
        <w:t>determinación, pues este resulta incorrecto, debido a que la Ley de Procedimientos Administrativos del Estado y Municipios de San Luis Potosí se encuentra abrogada.</w:t>
      </w:r>
      <w:r w:rsidR="00BB22BC" w:rsidRPr="00655CDD">
        <w:rPr>
          <w:rFonts w:ascii="AvantGarde Bk BT" w:hAnsi="AvantGarde Bk BT"/>
          <w:color w:val="000000" w:themeColor="text1"/>
          <w:sz w:val="24"/>
          <w:vertAlign w:val="superscript"/>
        </w:rPr>
        <w:footnoteReference w:id="6"/>
      </w:r>
    </w:p>
    <w:p w14:paraId="5CFCFD17" w14:textId="77777777" w:rsidR="00BB22BC" w:rsidRDefault="00BB22BC" w:rsidP="00BB22BC">
      <w:pPr>
        <w:pStyle w:val="corte4fondo"/>
        <w:tabs>
          <w:tab w:val="left" w:pos="567"/>
        </w:tabs>
        <w:ind w:firstLine="851"/>
        <w:rPr>
          <w:rFonts w:ascii="AvantGarde Bk BT" w:hAnsi="AvantGarde Bk BT" w:cs="Arial"/>
          <w:color w:val="000000" w:themeColor="text1"/>
          <w:sz w:val="24"/>
          <w:szCs w:val="24"/>
        </w:rPr>
      </w:pPr>
    </w:p>
    <w:p w14:paraId="4AE5B98E" w14:textId="77777777" w:rsidR="00BB22BC" w:rsidRDefault="00BB22BC" w:rsidP="00BB22BC">
      <w:pPr>
        <w:pStyle w:val="corte4fondo"/>
        <w:tabs>
          <w:tab w:val="left" w:pos="567"/>
        </w:tabs>
        <w:ind w:firstLine="851"/>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Dicho lo anterior, es dable señalar que la figura jurídica de la acumulación se encuentra contemplada en el Código Procesal Administrativo para el Estado de San Luis Potosí, que en la porción normativa que interesa señalan lo siguiente: </w:t>
      </w:r>
    </w:p>
    <w:p w14:paraId="6A0C5E24" w14:textId="77777777" w:rsidR="00BB22BC" w:rsidRDefault="00BB22BC" w:rsidP="00BB22BC">
      <w:pPr>
        <w:pStyle w:val="corte4fondo"/>
        <w:tabs>
          <w:tab w:val="left" w:pos="567"/>
        </w:tabs>
        <w:ind w:firstLine="851"/>
        <w:rPr>
          <w:rFonts w:ascii="AvantGarde Bk BT" w:hAnsi="AvantGarde Bk BT" w:cs="Arial"/>
          <w:color w:val="000000" w:themeColor="text1"/>
          <w:sz w:val="24"/>
          <w:szCs w:val="24"/>
        </w:rPr>
      </w:pPr>
    </w:p>
    <w:p w14:paraId="778477F2" w14:textId="77777777" w:rsidR="00BB22BC" w:rsidRDefault="00BB22BC" w:rsidP="00BB22BC">
      <w:pPr>
        <w:pStyle w:val="corte4fondo"/>
        <w:tabs>
          <w:tab w:val="left" w:pos="567"/>
        </w:tabs>
        <w:ind w:firstLine="851"/>
        <w:rPr>
          <w:rFonts w:ascii="AvantGarde Bk BT" w:hAnsi="AvantGarde Bk BT" w:cs="Arial"/>
          <w:i/>
          <w:color w:val="000000" w:themeColor="text1"/>
          <w:sz w:val="24"/>
          <w:szCs w:val="24"/>
        </w:rPr>
      </w:pPr>
      <w:r>
        <w:rPr>
          <w:rFonts w:ascii="AvantGarde Bk BT" w:hAnsi="AvantGarde Bk BT" w:cs="Arial"/>
          <w:i/>
          <w:color w:val="000000" w:themeColor="text1"/>
          <w:sz w:val="24"/>
          <w:szCs w:val="24"/>
        </w:rPr>
        <w:t>“ARTÍCULO 125. En los procedimientos contenciosos procede la acumulación de dos o más juicios pendientes de resolver cuando:</w:t>
      </w:r>
    </w:p>
    <w:p w14:paraId="2FFA7C32" w14:textId="77777777" w:rsidR="00BB22BC" w:rsidRDefault="00BB22BC" w:rsidP="00BB22BC">
      <w:pPr>
        <w:pStyle w:val="corte4fondo"/>
        <w:tabs>
          <w:tab w:val="left" w:pos="567"/>
        </w:tabs>
        <w:ind w:firstLine="851"/>
        <w:rPr>
          <w:rFonts w:ascii="AvantGarde Bk BT" w:hAnsi="AvantGarde Bk BT" w:cs="Arial"/>
          <w:i/>
          <w:color w:val="000000" w:themeColor="text1"/>
          <w:sz w:val="24"/>
          <w:szCs w:val="24"/>
        </w:rPr>
      </w:pPr>
      <w:r>
        <w:rPr>
          <w:rFonts w:ascii="AvantGarde Bk BT" w:hAnsi="AvantGarde Bk BT" w:cs="Arial"/>
          <w:i/>
          <w:color w:val="000000" w:themeColor="text1"/>
          <w:sz w:val="24"/>
          <w:szCs w:val="24"/>
        </w:rPr>
        <w:t xml:space="preserve">I. Siendo diferentes las partes e invocándose distintos agravios, el acto impugnado sea uno mismo o se impugnen varias partes del mismo acto y </w:t>
      </w:r>
    </w:p>
    <w:p w14:paraId="377B589D" w14:textId="77777777" w:rsidR="00BB22BC" w:rsidRDefault="00BB22BC" w:rsidP="00BB22BC">
      <w:pPr>
        <w:pStyle w:val="corte4fondo"/>
        <w:tabs>
          <w:tab w:val="left" w:pos="567"/>
        </w:tabs>
        <w:ind w:firstLine="851"/>
        <w:rPr>
          <w:rFonts w:ascii="AvantGarde Bk BT" w:hAnsi="AvantGarde Bk BT" w:cs="Arial"/>
          <w:i/>
          <w:color w:val="000000" w:themeColor="text1"/>
          <w:sz w:val="24"/>
          <w:szCs w:val="24"/>
        </w:rPr>
      </w:pPr>
      <w:r>
        <w:rPr>
          <w:rFonts w:ascii="AvantGarde Bk BT" w:hAnsi="AvantGarde Bk BT" w:cs="Arial"/>
          <w:i/>
          <w:color w:val="000000" w:themeColor="text1"/>
          <w:sz w:val="24"/>
          <w:szCs w:val="24"/>
        </w:rPr>
        <w:t xml:space="preserve">II. Sean las partes y los agravios diversos o no, se impugnen actos que sean unos antecedentes o consecuencia de los otros.” </w:t>
      </w:r>
    </w:p>
    <w:p w14:paraId="12035FB2" w14:textId="77777777" w:rsidR="00BB22BC" w:rsidRDefault="00BB22BC" w:rsidP="00BB22BC">
      <w:pPr>
        <w:pStyle w:val="corte4fondo"/>
        <w:tabs>
          <w:tab w:val="left" w:pos="567"/>
        </w:tabs>
        <w:ind w:firstLine="851"/>
        <w:rPr>
          <w:rFonts w:ascii="AvantGarde Bk BT" w:hAnsi="AvantGarde Bk BT" w:cs="Arial"/>
          <w:color w:val="000000" w:themeColor="text1"/>
          <w:sz w:val="24"/>
          <w:szCs w:val="24"/>
        </w:rPr>
      </w:pPr>
    </w:p>
    <w:p w14:paraId="267AEF48" w14:textId="77777777" w:rsidR="00BB22BC" w:rsidRDefault="00BB22BC" w:rsidP="00BB22BC">
      <w:pPr>
        <w:pStyle w:val="corte4fondo"/>
        <w:tabs>
          <w:tab w:val="left" w:pos="567"/>
        </w:tabs>
        <w:ind w:firstLine="851"/>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Del precepto normativo citado con anterioridad, se precisa que la acumulación como figura jurídica, consiste en la integración de distintas partes y distintos motivos de inconformidad que impugnen un mismo acto, el cual, puede ser antecedente o consecuencia de otros. </w:t>
      </w:r>
    </w:p>
    <w:p w14:paraId="553A58CC" w14:textId="77777777" w:rsidR="00BB22BC" w:rsidRDefault="00BB22BC" w:rsidP="00BB22BC">
      <w:pPr>
        <w:pStyle w:val="corte4fondo"/>
        <w:tabs>
          <w:tab w:val="left" w:pos="567"/>
        </w:tabs>
        <w:ind w:firstLine="851"/>
        <w:rPr>
          <w:rFonts w:ascii="AvantGarde Bk BT" w:hAnsi="AvantGarde Bk BT" w:cs="Arial"/>
          <w:color w:val="000000" w:themeColor="text1"/>
          <w:sz w:val="24"/>
          <w:szCs w:val="24"/>
        </w:rPr>
      </w:pPr>
    </w:p>
    <w:p w14:paraId="3A6D7A6D" w14:textId="77777777" w:rsidR="00BB22BC" w:rsidRDefault="00BB22BC" w:rsidP="00BB22BC">
      <w:pPr>
        <w:pStyle w:val="corte4fondo"/>
        <w:tabs>
          <w:tab w:val="left" w:pos="567"/>
        </w:tabs>
        <w:ind w:firstLine="851"/>
        <w:rPr>
          <w:rFonts w:ascii="AvantGarde Bk BT" w:hAnsi="AvantGarde Bk BT" w:cs="Arial"/>
          <w:color w:val="000000" w:themeColor="text1"/>
          <w:sz w:val="24"/>
          <w:szCs w:val="24"/>
        </w:rPr>
      </w:pPr>
      <w:r>
        <w:rPr>
          <w:rFonts w:ascii="AvantGarde Bk BT" w:hAnsi="AvantGarde Bk BT" w:cs="Arial"/>
          <w:color w:val="000000" w:themeColor="text1"/>
          <w:sz w:val="24"/>
          <w:szCs w:val="24"/>
        </w:rPr>
        <w:t>Ahora bien, en materia de Transparencia y Acceso a la Información, la acumulación se encuentra prevista para la tramitación de recursos de revisión, tal y como lo determinó este Órgano Garante a través del Acuerdo CEGAIP-466/2008, aprobado en sesión ordinaria de consejo, celebrada el veinticuatro de septiembre de dos mil ocho, cuyo rubro y texto señalan lo siguiente:</w:t>
      </w:r>
    </w:p>
    <w:p w14:paraId="14FE8C28" w14:textId="77777777" w:rsidR="00BB22BC" w:rsidRDefault="00BB22BC" w:rsidP="00BB22BC">
      <w:pPr>
        <w:pStyle w:val="corte4fondo"/>
        <w:tabs>
          <w:tab w:val="left" w:pos="567"/>
        </w:tabs>
        <w:ind w:firstLine="851"/>
        <w:rPr>
          <w:rFonts w:ascii="AvantGarde Bk BT" w:hAnsi="AvantGarde Bk BT" w:cs="Arial"/>
          <w:color w:val="000000" w:themeColor="text1"/>
          <w:sz w:val="24"/>
          <w:szCs w:val="24"/>
        </w:rPr>
      </w:pPr>
    </w:p>
    <w:p w14:paraId="045384DF" w14:textId="77777777" w:rsidR="00BB22BC" w:rsidRDefault="00BB22BC" w:rsidP="00BB22BC">
      <w:pPr>
        <w:pStyle w:val="corte4fondo"/>
        <w:tabs>
          <w:tab w:val="left" w:pos="567"/>
        </w:tabs>
        <w:ind w:firstLine="851"/>
        <w:rPr>
          <w:rFonts w:ascii="AvantGarde Bk BT" w:hAnsi="AvantGarde Bk BT" w:cs="Arial"/>
          <w:i/>
          <w:color w:val="000000" w:themeColor="text1"/>
          <w:sz w:val="24"/>
          <w:szCs w:val="24"/>
        </w:rPr>
      </w:pPr>
      <w:r>
        <w:rPr>
          <w:rFonts w:ascii="AvantGarde Bk BT" w:hAnsi="AvantGarde Bk BT" w:cs="Arial"/>
          <w:i/>
          <w:color w:val="000000" w:themeColor="text1"/>
          <w:sz w:val="24"/>
          <w:szCs w:val="24"/>
        </w:rPr>
        <w:lastRenderedPageBreak/>
        <w:t xml:space="preserve">“ACUMULACIÓN DE EXPEDIENTE. Se aprueba por unanimidad de votos, que deberá procurar en la medida de lo posible la acumulación a un solo expediente, cuando se trate del mismo recurrente y el mismo ente obligado, y siempre que la información sea del mismo ámbito, con el propósito de dictar una sola resolución para los expedientes acumulados. “ </w:t>
      </w:r>
    </w:p>
    <w:p w14:paraId="131D042E" w14:textId="77777777" w:rsidR="00BB22BC" w:rsidRDefault="00BB22BC" w:rsidP="00BB22BC">
      <w:pPr>
        <w:pStyle w:val="corte4fondo"/>
        <w:tabs>
          <w:tab w:val="left" w:pos="567"/>
        </w:tabs>
        <w:ind w:firstLine="851"/>
        <w:rPr>
          <w:rFonts w:ascii="AvantGarde Bk BT" w:hAnsi="AvantGarde Bk BT" w:cs="Arial"/>
          <w:color w:val="000000" w:themeColor="text1"/>
          <w:sz w:val="24"/>
          <w:szCs w:val="24"/>
        </w:rPr>
      </w:pPr>
    </w:p>
    <w:p w14:paraId="5B360FC8" w14:textId="77777777" w:rsidR="00BB22BC" w:rsidRDefault="00BB22BC" w:rsidP="00BB22BC">
      <w:pPr>
        <w:pStyle w:val="corte4fondo"/>
        <w:tabs>
          <w:tab w:val="left" w:pos="567"/>
        </w:tabs>
        <w:ind w:firstLine="851"/>
        <w:rPr>
          <w:rFonts w:ascii="AvantGarde Bk BT" w:hAnsi="AvantGarde Bk BT" w:cs="Arial"/>
          <w:color w:val="000000" w:themeColor="text1"/>
          <w:sz w:val="24"/>
          <w:szCs w:val="24"/>
        </w:rPr>
      </w:pPr>
    </w:p>
    <w:p w14:paraId="440858E7" w14:textId="77777777" w:rsidR="00BB22BC" w:rsidRDefault="00BB22BC" w:rsidP="00BB22BC">
      <w:pPr>
        <w:pStyle w:val="corte4fondo"/>
        <w:tabs>
          <w:tab w:val="left" w:pos="567"/>
        </w:tabs>
        <w:ind w:firstLine="851"/>
        <w:rPr>
          <w:rFonts w:ascii="AvantGarde Bk BT" w:hAnsi="AvantGarde Bk BT" w:cs="Arial"/>
          <w:color w:val="000000" w:themeColor="text1"/>
          <w:sz w:val="24"/>
          <w:szCs w:val="24"/>
        </w:rPr>
      </w:pPr>
      <w:r>
        <w:rPr>
          <w:rFonts w:ascii="AvantGarde Bk BT" w:hAnsi="AvantGarde Bk BT" w:cs="Arial"/>
          <w:color w:val="000000" w:themeColor="text1"/>
          <w:sz w:val="24"/>
          <w:szCs w:val="24"/>
        </w:rPr>
        <w:t>Asimismo, los Lineamientos para la Recepción, Substanciación, Resolución y Cumplimiento de los Recursos de Revisión promovidos ante la CEGAIP, en la porción normativa que interesa señalan lo siguiente</w:t>
      </w:r>
    </w:p>
    <w:p w14:paraId="0F476951" w14:textId="77777777" w:rsidR="00BB22BC" w:rsidRDefault="00BB22BC" w:rsidP="00BB22BC">
      <w:pPr>
        <w:pStyle w:val="corte4fondo"/>
        <w:tabs>
          <w:tab w:val="left" w:pos="567"/>
        </w:tabs>
        <w:ind w:firstLine="851"/>
        <w:rPr>
          <w:rFonts w:ascii="AvantGarde Bk BT" w:hAnsi="AvantGarde Bk BT" w:cs="Arial"/>
          <w:color w:val="000000" w:themeColor="text1"/>
          <w:sz w:val="24"/>
          <w:szCs w:val="24"/>
        </w:rPr>
      </w:pPr>
    </w:p>
    <w:p w14:paraId="41A00245" w14:textId="77777777" w:rsidR="00BB22BC" w:rsidRDefault="00BB22BC" w:rsidP="00BB22BC">
      <w:pPr>
        <w:pStyle w:val="corte4fondo"/>
        <w:tabs>
          <w:tab w:val="left" w:pos="567"/>
        </w:tabs>
        <w:ind w:firstLine="851"/>
        <w:rPr>
          <w:rFonts w:ascii="AvantGarde Bk BT" w:hAnsi="AvantGarde Bk BT" w:cs="Arial"/>
          <w:i/>
          <w:color w:val="000000" w:themeColor="text1"/>
          <w:sz w:val="24"/>
          <w:szCs w:val="24"/>
        </w:rPr>
      </w:pPr>
      <w:r>
        <w:rPr>
          <w:rFonts w:ascii="AvantGarde Bk BT" w:hAnsi="AvantGarde Bk BT" w:cs="Arial"/>
          <w:i/>
          <w:color w:val="000000" w:themeColor="text1"/>
          <w:sz w:val="24"/>
          <w:szCs w:val="24"/>
        </w:rPr>
        <w:t xml:space="preserve">“Décimo segundo. Acumulación. </w:t>
      </w:r>
    </w:p>
    <w:p w14:paraId="3283F399" w14:textId="77777777" w:rsidR="00BB22BC" w:rsidRDefault="00BB22BC" w:rsidP="00BB22BC">
      <w:pPr>
        <w:pStyle w:val="corte4fondo"/>
        <w:tabs>
          <w:tab w:val="left" w:pos="567"/>
        </w:tabs>
        <w:ind w:firstLine="851"/>
        <w:rPr>
          <w:rFonts w:ascii="AvantGarde Bk BT" w:hAnsi="AvantGarde Bk BT" w:cs="Arial"/>
          <w:i/>
          <w:color w:val="000000" w:themeColor="text1"/>
          <w:sz w:val="24"/>
          <w:szCs w:val="24"/>
        </w:rPr>
      </w:pPr>
      <w:r>
        <w:rPr>
          <w:rFonts w:ascii="AvantGarde Bk BT" w:hAnsi="AvantGarde Bk BT" w:cs="Arial"/>
          <w:i/>
          <w:color w:val="000000" w:themeColor="text1"/>
          <w:sz w:val="24"/>
          <w:szCs w:val="24"/>
        </w:rPr>
        <w:t xml:space="preserve">Recibido el Recurso de Revisión. El Comisionado Ponente podrá solicitar al Pleno la acumulación de recursos de revisión, quien en todo caso podrá considerar los mismos elementos de valoración para dos o más recursos de revisión y resolver en el mismo sentido. Una vez cerrada la instrucción no se podrá emitir acuerdo de acumulación. </w:t>
      </w:r>
    </w:p>
    <w:p w14:paraId="0B2508F4" w14:textId="77777777" w:rsidR="00BB22BC" w:rsidRDefault="00BB22BC" w:rsidP="00BB22BC">
      <w:pPr>
        <w:pStyle w:val="corte4fondo"/>
        <w:tabs>
          <w:tab w:val="left" w:pos="567"/>
        </w:tabs>
        <w:ind w:firstLine="851"/>
        <w:rPr>
          <w:rFonts w:ascii="AvantGarde Bk BT" w:hAnsi="AvantGarde Bk BT" w:cs="Arial"/>
          <w:i/>
          <w:color w:val="000000" w:themeColor="text1"/>
          <w:sz w:val="24"/>
          <w:szCs w:val="24"/>
        </w:rPr>
      </w:pPr>
      <w:r>
        <w:rPr>
          <w:rFonts w:ascii="AvantGarde Bk BT" w:hAnsi="AvantGarde Bk BT" w:cs="Arial"/>
          <w:i/>
          <w:color w:val="000000" w:themeColor="text1"/>
          <w:sz w:val="24"/>
          <w:szCs w:val="24"/>
        </w:rPr>
        <w:t>[...]”.</w:t>
      </w:r>
    </w:p>
    <w:p w14:paraId="26D54059" w14:textId="77777777" w:rsidR="00BB22BC" w:rsidRDefault="00BB22BC" w:rsidP="00BB22BC">
      <w:pPr>
        <w:pStyle w:val="corte4fondo"/>
        <w:tabs>
          <w:tab w:val="left" w:pos="567"/>
        </w:tabs>
        <w:ind w:firstLine="851"/>
        <w:rPr>
          <w:rFonts w:ascii="AvantGarde Bk BT" w:hAnsi="AvantGarde Bk BT" w:cs="Arial"/>
          <w:color w:val="000000" w:themeColor="text1"/>
          <w:sz w:val="24"/>
          <w:szCs w:val="24"/>
        </w:rPr>
      </w:pPr>
    </w:p>
    <w:p w14:paraId="5E1269A7" w14:textId="77777777" w:rsidR="00BB22BC" w:rsidRDefault="00BB22BC" w:rsidP="00BB22BC">
      <w:pPr>
        <w:pStyle w:val="corte4fondo"/>
        <w:tabs>
          <w:tab w:val="left" w:pos="567"/>
        </w:tabs>
        <w:ind w:firstLine="851"/>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Además los Lineamientos para la Implementación y Operación de la Plataforma Nacional de Transparencia, en la porción normativa que interesa señalan lo siguiente: </w:t>
      </w:r>
    </w:p>
    <w:p w14:paraId="036C04E9" w14:textId="77777777" w:rsidR="00BB22BC" w:rsidRDefault="00BB22BC" w:rsidP="00BB22BC">
      <w:pPr>
        <w:pStyle w:val="corte4fondo"/>
        <w:tabs>
          <w:tab w:val="left" w:pos="567"/>
        </w:tabs>
        <w:ind w:firstLine="851"/>
        <w:rPr>
          <w:rFonts w:ascii="AvantGarde Bk BT" w:hAnsi="AvantGarde Bk BT" w:cs="Arial"/>
          <w:color w:val="000000" w:themeColor="text1"/>
          <w:sz w:val="24"/>
          <w:szCs w:val="24"/>
        </w:rPr>
      </w:pPr>
    </w:p>
    <w:p w14:paraId="62051EEE" w14:textId="77777777" w:rsidR="00BB22BC" w:rsidRDefault="00BB22BC" w:rsidP="00BB22BC">
      <w:pPr>
        <w:pStyle w:val="corte4fondo"/>
        <w:tabs>
          <w:tab w:val="left" w:pos="567"/>
        </w:tabs>
        <w:ind w:firstLine="851"/>
        <w:rPr>
          <w:rFonts w:ascii="AvantGarde Bk BT" w:hAnsi="AvantGarde Bk BT" w:cs="Arial"/>
          <w:i/>
          <w:color w:val="000000" w:themeColor="text1"/>
          <w:sz w:val="24"/>
          <w:szCs w:val="24"/>
        </w:rPr>
      </w:pPr>
      <w:r>
        <w:rPr>
          <w:rFonts w:ascii="AvantGarde Bk BT" w:hAnsi="AvantGarde Bk BT" w:cs="Arial"/>
          <w:i/>
          <w:color w:val="000000" w:themeColor="text1"/>
          <w:sz w:val="24"/>
          <w:szCs w:val="24"/>
        </w:rPr>
        <w:t xml:space="preserve">“Octogésimo octavo. Cuando exista la posibilidad de acumular recursos de revisión por haber derivado de respuestas a solicitudes cuyo tema sea similar o idéntico y se trate del mismo sujeto obligado o cuando haya identidad de partes, aquellos encargados de los recursos que fueron recibidos con posterioridad podrán requerir la acumulación al encargado de aquel recurso que haya sido recibido primero, mediante el SIGEMI. Para tales efectos, podrán iniciar un subproceso de acumulación, en el cual deberán indicar a qué recurso requieren que sea acumulado. El encargado que tiene recurso más antiguo. Será notificado de dicha </w:t>
      </w:r>
      <w:r>
        <w:rPr>
          <w:rFonts w:ascii="AvantGarde Bk BT" w:hAnsi="AvantGarde Bk BT" w:cs="Arial"/>
          <w:i/>
          <w:color w:val="000000" w:themeColor="text1"/>
          <w:sz w:val="24"/>
          <w:szCs w:val="24"/>
        </w:rPr>
        <w:lastRenderedPageBreak/>
        <w:t xml:space="preserve">solicitud a través del tablero de “Notificaciones” y podrá aceptar o rechazar la acumulación. Sin importar cuál sea la elección, será notificada a quien solicitó la acumulación mediante el tablero “notificaciones.” </w:t>
      </w:r>
    </w:p>
    <w:p w14:paraId="79808AD1" w14:textId="77777777" w:rsidR="00BB22BC" w:rsidRDefault="00BB22BC" w:rsidP="00BB22BC">
      <w:pPr>
        <w:pStyle w:val="corte4fondo"/>
        <w:tabs>
          <w:tab w:val="left" w:pos="567"/>
        </w:tabs>
        <w:ind w:firstLine="851"/>
        <w:rPr>
          <w:rFonts w:ascii="AvantGarde Bk BT" w:hAnsi="AvantGarde Bk BT" w:cs="Arial"/>
          <w:i/>
          <w:color w:val="000000" w:themeColor="text1"/>
          <w:sz w:val="24"/>
          <w:szCs w:val="24"/>
        </w:rPr>
      </w:pPr>
      <w:r>
        <w:rPr>
          <w:rFonts w:ascii="AvantGarde Bk BT" w:hAnsi="AvantGarde Bk BT" w:cs="Arial"/>
          <w:i/>
          <w:color w:val="000000" w:themeColor="text1"/>
          <w:sz w:val="24"/>
          <w:szCs w:val="24"/>
        </w:rPr>
        <w:t>[...]”</w:t>
      </w:r>
    </w:p>
    <w:p w14:paraId="535A6584" w14:textId="77777777" w:rsidR="00BB22BC" w:rsidRDefault="00BB22BC" w:rsidP="00BB22BC">
      <w:pPr>
        <w:pStyle w:val="corte4fondo"/>
        <w:tabs>
          <w:tab w:val="left" w:pos="567"/>
        </w:tabs>
        <w:ind w:firstLine="851"/>
        <w:rPr>
          <w:rFonts w:ascii="AvantGarde Bk BT" w:hAnsi="AvantGarde Bk BT" w:cs="Arial"/>
          <w:color w:val="000000" w:themeColor="text1"/>
          <w:sz w:val="24"/>
          <w:szCs w:val="24"/>
        </w:rPr>
      </w:pPr>
    </w:p>
    <w:p w14:paraId="4DF560E1" w14:textId="77777777" w:rsidR="00BB22BC" w:rsidRDefault="00BB22BC" w:rsidP="00BB22BC">
      <w:pPr>
        <w:pStyle w:val="corte4fondo"/>
        <w:tabs>
          <w:tab w:val="left" w:pos="567"/>
        </w:tabs>
        <w:ind w:firstLine="851"/>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Por otro lado, el sujeto obligado motiva la acumulación de las solicitudes de información por existir elementos comunes, tales como: </w:t>
      </w:r>
      <w:proofErr w:type="gramStart"/>
      <w:r>
        <w:rPr>
          <w:rFonts w:ascii="AvantGarde Bk BT" w:hAnsi="AvantGarde Bk BT" w:cs="Arial"/>
          <w:color w:val="000000" w:themeColor="text1"/>
          <w:sz w:val="24"/>
          <w:szCs w:val="24"/>
        </w:rPr>
        <w:t>la identidad</w:t>
      </w:r>
      <w:proofErr w:type="gramEnd"/>
      <w:r>
        <w:rPr>
          <w:rFonts w:ascii="AvantGarde Bk BT" w:hAnsi="AvantGarde Bk BT" w:cs="Arial"/>
          <w:color w:val="000000" w:themeColor="text1"/>
          <w:sz w:val="24"/>
          <w:szCs w:val="24"/>
        </w:rPr>
        <w:t xml:space="preserve"> del solicitante y la relación entre la información solicitada, así como la economía procesal; sin embargo, dichas consideración también resultan ser erróneas e insuficientes.</w:t>
      </w:r>
    </w:p>
    <w:p w14:paraId="59926F1A" w14:textId="77777777" w:rsidR="00BB22BC" w:rsidRDefault="00BB22BC" w:rsidP="00BB22BC">
      <w:pPr>
        <w:pStyle w:val="corte4fondo"/>
        <w:tabs>
          <w:tab w:val="left" w:pos="567"/>
        </w:tabs>
        <w:ind w:firstLine="851"/>
        <w:rPr>
          <w:rFonts w:ascii="AvantGarde Bk BT" w:hAnsi="AvantGarde Bk BT" w:cs="Arial"/>
          <w:color w:val="000000" w:themeColor="text1"/>
          <w:sz w:val="24"/>
          <w:szCs w:val="24"/>
        </w:rPr>
      </w:pPr>
    </w:p>
    <w:p w14:paraId="61BD30B4" w14:textId="77777777" w:rsidR="00BB22BC" w:rsidRDefault="00BB22BC" w:rsidP="00BB22BC">
      <w:pPr>
        <w:pStyle w:val="corte4fondo"/>
        <w:tabs>
          <w:tab w:val="left" w:pos="567"/>
        </w:tabs>
        <w:ind w:firstLine="851"/>
        <w:rPr>
          <w:rFonts w:ascii="AvantGarde Bk BT" w:hAnsi="AvantGarde Bk BT" w:cs="Arial"/>
          <w:color w:val="000000" w:themeColor="text1"/>
          <w:sz w:val="24"/>
          <w:szCs w:val="24"/>
        </w:rPr>
      </w:pPr>
      <w:r>
        <w:rPr>
          <w:rFonts w:ascii="AvantGarde Bk BT" w:hAnsi="AvantGarde Bk BT" w:cs="Arial"/>
          <w:color w:val="000000" w:themeColor="text1"/>
          <w:sz w:val="24"/>
          <w:szCs w:val="24"/>
        </w:rPr>
        <w:t>Pues como puede advertirse de la citada normatividad, el momento adecuado para decretar la acumulación sería una vez que el solicitante de la información decidiera recurrir en revisión la respuesta otorgada por el sujeto obligado y, dicha acumulación le competería a este cuerpo colegiado, pues así se cumplirían los elementos esenciales que dicha figura procesal exige (identidad de partes, respuestas a solicitudes cuyo tema sea similar o idéntico y etapa procesal adecuada)</w:t>
      </w:r>
    </w:p>
    <w:p w14:paraId="70863E55" w14:textId="77777777" w:rsidR="00BB22BC" w:rsidRDefault="00BB22BC" w:rsidP="00BB22BC">
      <w:pPr>
        <w:pStyle w:val="corte4fondo"/>
        <w:tabs>
          <w:tab w:val="left" w:pos="567"/>
        </w:tabs>
        <w:ind w:firstLine="851"/>
        <w:rPr>
          <w:rFonts w:ascii="AvantGarde Bk BT" w:hAnsi="AvantGarde Bk BT" w:cs="Arial"/>
          <w:color w:val="000000" w:themeColor="text1"/>
          <w:sz w:val="24"/>
          <w:szCs w:val="24"/>
        </w:rPr>
      </w:pPr>
    </w:p>
    <w:p w14:paraId="320257B0" w14:textId="77777777" w:rsidR="00BB22BC" w:rsidRDefault="00BB22BC" w:rsidP="00BB22BC">
      <w:pPr>
        <w:pStyle w:val="corte4fondo"/>
        <w:tabs>
          <w:tab w:val="left" w:pos="567"/>
        </w:tabs>
        <w:ind w:firstLine="851"/>
        <w:rPr>
          <w:rFonts w:ascii="AvantGarde Bk BT" w:hAnsi="AvantGarde Bk BT" w:cs="Arial"/>
          <w:color w:val="000000" w:themeColor="text1"/>
          <w:sz w:val="24"/>
          <w:szCs w:val="24"/>
        </w:rPr>
      </w:pPr>
      <w:r>
        <w:rPr>
          <w:rFonts w:ascii="AvantGarde Bk BT" w:hAnsi="AvantGarde Bk BT" w:cs="Arial"/>
          <w:color w:val="000000" w:themeColor="text1"/>
          <w:sz w:val="24"/>
          <w:szCs w:val="24"/>
        </w:rPr>
        <w:t>Asimismo, resulta oportuno hacer el señalamiento de que las solicitudes de información son independientes entre sí y por ende las respuestas que debió entregar el sujeto obligado no debiesen ser conexas.</w:t>
      </w:r>
    </w:p>
    <w:p w14:paraId="1EEABCCD" w14:textId="77777777" w:rsidR="00BB22BC" w:rsidRDefault="00BB22BC" w:rsidP="00BB22BC">
      <w:pPr>
        <w:pStyle w:val="corte4fondo"/>
        <w:tabs>
          <w:tab w:val="left" w:pos="567"/>
        </w:tabs>
        <w:ind w:firstLine="851"/>
        <w:rPr>
          <w:rFonts w:ascii="AvantGarde Bk BT" w:hAnsi="AvantGarde Bk BT" w:cs="Arial"/>
          <w:color w:val="000000" w:themeColor="text1"/>
          <w:sz w:val="24"/>
          <w:szCs w:val="24"/>
        </w:rPr>
      </w:pPr>
    </w:p>
    <w:p w14:paraId="2E59D15A" w14:textId="77777777" w:rsidR="00BB22BC" w:rsidRDefault="00BB22BC" w:rsidP="00BB22BC">
      <w:pPr>
        <w:pStyle w:val="corte4fondo"/>
        <w:tabs>
          <w:tab w:val="left" w:pos="567"/>
        </w:tabs>
        <w:ind w:firstLine="851"/>
        <w:rPr>
          <w:rFonts w:ascii="AvantGarde Bk BT" w:hAnsi="AvantGarde Bk BT" w:cs="Arial"/>
          <w:color w:val="000000" w:themeColor="text1"/>
          <w:sz w:val="24"/>
          <w:szCs w:val="24"/>
        </w:rPr>
      </w:pPr>
      <w:r>
        <w:rPr>
          <w:rFonts w:ascii="AvantGarde Bk BT" w:hAnsi="AvantGarde Bk BT" w:cs="Arial"/>
          <w:color w:val="000000" w:themeColor="text1"/>
          <w:sz w:val="24"/>
          <w:szCs w:val="24"/>
        </w:rPr>
        <w:t>De lo anterior resulta que es procedente la acumulación en la tramitación de recursos de revisión, cuando en diversas solicitudes se requiera información cuyo tema resulte similar o cuando haya identidad de partes y que aquello que se requiere sea del mismo ámbito, por lo que del análisis de la respuesta otorgada por el Poder Judicial del Estado, si bien es cierto que existe identidad de partes es decir, el solicitante y el Sujeto Obligado son coincidentes, en el caso concreto, esta Comisión estima que la naturaleza de la información requerida es diversa.</w:t>
      </w:r>
    </w:p>
    <w:p w14:paraId="46C12B1C" w14:textId="77777777" w:rsidR="00BB22BC" w:rsidRDefault="00BB22BC" w:rsidP="00BB22BC">
      <w:pPr>
        <w:pStyle w:val="corte4fondo"/>
        <w:tabs>
          <w:tab w:val="left" w:pos="567"/>
        </w:tabs>
        <w:ind w:firstLine="851"/>
        <w:rPr>
          <w:rFonts w:ascii="AvantGarde Bk BT" w:hAnsi="AvantGarde Bk BT" w:cs="Arial"/>
          <w:color w:val="000000" w:themeColor="text1"/>
          <w:sz w:val="24"/>
          <w:szCs w:val="24"/>
        </w:rPr>
      </w:pPr>
    </w:p>
    <w:p w14:paraId="7B9F9A99" w14:textId="77777777" w:rsidR="00BB22BC" w:rsidRDefault="00BB22BC" w:rsidP="00BB22BC">
      <w:pPr>
        <w:pStyle w:val="corte4fondo"/>
        <w:tabs>
          <w:tab w:val="left" w:pos="567"/>
        </w:tabs>
        <w:ind w:firstLine="851"/>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Por tanto, este Órgano Garante estima que en atención a lo establecido en los artículos 17</w:t>
      </w:r>
      <w:r>
        <w:rPr>
          <w:rFonts w:ascii="AvantGarde Bk BT" w:hAnsi="AvantGarde Bk BT"/>
          <w:color w:val="000000" w:themeColor="text1"/>
          <w:sz w:val="24"/>
          <w:vertAlign w:val="superscript"/>
        </w:rPr>
        <w:footnoteReference w:id="7"/>
      </w:r>
      <w:r>
        <w:rPr>
          <w:rFonts w:ascii="AvantGarde Bk BT" w:hAnsi="AvantGarde Bk BT" w:cs="Arial"/>
          <w:color w:val="000000" w:themeColor="text1"/>
          <w:sz w:val="24"/>
          <w:szCs w:val="24"/>
        </w:rPr>
        <w:t xml:space="preserve"> y 62</w:t>
      </w:r>
      <w:r>
        <w:rPr>
          <w:rFonts w:ascii="AvantGarde Bk BT" w:hAnsi="AvantGarde Bk BT"/>
          <w:color w:val="000000" w:themeColor="text1"/>
          <w:sz w:val="24"/>
          <w:vertAlign w:val="superscript"/>
        </w:rPr>
        <w:footnoteReference w:id="8"/>
      </w:r>
      <w:r>
        <w:rPr>
          <w:rFonts w:ascii="AvantGarde Bk BT" w:hAnsi="AvantGarde Bk BT" w:cs="Arial"/>
          <w:color w:val="000000" w:themeColor="text1"/>
          <w:sz w:val="24"/>
          <w:szCs w:val="24"/>
        </w:rPr>
        <w:t xml:space="preserve"> de la Ley de Transparencia y Acceso a la Información Pública del Estado, el Poder Judicial del Estado, debe atender de manera individual cada folio de solicitud de acceso y en consecuencia privilegiar la entrega sin costo de la información solicitada, en atención a las consideraciones vertidas en el considerando cuarto de la presente resolución, tal como lo refiere el numeral 165</w:t>
      </w:r>
      <w:r>
        <w:rPr>
          <w:rFonts w:ascii="AvantGarde Bk BT" w:hAnsi="AvantGarde Bk BT"/>
          <w:color w:val="000000" w:themeColor="text1"/>
          <w:vertAlign w:val="superscript"/>
        </w:rPr>
        <w:footnoteReference w:id="9"/>
      </w:r>
      <w:r>
        <w:rPr>
          <w:rFonts w:ascii="AvantGarde Bk BT" w:hAnsi="AvantGarde Bk BT" w:cs="Arial"/>
          <w:color w:val="000000" w:themeColor="text1"/>
          <w:sz w:val="24"/>
          <w:szCs w:val="24"/>
          <w:vertAlign w:val="superscript"/>
        </w:rPr>
        <w:t xml:space="preserve"> </w:t>
      </w:r>
      <w:r>
        <w:rPr>
          <w:rFonts w:ascii="AvantGarde Bk BT" w:hAnsi="AvantGarde Bk BT" w:cs="Arial"/>
          <w:color w:val="000000" w:themeColor="text1"/>
          <w:sz w:val="24"/>
          <w:szCs w:val="24"/>
        </w:rPr>
        <w:t>de la citada normatividad, ello así con la finalidad de instituir procedimientos y condiciones homogéneas en el ejercicio del derecho de acceso a la información, mediante procedimientos sencillos y expeditos para los particulares.</w:t>
      </w:r>
    </w:p>
    <w:p w14:paraId="34FAE016" w14:textId="77777777" w:rsidR="00BB22BC" w:rsidRDefault="00BB22BC" w:rsidP="00BB22BC">
      <w:pPr>
        <w:pStyle w:val="corte4fondo"/>
        <w:tabs>
          <w:tab w:val="left" w:pos="567"/>
        </w:tabs>
        <w:ind w:firstLine="851"/>
        <w:rPr>
          <w:rFonts w:ascii="AvantGarde Bk BT" w:hAnsi="AvantGarde Bk BT" w:cs="Arial"/>
          <w:color w:val="000000" w:themeColor="text1"/>
          <w:sz w:val="24"/>
          <w:szCs w:val="24"/>
        </w:rPr>
      </w:pPr>
    </w:p>
    <w:p w14:paraId="17737340" w14:textId="342ECDCD" w:rsidR="00BB22BC" w:rsidRDefault="00BB22BC" w:rsidP="00BB22BC">
      <w:pPr>
        <w:pStyle w:val="corte4fondo"/>
        <w:tabs>
          <w:tab w:val="left" w:pos="567"/>
        </w:tabs>
        <w:ind w:firstLine="851"/>
        <w:rPr>
          <w:rFonts w:cs="Arial"/>
          <w:sz w:val="24"/>
          <w:szCs w:val="24"/>
        </w:rPr>
      </w:pPr>
      <w:r>
        <w:rPr>
          <w:rFonts w:ascii="AvantGarde Bk BT" w:hAnsi="AvantGarde Bk BT" w:cs="Arial"/>
          <w:color w:val="000000" w:themeColor="text1"/>
          <w:sz w:val="24"/>
          <w:szCs w:val="24"/>
        </w:rPr>
        <w:t>Ahora</w:t>
      </w:r>
      <w:bookmarkStart w:id="0" w:name="_GoBack"/>
      <w:bookmarkEnd w:id="0"/>
      <w:r>
        <w:rPr>
          <w:rFonts w:ascii="AvantGarde Bk BT" w:hAnsi="AvantGarde Bk BT" w:cs="Arial"/>
          <w:color w:val="000000" w:themeColor="text1"/>
          <w:sz w:val="24"/>
          <w:szCs w:val="24"/>
        </w:rPr>
        <w:t>, estas consideraciones encuentran una motivación más profunda, ya que derivado de la acumulación efectuada por la autoridad, no se atiende al principio de gratuidad, ya que por el cúmulo de información que contiene la respuesta, se genera un coste mayor para el particular a diferencia del trámite individual que debió otorgársele en el momento procesal oportuno, ya que debido a la acumulación no se observa de manera correcta lo establecido en el artículo 165</w:t>
      </w:r>
      <w:r>
        <w:rPr>
          <w:rFonts w:ascii="AvantGarde Bk BT" w:hAnsi="AvantGarde Bk BT"/>
          <w:color w:val="000000" w:themeColor="text1"/>
          <w:sz w:val="24"/>
          <w:vertAlign w:val="superscript"/>
        </w:rPr>
        <w:footnoteReference w:id="10"/>
      </w:r>
      <w:r>
        <w:rPr>
          <w:rFonts w:ascii="AvantGarde Bk BT" w:hAnsi="AvantGarde Bk BT" w:cs="Arial"/>
          <w:color w:val="000000" w:themeColor="text1"/>
          <w:sz w:val="18"/>
          <w:szCs w:val="24"/>
        </w:rPr>
        <w:t xml:space="preserve"> </w:t>
      </w:r>
      <w:r>
        <w:rPr>
          <w:rFonts w:ascii="AvantGarde Bk BT" w:hAnsi="AvantGarde Bk BT" w:cs="Arial"/>
          <w:color w:val="000000" w:themeColor="text1"/>
          <w:sz w:val="24"/>
          <w:szCs w:val="24"/>
        </w:rPr>
        <w:t xml:space="preserve">de la Ley de la materia es decir, que la información se entregue sin costo, cuando implique la entrega de no más de veinte hojas simples. </w:t>
      </w:r>
    </w:p>
    <w:p w14:paraId="43192E20" w14:textId="77777777" w:rsidR="00BB22BC" w:rsidRDefault="00BB22BC" w:rsidP="00BB22BC">
      <w:pPr>
        <w:pStyle w:val="corte4fondo"/>
        <w:tabs>
          <w:tab w:val="left" w:pos="567"/>
        </w:tabs>
        <w:ind w:firstLine="851"/>
        <w:rPr>
          <w:rFonts w:ascii="AvantGarde Bk BT" w:hAnsi="AvantGarde Bk BT" w:cs="Arial"/>
          <w:color w:val="000000" w:themeColor="text1"/>
          <w:sz w:val="24"/>
          <w:szCs w:val="24"/>
        </w:rPr>
      </w:pPr>
    </w:p>
    <w:p w14:paraId="380B4D3A" w14:textId="77777777" w:rsidR="00BB22BC" w:rsidRDefault="00BB22BC" w:rsidP="00BB22BC">
      <w:pPr>
        <w:pStyle w:val="corte4fondo"/>
        <w:tabs>
          <w:tab w:val="left" w:pos="567"/>
        </w:tabs>
        <w:ind w:firstLine="851"/>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Debido a lo anterior, esta Comisión Estatal de Garantía de Acceso a la Información Pública de San Luis Potosí,  apercibe al sujeto obligado para efecto de que en lo sucesivo se abstenga de decretar acumulaciones de solicitudes de </w:t>
      </w:r>
      <w:r>
        <w:rPr>
          <w:rFonts w:ascii="AvantGarde Bk BT" w:hAnsi="AvantGarde Bk BT" w:cs="Arial"/>
          <w:color w:val="000000" w:themeColor="text1"/>
          <w:sz w:val="24"/>
          <w:szCs w:val="24"/>
        </w:rPr>
        <w:lastRenderedPageBreak/>
        <w:t>información de manera innecesaria, ya que en caso contrario con fundamento en lo dispuesto por el artículo 190, fracción II de la Ley de la materia, se le impondrá una medida de apremio consistente en una multa.</w:t>
      </w:r>
    </w:p>
    <w:p w14:paraId="5F5863E4" w14:textId="77777777" w:rsidR="00BB22BC" w:rsidRDefault="00BB22BC" w:rsidP="00250873">
      <w:pPr>
        <w:pStyle w:val="corte4fondo"/>
        <w:tabs>
          <w:tab w:val="left" w:pos="567"/>
        </w:tabs>
        <w:rPr>
          <w:rFonts w:ascii="AvantGarde Bk BT" w:hAnsi="AvantGarde Bk BT" w:cs="Arial"/>
          <w:b/>
          <w:color w:val="000000" w:themeColor="text1"/>
          <w:sz w:val="24"/>
          <w:szCs w:val="24"/>
        </w:rPr>
      </w:pPr>
    </w:p>
    <w:p w14:paraId="026984F1" w14:textId="77777777" w:rsidR="00250873" w:rsidRPr="007C5605" w:rsidRDefault="00250873" w:rsidP="00250873">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6.1. Efectos de esta resolución.</w:t>
      </w:r>
    </w:p>
    <w:p w14:paraId="251DB598" w14:textId="77777777" w:rsidR="00250873" w:rsidRPr="007C5605" w:rsidRDefault="00250873" w:rsidP="00250873">
      <w:pPr>
        <w:pStyle w:val="corte4fondo"/>
        <w:tabs>
          <w:tab w:val="left" w:pos="567"/>
        </w:tabs>
        <w:rPr>
          <w:rFonts w:ascii="AvantGarde Bk BT" w:hAnsi="AvantGarde Bk BT" w:cs="Arial"/>
          <w:color w:val="000000" w:themeColor="text1"/>
          <w:sz w:val="24"/>
          <w:szCs w:val="24"/>
        </w:rPr>
      </w:pPr>
    </w:p>
    <w:p w14:paraId="7FCC49DB" w14:textId="0EF249F3" w:rsidR="00250873" w:rsidRPr="007C5605" w:rsidRDefault="00250873" w:rsidP="00792F20">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las consideraciones expuestas, esta Comisión Estatal de Garantía de Acceso a la Información Pública de conformidad con el artículo 175, fracción III de la Ley de Transparencia y Acceso a la Información Pública del Estado </w:t>
      </w:r>
      <w:r w:rsidR="003E1AE0">
        <w:rPr>
          <w:rFonts w:ascii="AvantGarde Bk BT" w:hAnsi="AvantGarde Bk BT" w:cs="Arial"/>
          <w:b/>
          <w:color w:val="000000" w:themeColor="text1"/>
          <w:sz w:val="24"/>
          <w:szCs w:val="24"/>
        </w:rPr>
        <w:t>MODIFICA</w:t>
      </w:r>
      <w:r w:rsidRPr="007C5605">
        <w:rPr>
          <w:rFonts w:ascii="AvantGarde Bk BT" w:hAnsi="AvantGarde Bk BT" w:cs="Arial"/>
          <w:color w:val="000000" w:themeColor="text1"/>
          <w:sz w:val="24"/>
          <w:szCs w:val="24"/>
        </w:rPr>
        <w:t xml:space="preserve"> la respuesta propor</w:t>
      </w:r>
      <w:r>
        <w:rPr>
          <w:rFonts w:ascii="AvantGarde Bk BT" w:hAnsi="AvantGarde Bk BT" w:cs="Arial"/>
          <w:color w:val="000000" w:themeColor="text1"/>
          <w:sz w:val="24"/>
          <w:szCs w:val="24"/>
        </w:rPr>
        <w:t>cionada por el ente obligado y lo conmina para que</w:t>
      </w:r>
      <w:r w:rsidRPr="007C5605">
        <w:rPr>
          <w:rFonts w:ascii="AvantGarde Bk BT" w:hAnsi="AvantGarde Bk BT" w:cs="Arial"/>
          <w:color w:val="000000" w:themeColor="text1"/>
          <w:sz w:val="24"/>
          <w:szCs w:val="24"/>
        </w:rPr>
        <w:t>:</w:t>
      </w:r>
    </w:p>
    <w:p w14:paraId="6912410E" w14:textId="77777777" w:rsidR="00BB22BC" w:rsidRDefault="00BB22BC" w:rsidP="00792F20">
      <w:pPr>
        <w:pStyle w:val="corte4fondo"/>
        <w:tabs>
          <w:tab w:val="left" w:pos="567"/>
        </w:tabs>
        <w:ind w:left="680" w:firstLine="0"/>
        <w:rPr>
          <w:rFonts w:ascii="AvantGarde Bk BT" w:hAnsi="AvantGarde Bk BT" w:cs="Arial"/>
          <w:b/>
          <w:color w:val="000000" w:themeColor="text1"/>
          <w:sz w:val="24"/>
          <w:szCs w:val="24"/>
        </w:rPr>
      </w:pPr>
    </w:p>
    <w:p w14:paraId="5B3A4BE5" w14:textId="23CDC559" w:rsidR="00250873" w:rsidRPr="00792F20" w:rsidRDefault="00250873" w:rsidP="00792F20">
      <w:pPr>
        <w:pStyle w:val="corte4fondo"/>
        <w:tabs>
          <w:tab w:val="left" w:pos="567"/>
        </w:tabs>
        <w:ind w:left="680" w:firstLine="0"/>
        <w:rPr>
          <w:rFonts w:ascii="AvantGarde Bk BT" w:hAnsi="AvantGarde Bk BT" w:cs="Arial"/>
          <w:i/>
          <w:color w:val="000000" w:themeColor="text1"/>
          <w:sz w:val="24"/>
          <w:szCs w:val="24"/>
        </w:rPr>
      </w:pPr>
      <w:r w:rsidRPr="007C5605">
        <w:rPr>
          <w:rFonts w:ascii="AvantGarde Bk BT" w:hAnsi="AvantGarde Bk BT" w:cs="Arial"/>
          <w:b/>
          <w:color w:val="000000" w:themeColor="text1"/>
          <w:sz w:val="24"/>
          <w:szCs w:val="24"/>
        </w:rPr>
        <w:t>6.1.1.</w:t>
      </w:r>
      <w:r w:rsidRPr="007C5605">
        <w:rPr>
          <w:rFonts w:ascii="AvantGarde Bk BT" w:hAnsi="AvantGarde Bk BT" w:cs="Arial"/>
          <w:color w:val="000000" w:themeColor="text1"/>
          <w:sz w:val="24"/>
          <w:szCs w:val="24"/>
        </w:rPr>
        <w:t xml:space="preserve"> </w:t>
      </w:r>
      <w:r w:rsidR="0014704E" w:rsidRPr="0014704E">
        <w:rPr>
          <w:rFonts w:ascii="AvantGarde Bk BT" w:hAnsi="AvantGarde Bk BT" w:cs="Arial"/>
          <w:color w:val="000000" w:themeColor="text1"/>
          <w:sz w:val="24"/>
          <w:szCs w:val="24"/>
        </w:rPr>
        <w:t>Entregue</w:t>
      </w:r>
      <w:r w:rsidR="00792F20">
        <w:rPr>
          <w:rFonts w:ascii="AvantGarde Bk BT" w:hAnsi="AvantGarde Bk BT" w:cs="Arial"/>
          <w:color w:val="000000" w:themeColor="text1"/>
          <w:sz w:val="24"/>
          <w:szCs w:val="24"/>
        </w:rPr>
        <w:t xml:space="preserve"> </w:t>
      </w:r>
      <w:r w:rsidR="0014704E" w:rsidRPr="0014704E">
        <w:rPr>
          <w:rFonts w:ascii="AvantGarde Bk BT" w:hAnsi="AvantGarde Bk BT" w:cs="Arial"/>
          <w:color w:val="000000" w:themeColor="text1"/>
          <w:sz w:val="24"/>
          <w:szCs w:val="24"/>
        </w:rPr>
        <w:t xml:space="preserve">la información </w:t>
      </w:r>
      <w:r w:rsidR="00792F20">
        <w:rPr>
          <w:rFonts w:ascii="AvantGarde Bk BT" w:hAnsi="AvantGarde Bk BT" w:cs="Arial"/>
          <w:color w:val="000000" w:themeColor="text1"/>
          <w:sz w:val="24"/>
          <w:szCs w:val="24"/>
        </w:rPr>
        <w:t xml:space="preserve">consistente en </w:t>
      </w:r>
      <w:r w:rsidR="003E1AE0" w:rsidRPr="003E1AE0">
        <w:rPr>
          <w:rFonts w:ascii="AvantGarde Bk BT" w:hAnsi="AvantGarde Bk BT" w:cs="Arial"/>
          <w:i/>
          <w:color w:val="000000" w:themeColor="text1"/>
          <w:sz w:val="24"/>
          <w:szCs w:val="24"/>
        </w:rPr>
        <w:t>“Inventario de la dirección de recursos financieros.”</w:t>
      </w:r>
      <w:r w:rsidR="003E1AE0">
        <w:rPr>
          <w:rFonts w:ascii="AvantGarde Bk BT" w:hAnsi="AvantGarde Bk BT" w:cs="Arial"/>
          <w:color w:val="000000" w:themeColor="text1"/>
          <w:sz w:val="24"/>
          <w:szCs w:val="24"/>
        </w:rPr>
        <w:t xml:space="preserve"> </w:t>
      </w:r>
      <w:r w:rsidR="0014704E" w:rsidRPr="0014704E">
        <w:rPr>
          <w:rFonts w:ascii="AvantGarde Bk BT" w:hAnsi="AvantGarde Bk BT" w:cs="Arial"/>
          <w:color w:val="000000" w:themeColor="text1"/>
          <w:sz w:val="24"/>
          <w:szCs w:val="24"/>
        </w:rPr>
        <w:t xml:space="preserve">en la modalidad en que fue solicitada, esto es, los documentos </w:t>
      </w:r>
      <w:r w:rsidR="00792F20">
        <w:rPr>
          <w:rFonts w:ascii="AvantGarde Bk BT" w:hAnsi="AvantGarde Bk BT" w:cs="Arial"/>
          <w:color w:val="000000" w:themeColor="text1"/>
          <w:sz w:val="24"/>
          <w:szCs w:val="24"/>
        </w:rPr>
        <w:t xml:space="preserve">de </w:t>
      </w:r>
      <w:r w:rsidR="0014704E" w:rsidRPr="0014704E">
        <w:rPr>
          <w:rFonts w:ascii="AvantGarde Bk BT" w:hAnsi="AvantGarde Bk BT" w:cs="Arial"/>
          <w:color w:val="000000" w:themeColor="text1"/>
          <w:sz w:val="24"/>
          <w:szCs w:val="24"/>
        </w:rPr>
        <w:t>manera electrónica</w:t>
      </w:r>
      <w:r w:rsidR="0014704E">
        <w:rPr>
          <w:rFonts w:ascii="AvantGarde Bk BT" w:hAnsi="AvantGarde Bk BT" w:cs="Arial"/>
          <w:color w:val="000000" w:themeColor="text1"/>
          <w:sz w:val="24"/>
          <w:szCs w:val="24"/>
        </w:rPr>
        <w:t>.</w:t>
      </w:r>
    </w:p>
    <w:p w14:paraId="667E7B69" w14:textId="77777777" w:rsidR="0014704E" w:rsidRPr="007C5605" w:rsidRDefault="0014704E" w:rsidP="0014704E">
      <w:pPr>
        <w:pStyle w:val="corte4fondo"/>
        <w:tabs>
          <w:tab w:val="left" w:pos="567"/>
        </w:tabs>
        <w:ind w:left="720" w:firstLine="0"/>
        <w:rPr>
          <w:rFonts w:ascii="AvantGarde Bk BT" w:hAnsi="AvantGarde Bk BT" w:cs="Arial"/>
          <w:color w:val="000000" w:themeColor="text1"/>
          <w:sz w:val="24"/>
          <w:szCs w:val="24"/>
        </w:rPr>
      </w:pPr>
    </w:p>
    <w:p w14:paraId="1D516894" w14:textId="77777777" w:rsidR="00250873" w:rsidRPr="007C5605" w:rsidRDefault="00250873" w:rsidP="00250873">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6.2. Modalidad de la información.</w:t>
      </w:r>
    </w:p>
    <w:p w14:paraId="5725ABCA" w14:textId="77777777" w:rsidR="00250873" w:rsidRPr="007C5605" w:rsidRDefault="00250873" w:rsidP="00250873">
      <w:pPr>
        <w:pStyle w:val="corte4fondo"/>
        <w:tabs>
          <w:tab w:val="left" w:pos="567"/>
        </w:tabs>
        <w:rPr>
          <w:rFonts w:ascii="AvantGarde Bk BT" w:hAnsi="AvantGarde Bk BT" w:cs="Arial"/>
          <w:b/>
          <w:color w:val="000000" w:themeColor="text1"/>
          <w:sz w:val="24"/>
          <w:szCs w:val="24"/>
        </w:rPr>
      </w:pPr>
    </w:p>
    <w:p w14:paraId="5B3C3CCC" w14:textId="77777777" w:rsidR="00250873" w:rsidRDefault="00250873" w:rsidP="00250873">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 xml:space="preserve">n virtud de que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recurrente expresó que la modalidad de entrega de la información fuera la electrónica, y toda vez que ya no es posible que la autoridad proporcione la información solicitada mediante la Plataforma Nacional de Transparencia San Luis Potosí, ésta deberá hacerlo a través del correo electrónico señalado por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particular para oír y recibir notificaciones.</w:t>
      </w:r>
    </w:p>
    <w:p w14:paraId="30F544D6" w14:textId="77777777" w:rsidR="00B33470" w:rsidRDefault="00B33470" w:rsidP="00250873">
      <w:pPr>
        <w:pStyle w:val="corte4fondo"/>
        <w:tabs>
          <w:tab w:val="left" w:pos="567"/>
        </w:tabs>
        <w:rPr>
          <w:rFonts w:ascii="AvantGarde Bk BT" w:hAnsi="AvantGarde Bk BT" w:cs="Arial"/>
          <w:color w:val="000000" w:themeColor="text1"/>
          <w:sz w:val="24"/>
          <w:szCs w:val="24"/>
        </w:rPr>
      </w:pPr>
    </w:p>
    <w:p w14:paraId="4C5EA0B4" w14:textId="77777777" w:rsidR="00B33470" w:rsidRPr="00CA4F09" w:rsidRDefault="00B33470" w:rsidP="00250873">
      <w:pPr>
        <w:pStyle w:val="corte4fondo"/>
        <w:tabs>
          <w:tab w:val="left" w:pos="567"/>
        </w:tabs>
        <w:rPr>
          <w:rFonts w:ascii="AvantGarde Bk BT" w:hAnsi="AvantGarde Bk BT" w:cs="Arial"/>
          <w:b/>
          <w:color w:val="000000" w:themeColor="text1"/>
          <w:sz w:val="24"/>
          <w:szCs w:val="24"/>
        </w:rPr>
      </w:pPr>
      <w:r w:rsidRPr="00CA4F09">
        <w:rPr>
          <w:rFonts w:ascii="AvantGarde Bk BT" w:hAnsi="AvantGarde Bk BT" w:cs="Arial"/>
          <w:b/>
          <w:color w:val="000000" w:themeColor="text1"/>
          <w:sz w:val="24"/>
          <w:szCs w:val="24"/>
        </w:rPr>
        <w:t>6.3. Precisiones de esta resolución.</w:t>
      </w:r>
    </w:p>
    <w:p w14:paraId="654806DC" w14:textId="77777777" w:rsidR="00B33470" w:rsidRDefault="00B33470" w:rsidP="00250873">
      <w:pPr>
        <w:pStyle w:val="corte4fondo"/>
        <w:tabs>
          <w:tab w:val="left" w:pos="567"/>
        </w:tabs>
        <w:rPr>
          <w:rFonts w:ascii="AvantGarde Bk BT" w:hAnsi="AvantGarde Bk BT" w:cs="Arial"/>
          <w:color w:val="000000" w:themeColor="text1"/>
          <w:sz w:val="24"/>
          <w:szCs w:val="24"/>
        </w:rPr>
      </w:pPr>
    </w:p>
    <w:p w14:paraId="173C0E3A" w14:textId="71DC611E" w:rsidR="00B33470" w:rsidRDefault="00B33470" w:rsidP="00250873">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El sujeto obligado deberá acompañar a su respuesta, </w:t>
      </w:r>
      <w:r w:rsidR="00374B7D">
        <w:rPr>
          <w:rFonts w:ascii="AvantGarde Bk BT" w:hAnsi="AvantGarde Bk BT" w:cs="Arial"/>
          <w:color w:val="000000" w:themeColor="text1"/>
          <w:sz w:val="24"/>
          <w:szCs w:val="24"/>
        </w:rPr>
        <w:t>el acta administrativa de la entrega recepción del último titular de la Dirección de recursos financieros del Poder Judicial del Estado</w:t>
      </w:r>
      <w:r w:rsidR="00CA4F09">
        <w:rPr>
          <w:rFonts w:ascii="AvantGarde Bk BT" w:hAnsi="AvantGarde Bk BT" w:cs="Arial"/>
          <w:color w:val="000000" w:themeColor="text1"/>
          <w:sz w:val="24"/>
          <w:szCs w:val="24"/>
        </w:rPr>
        <w:t>.</w:t>
      </w:r>
    </w:p>
    <w:p w14:paraId="75FA748C" w14:textId="77777777" w:rsidR="00250873" w:rsidRPr="007C5605" w:rsidRDefault="00250873" w:rsidP="00250873">
      <w:pPr>
        <w:pStyle w:val="corte4fondo"/>
        <w:tabs>
          <w:tab w:val="left" w:pos="567"/>
        </w:tabs>
        <w:ind w:firstLine="0"/>
        <w:rPr>
          <w:rFonts w:ascii="AvantGarde Bk BT" w:hAnsi="AvantGarde Bk BT" w:cs="Arial"/>
          <w:color w:val="000000" w:themeColor="text1"/>
          <w:sz w:val="24"/>
          <w:szCs w:val="24"/>
        </w:rPr>
      </w:pPr>
    </w:p>
    <w:p w14:paraId="245628E1" w14:textId="77777777" w:rsidR="00250873" w:rsidRPr="00831D47" w:rsidRDefault="00250873" w:rsidP="00250873">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w:t>
      </w:r>
      <w:r w:rsidR="00CA4F09">
        <w:rPr>
          <w:rFonts w:ascii="AvantGarde Bk BT" w:hAnsi="AvantGarde Bk BT" w:cs="Arial"/>
          <w:b/>
          <w:color w:val="000000" w:themeColor="text1"/>
          <w:sz w:val="24"/>
          <w:szCs w:val="24"/>
        </w:rPr>
        <w:t>4</w:t>
      </w:r>
      <w:r w:rsidRPr="00831D47">
        <w:rPr>
          <w:rFonts w:ascii="AvantGarde Bk BT" w:hAnsi="AvantGarde Bk BT" w:cs="Arial"/>
          <w:b/>
          <w:color w:val="000000" w:themeColor="text1"/>
          <w:sz w:val="24"/>
          <w:szCs w:val="24"/>
        </w:rPr>
        <w:t xml:space="preserve">. Plazo para el cumplimento de esta resolución e informe sobre el cumplimento a la misma. </w:t>
      </w:r>
    </w:p>
    <w:p w14:paraId="186B09B2" w14:textId="77777777" w:rsidR="00250873" w:rsidRPr="00831D47" w:rsidRDefault="00250873" w:rsidP="00250873">
      <w:pPr>
        <w:pStyle w:val="corte4fondo"/>
        <w:tabs>
          <w:tab w:val="left" w:pos="567"/>
        </w:tabs>
        <w:rPr>
          <w:rFonts w:ascii="AvantGarde Bk BT" w:hAnsi="AvantGarde Bk BT" w:cs="Arial"/>
          <w:b/>
          <w:color w:val="000000" w:themeColor="text1"/>
          <w:sz w:val="24"/>
          <w:szCs w:val="24"/>
        </w:rPr>
      </w:pPr>
    </w:p>
    <w:p w14:paraId="5D5FAFDA" w14:textId="77777777" w:rsidR="00250873" w:rsidRDefault="00250873" w:rsidP="00250873">
      <w:pPr>
        <w:pStyle w:val="corte4fondo"/>
        <w:tabs>
          <w:tab w:val="left" w:pos="567"/>
        </w:tabs>
        <w:rPr>
          <w:rFonts w:ascii="AvantGarde Bk BT" w:hAnsi="AvantGarde Bk BT" w:cs="Arial"/>
          <w:color w:val="000000" w:themeColor="text1"/>
          <w:sz w:val="24"/>
          <w:szCs w:val="24"/>
        </w:rPr>
      </w:pPr>
      <w:r w:rsidRPr="00831D47">
        <w:rPr>
          <w:rFonts w:ascii="AvantGarde Bk BT" w:hAnsi="AvantGarde Bk BT" w:cs="Arial"/>
          <w:color w:val="000000" w:themeColor="text1"/>
          <w:sz w:val="24"/>
          <w:szCs w:val="24"/>
        </w:rPr>
        <w:t>Con fundamento en el artículo 175 de la Ley de Transparencia y Acceso a la Información Pública</w:t>
      </w:r>
      <w:r>
        <w:rPr>
          <w:rFonts w:ascii="AvantGarde Bk BT" w:hAnsi="AvantGarde Bk BT" w:cs="Arial"/>
          <w:color w:val="000000" w:themeColor="text1"/>
          <w:sz w:val="24"/>
          <w:szCs w:val="24"/>
        </w:rPr>
        <w:t xml:space="preserve"> </w:t>
      </w:r>
      <w:r w:rsidR="005663ED">
        <w:rPr>
          <w:rFonts w:ascii="AvantGarde Bk BT" w:hAnsi="AvantGarde Bk BT" w:cs="Arial"/>
          <w:color w:val="000000" w:themeColor="text1"/>
          <w:sz w:val="24"/>
          <w:szCs w:val="24"/>
          <w:u w:val="single"/>
        </w:rPr>
        <w:t>10</w:t>
      </w:r>
      <w:r w:rsidRPr="002767C3">
        <w:rPr>
          <w:rFonts w:ascii="AvantGarde Bk BT" w:hAnsi="AvantGarde Bk BT" w:cs="Arial"/>
          <w:color w:val="000000" w:themeColor="text1"/>
          <w:sz w:val="24"/>
          <w:szCs w:val="24"/>
          <w:u w:val="single"/>
        </w:rPr>
        <w:t xml:space="preserve"> días para la entrega de la información</w:t>
      </w:r>
      <w:r w:rsidRPr="00831D47">
        <w:rPr>
          <w:rFonts w:ascii="AvantGarde Bk BT" w:hAnsi="AvantGarde Bk BT" w:cs="Arial"/>
          <w:color w:val="000000" w:themeColor="text1"/>
          <w:sz w:val="24"/>
          <w:szCs w:val="24"/>
        </w:rPr>
        <w:t>, contados a partir de la fecha de notificación de esta resolución, plazo que esta Comisión de Transparencia considera que es suficiente para la entrega de la información por parte del ente obligado y vencido este término, de conformidad con el artículo 177, segundo párrafo de la Ley de la materia, el ente obligado deberá informar a esta Comisión de Transparencia el cumplimento al presente fallo en un plazo que no deberá de exceder de tres días hábiles, en donde justificará con los documentos necesarios el cumplimento a lo aquí ordenado.</w:t>
      </w:r>
    </w:p>
    <w:p w14:paraId="3AEA3542" w14:textId="77777777" w:rsidR="00250873" w:rsidRDefault="00250873" w:rsidP="00250873">
      <w:pPr>
        <w:pStyle w:val="corte4fondo"/>
        <w:tabs>
          <w:tab w:val="left" w:pos="567"/>
        </w:tabs>
        <w:rPr>
          <w:rFonts w:ascii="AvantGarde Bk BT" w:hAnsi="AvantGarde Bk BT" w:cs="Arial"/>
          <w:color w:val="000000" w:themeColor="text1"/>
          <w:sz w:val="24"/>
          <w:szCs w:val="24"/>
        </w:rPr>
      </w:pPr>
    </w:p>
    <w:p w14:paraId="4609F081" w14:textId="77777777" w:rsidR="00250873" w:rsidRPr="00831D47" w:rsidRDefault="00250873" w:rsidP="00250873">
      <w:pPr>
        <w:pStyle w:val="corte4fondo"/>
        <w:tabs>
          <w:tab w:val="left" w:pos="567"/>
        </w:tabs>
        <w:rPr>
          <w:rFonts w:ascii="AvantGarde Bk BT" w:hAnsi="AvantGarde Bk BT" w:cs="Arial"/>
          <w:b/>
          <w:color w:val="000000" w:themeColor="text1"/>
          <w:sz w:val="24"/>
          <w:szCs w:val="24"/>
        </w:rPr>
      </w:pPr>
      <w:r w:rsidRPr="00831D47">
        <w:rPr>
          <w:rFonts w:ascii="AvantGarde Bk BT" w:hAnsi="AvantGarde Bk BT" w:cs="Arial"/>
          <w:b/>
          <w:color w:val="000000" w:themeColor="text1"/>
          <w:sz w:val="24"/>
          <w:szCs w:val="24"/>
        </w:rPr>
        <w:t>6.</w:t>
      </w:r>
      <w:r w:rsidR="00245BFD">
        <w:rPr>
          <w:rFonts w:ascii="AvantGarde Bk BT" w:hAnsi="AvantGarde Bk BT" w:cs="Arial"/>
          <w:b/>
          <w:color w:val="000000" w:themeColor="text1"/>
          <w:sz w:val="24"/>
          <w:szCs w:val="24"/>
        </w:rPr>
        <w:t>5</w:t>
      </w:r>
      <w:r w:rsidRPr="00831D47">
        <w:rPr>
          <w:rFonts w:ascii="AvantGarde Bk BT" w:hAnsi="AvantGarde Bk BT" w:cs="Arial"/>
          <w:b/>
          <w:color w:val="000000" w:themeColor="text1"/>
          <w:sz w:val="24"/>
          <w:szCs w:val="24"/>
        </w:rPr>
        <w:t>. Medida de apremio en caso de incumplimiento a la resolución.</w:t>
      </w:r>
    </w:p>
    <w:p w14:paraId="065C624D" w14:textId="77777777" w:rsidR="00250873" w:rsidRPr="004C15C0" w:rsidRDefault="00250873" w:rsidP="00250873">
      <w:pPr>
        <w:pStyle w:val="corte4fondo"/>
        <w:tabs>
          <w:tab w:val="left" w:pos="567"/>
        </w:tabs>
        <w:rPr>
          <w:rFonts w:ascii="AvantGarde Bk BT" w:hAnsi="AvantGarde Bk BT" w:cs="Arial"/>
          <w:b/>
          <w:color w:val="000000" w:themeColor="text1"/>
          <w:sz w:val="24"/>
          <w:szCs w:val="24"/>
        </w:rPr>
      </w:pPr>
    </w:p>
    <w:p w14:paraId="2133EADB" w14:textId="77777777" w:rsidR="00250873"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Esta Comisión Estatal de Garantía de Acceso a la Información Pública apercibe al ente obligado que en caso de no acatar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presente reso</w:t>
      </w:r>
      <w:r>
        <w:rPr>
          <w:rFonts w:ascii="AvantGarde Bk BT" w:hAnsi="AvantGarde Bk BT" w:cs="Arial"/>
          <w:color w:val="000000" w:themeColor="text1"/>
          <w:sz w:val="24"/>
          <w:szCs w:val="24"/>
        </w:rPr>
        <w:t>lución, se le impondrá la medida de apremio correspondiente conforme a lo establecido</w:t>
      </w:r>
      <w:r w:rsidRPr="007C5605">
        <w:rPr>
          <w:rFonts w:ascii="AvantGarde Bk BT" w:hAnsi="AvantGarde Bk BT" w:cs="Arial"/>
          <w:color w:val="000000" w:themeColor="text1"/>
          <w:sz w:val="24"/>
          <w:szCs w:val="24"/>
        </w:rPr>
        <w:t xml:space="preserve"> en el artícul</w:t>
      </w:r>
      <w:r>
        <w:rPr>
          <w:rFonts w:ascii="AvantGarde Bk BT" w:hAnsi="AvantGarde Bk BT" w:cs="Arial"/>
          <w:color w:val="000000" w:themeColor="text1"/>
          <w:sz w:val="24"/>
          <w:szCs w:val="24"/>
        </w:rPr>
        <w:t xml:space="preserve">o 190 </w:t>
      </w:r>
      <w:r w:rsidRPr="007C5605">
        <w:rPr>
          <w:rFonts w:ascii="AvantGarde Bk BT" w:hAnsi="AvantGarde Bk BT" w:cs="Arial"/>
          <w:color w:val="000000" w:themeColor="text1"/>
          <w:sz w:val="24"/>
          <w:szCs w:val="24"/>
        </w:rPr>
        <w:t>de la Ley de Transparencia, en virtud de qu</w:t>
      </w:r>
      <w:r>
        <w:rPr>
          <w:rFonts w:ascii="AvantGarde Bk BT" w:hAnsi="AvantGarde Bk BT" w:cs="Arial"/>
          <w:color w:val="000000" w:themeColor="text1"/>
          <w:sz w:val="24"/>
          <w:szCs w:val="24"/>
        </w:rPr>
        <w:t xml:space="preserve">e este órgano colegiado debe </w:t>
      </w:r>
      <w:r w:rsidRPr="007C5605">
        <w:rPr>
          <w:rFonts w:ascii="AvantGarde Bk BT" w:hAnsi="AvantGarde Bk BT" w:cs="Arial"/>
          <w:color w:val="000000" w:themeColor="text1"/>
          <w:sz w:val="24"/>
          <w:szCs w:val="24"/>
        </w:rPr>
        <w:t>garantizar el debido cumplimiento al derecho humano de ac</w:t>
      </w:r>
      <w:r>
        <w:rPr>
          <w:rFonts w:ascii="AvantGarde Bk BT" w:hAnsi="AvantGarde Bk BT" w:cs="Arial"/>
          <w:color w:val="000000" w:themeColor="text1"/>
          <w:sz w:val="24"/>
          <w:szCs w:val="24"/>
        </w:rPr>
        <w:t>ceso a la información pública.</w:t>
      </w:r>
    </w:p>
    <w:p w14:paraId="5FC5A6F4" w14:textId="77777777" w:rsidR="00250873" w:rsidRDefault="00250873" w:rsidP="00250873">
      <w:pPr>
        <w:pStyle w:val="corte4fondo"/>
        <w:tabs>
          <w:tab w:val="left" w:pos="567"/>
        </w:tabs>
        <w:jc w:val="center"/>
        <w:rPr>
          <w:rFonts w:ascii="AvantGarde Bk BT" w:hAnsi="AvantGarde Bk BT" w:cs="Arial"/>
          <w:b/>
          <w:color w:val="000000" w:themeColor="text1"/>
          <w:sz w:val="24"/>
          <w:szCs w:val="24"/>
        </w:rPr>
      </w:pPr>
    </w:p>
    <w:p w14:paraId="3CA2BED9" w14:textId="77777777" w:rsidR="00250873" w:rsidRDefault="00250873" w:rsidP="00250873">
      <w:pPr>
        <w:pStyle w:val="corte4fondo"/>
        <w:tabs>
          <w:tab w:val="left" w:pos="567"/>
        </w:tabs>
        <w:jc w:val="center"/>
        <w:rPr>
          <w:rFonts w:ascii="AvantGarde Bk BT" w:hAnsi="AvantGarde Bk BT" w:cs="Arial"/>
          <w:b/>
          <w:color w:val="000000" w:themeColor="text1"/>
          <w:sz w:val="24"/>
          <w:szCs w:val="24"/>
        </w:rPr>
      </w:pPr>
      <w:r w:rsidRPr="0026655E">
        <w:rPr>
          <w:rFonts w:ascii="AvantGarde Bk BT" w:hAnsi="AvantGarde Bk BT" w:cs="Arial"/>
          <w:b/>
          <w:color w:val="000000" w:themeColor="text1"/>
          <w:sz w:val="24"/>
          <w:szCs w:val="24"/>
        </w:rPr>
        <w:t>RESOLUTIVO</w:t>
      </w:r>
    </w:p>
    <w:p w14:paraId="4A806D5D" w14:textId="77777777" w:rsidR="00250873" w:rsidRPr="00E215D2" w:rsidRDefault="00250873" w:rsidP="00250873">
      <w:pPr>
        <w:pStyle w:val="corte4fondo"/>
        <w:tabs>
          <w:tab w:val="left" w:pos="567"/>
        </w:tabs>
        <w:jc w:val="center"/>
        <w:rPr>
          <w:rFonts w:ascii="AvantGarde Bk BT" w:hAnsi="AvantGarde Bk BT" w:cs="Arial"/>
          <w:b/>
          <w:color w:val="000000" w:themeColor="text1"/>
          <w:sz w:val="24"/>
          <w:szCs w:val="24"/>
        </w:rPr>
      </w:pPr>
    </w:p>
    <w:p w14:paraId="3BF05D28" w14:textId="77777777"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lo expuesto y fundado, </w:t>
      </w:r>
      <w:r w:rsidRPr="007C5605">
        <w:rPr>
          <w:rFonts w:ascii="AvantGarde Bk BT" w:hAnsi="AvantGarde Bk BT" w:cs="Arial"/>
          <w:b/>
          <w:color w:val="000000" w:themeColor="text1"/>
          <w:sz w:val="24"/>
          <w:szCs w:val="24"/>
        </w:rPr>
        <w:t>SE RESUELVE</w:t>
      </w:r>
      <w:r w:rsidRPr="007C5605">
        <w:rPr>
          <w:rFonts w:ascii="AvantGarde Bk BT" w:hAnsi="AvantGarde Bk BT" w:cs="Arial"/>
          <w:color w:val="000000" w:themeColor="text1"/>
          <w:sz w:val="24"/>
          <w:szCs w:val="24"/>
        </w:rPr>
        <w:t>:</w:t>
      </w:r>
    </w:p>
    <w:p w14:paraId="0F328F3E" w14:textId="77777777" w:rsidR="00250873" w:rsidRPr="007C5605" w:rsidRDefault="00250873" w:rsidP="00250873">
      <w:pPr>
        <w:pStyle w:val="corte4fondo"/>
        <w:tabs>
          <w:tab w:val="left" w:pos="567"/>
        </w:tabs>
        <w:rPr>
          <w:rFonts w:ascii="AvantGarde Bk BT" w:hAnsi="AvantGarde Bk BT" w:cs="Arial"/>
          <w:color w:val="000000" w:themeColor="text1"/>
          <w:sz w:val="24"/>
          <w:szCs w:val="24"/>
        </w:rPr>
      </w:pPr>
    </w:p>
    <w:p w14:paraId="21ADEA7C" w14:textId="7DC932C8"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ÚNICO.</w:t>
      </w:r>
      <w:r w:rsidRPr="007C5605">
        <w:rPr>
          <w:rFonts w:ascii="AvantGarde Bk BT" w:hAnsi="AvantGarde Bk BT" w:cs="Arial"/>
          <w:color w:val="000000" w:themeColor="text1"/>
          <w:sz w:val="24"/>
          <w:szCs w:val="24"/>
        </w:rPr>
        <w:t xml:space="preserve"> Esta Comisión Estatal de Garantía y Acceso a la Información Pública, con fundamento e</w:t>
      </w:r>
      <w:r>
        <w:rPr>
          <w:rFonts w:ascii="AvantGarde Bk BT" w:hAnsi="AvantGarde Bk BT" w:cs="Arial"/>
          <w:color w:val="000000" w:themeColor="text1"/>
          <w:sz w:val="24"/>
          <w:szCs w:val="24"/>
        </w:rPr>
        <w:t xml:space="preserve">n el artículo 175, fracción III </w:t>
      </w:r>
      <w:r w:rsidRPr="007C5605">
        <w:rPr>
          <w:rFonts w:ascii="AvantGarde Bk BT" w:hAnsi="AvantGarde Bk BT" w:cs="Arial"/>
          <w:color w:val="000000" w:themeColor="text1"/>
          <w:sz w:val="24"/>
          <w:szCs w:val="24"/>
        </w:rPr>
        <w:t xml:space="preserve">de la Ley de Transparencia y Acceso a la Información Pública del Estado, </w:t>
      </w:r>
      <w:r w:rsidR="00374B7D">
        <w:rPr>
          <w:rFonts w:ascii="AvantGarde Bk BT" w:hAnsi="AvantGarde Bk BT" w:cs="Arial"/>
          <w:b/>
          <w:color w:val="000000" w:themeColor="text1"/>
          <w:sz w:val="24"/>
          <w:szCs w:val="24"/>
        </w:rPr>
        <w:t>MODIFICA</w:t>
      </w:r>
      <w:r w:rsidRPr="007C5605">
        <w:rPr>
          <w:rFonts w:ascii="AvantGarde Bk BT" w:hAnsi="AvantGarde Bk BT" w:cs="Arial"/>
          <w:color w:val="000000" w:themeColor="text1"/>
          <w:sz w:val="24"/>
          <w:szCs w:val="24"/>
        </w:rPr>
        <w:t xml:space="preserve"> la respuesta otorgada por el ente obligado, por los fundamentos y las razones desarrolladas en el considerando sexto de la presente resolución.</w:t>
      </w:r>
    </w:p>
    <w:p w14:paraId="280949ED" w14:textId="77777777" w:rsidR="00250873" w:rsidRPr="007C5605" w:rsidRDefault="00250873" w:rsidP="00250873">
      <w:pPr>
        <w:pStyle w:val="corte4fondo"/>
        <w:tabs>
          <w:tab w:val="left" w:pos="567"/>
        </w:tabs>
        <w:rPr>
          <w:rFonts w:ascii="AvantGarde Bk BT" w:hAnsi="AvantGarde Bk BT" w:cs="Arial"/>
          <w:color w:val="000000" w:themeColor="text1"/>
          <w:sz w:val="24"/>
          <w:szCs w:val="24"/>
        </w:rPr>
      </w:pPr>
    </w:p>
    <w:p w14:paraId="0765C964" w14:textId="77777777"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Notifíquese</w:t>
      </w:r>
      <w:r w:rsidRPr="007C5605">
        <w:rPr>
          <w:rFonts w:ascii="AvantGarde Bk BT" w:hAnsi="AvantGarde Bk BT" w:cs="Arial"/>
          <w:color w:val="000000" w:themeColor="text1"/>
          <w:sz w:val="24"/>
          <w:szCs w:val="24"/>
        </w:rPr>
        <w:t>; por oficio a las autoridades y al recurrente por el medio que designó.</w:t>
      </w:r>
    </w:p>
    <w:p w14:paraId="66EBAEF5" w14:textId="77777777" w:rsidR="00250873" w:rsidRPr="007C5605" w:rsidRDefault="00250873" w:rsidP="00250873">
      <w:pPr>
        <w:pStyle w:val="corte4fondo"/>
        <w:tabs>
          <w:tab w:val="left" w:pos="567"/>
        </w:tabs>
        <w:rPr>
          <w:rFonts w:ascii="AvantGarde Bk BT" w:hAnsi="AvantGarde Bk BT" w:cs="Arial"/>
          <w:color w:val="000000" w:themeColor="text1"/>
          <w:sz w:val="24"/>
          <w:szCs w:val="24"/>
        </w:rPr>
      </w:pPr>
    </w:p>
    <w:p w14:paraId="7AA3DE98" w14:textId="5D6FDDD9" w:rsidR="00250873" w:rsidRDefault="00250873" w:rsidP="00250873">
      <w:pPr>
        <w:pStyle w:val="corte4fondo"/>
        <w:tabs>
          <w:tab w:val="left" w:pos="567"/>
        </w:tabs>
        <w:rPr>
          <w:rFonts w:ascii="AvantGarde Bk BT" w:hAnsi="AvantGarde Bk BT"/>
          <w:color w:val="000000" w:themeColor="text1"/>
          <w:sz w:val="24"/>
          <w:szCs w:val="24"/>
        </w:rPr>
      </w:pPr>
      <w:r>
        <w:rPr>
          <w:rFonts w:ascii="AvantGarde Bk BT" w:hAnsi="AvantGarde Bk BT" w:cs="Arial"/>
          <w:color w:val="000000" w:themeColor="text1"/>
          <w:sz w:val="24"/>
          <w:szCs w:val="24"/>
        </w:rPr>
        <w:t>Así l</w:t>
      </w:r>
      <w:r>
        <w:rPr>
          <w:rFonts w:ascii="AvantGarde Bk BT" w:hAnsi="AvantGarde Bk BT"/>
          <w:color w:val="000000" w:themeColor="text1"/>
          <w:sz w:val="24"/>
          <w:szCs w:val="24"/>
        </w:rPr>
        <w:t xml:space="preserve">o resolvieron por unanimidad de votos en Sesión </w:t>
      </w:r>
      <w:r w:rsidR="009479DD">
        <w:rPr>
          <w:rFonts w:ascii="AvantGarde Bk BT" w:hAnsi="AvantGarde Bk BT"/>
          <w:color w:val="000000" w:themeColor="text1"/>
          <w:sz w:val="24"/>
          <w:szCs w:val="24"/>
        </w:rPr>
        <w:t>O</w:t>
      </w:r>
      <w:r>
        <w:rPr>
          <w:rFonts w:ascii="AvantGarde Bk BT" w:hAnsi="AvantGarde Bk BT"/>
          <w:color w:val="000000" w:themeColor="text1"/>
          <w:sz w:val="24"/>
          <w:szCs w:val="24"/>
        </w:rPr>
        <w:t xml:space="preserve">rdinaria de Consejo el </w:t>
      </w:r>
      <w:r w:rsidR="000B738C">
        <w:rPr>
          <w:rFonts w:ascii="AvantGarde Bk BT" w:hAnsi="AvantGarde Bk BT"/>
          <w:color w:val="000000" w:themeColor="text1"/>
          <w:sz w:val="24"/>
          <w:szCs w:val="24"/>
        </w:rPr>
        <w:t>22 veintidós de noviembre</w:t>
      </w:r>
      <w:r>
        <w:rPr>
          <w:rFonts w:ascii="AvantGarde Bk BT" w:hAnsi="AvantGarde Bk BT"/>
          <w:color w:val="000000" w:themeColor="text1"/>
          <w:sz w:val="24"/>
          <w:szCs w:val="24"/>
        </w:rPr>
        <w:t xml:space="preserve"> de 2018 dos mil dieciocho,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Maestro Alejandro Lafuente Torres</w:t>
      </w:r>
      <w:r>
        <w:rPr>
          <w:rFonts w:ascii="AvantGarde Bk BT" w:hAnsi="AvantGarde Bk BT" w:cs="Arial"/>
          <w:color w:val="000000" w:themeColor="text1"/>
          <w:sz w:val="24"/>
          <w:szCs w:val="24"/>
        </w:rPr>
        <w:t xml:space="preserve">, </w:t>
      </w:r>
      <w:r w:rsidRPr="005F55F0">
        <w:rPr>
          <w:rFonts w:ascii="AvantGarde Bk BT" w:hAnsi="AvantGarde Bk BT" w:cs="Arial"/>
          <w:color w:val="000000" w:themeColor="text1"/>
          <w:sz w:val="24"/>
          <w:szCs w:val="24"/>
        </w:rPr>
        <w:t>Lic. Paulina Sánchez Pérez del Pozo</w:t>
      </w:r>
      <w:r>
        <w:rPr>
          <w:rFonts w:ascii="AvantGarde Bk BT" w:hAnsi="AvantGarde Bk BT" w:cs="Arial"/>
          <w:color w:val="000000" w:themeColor="text1"/>
          <w:sz w:val="24"/>
          <w:szCs w:val="24"/>
        </w:rPr>
        <w:t xml:space="preserve"> y Licenciada </w:t>
      </w:r>
      <w:r w:rsidR="005705DF">
        <w:rPr>
          <w:rFonts w:ascii="AvantGarde Bk BT" w:hAnsi="AvantGarde Bk BT" w:cs="Arial"/>
          <w:color w:val="000000" w:themeColor="text1"/>
          <w:sz w:val="24"/>
          <w:szCs w:val="24"/>
        </w:rPr>
        <w:t>Mar</w:t>
      </w:r>
      <w:r w:rsidR="00602198">
        <w:rPr>
          <w:rFonts w:ascii="AvantGarde Bk BT" w:hAnsi="AvantGarde Bk BT" w:cs="Arial"/>
          <w:color w:val="000000" w:themeColor="text1"/>
          <w:sz w:val="24"/>
          <w:szCs w:val="24"/>
        </w:rPr>
        <w:t>i</w:t>
      </w:r>
      <w:r w:rsidR="005705DF">
        <w:rPr>
          <w:rFonts w:ascii="AvantGarde Bk BT" w:hAnsi="AvantGarde Bk BT" w:cs="Arial"/>
          <w:color w:val="000000" w:themeColor="text1"/>
          <w:sz w:val="24"/>
          <w:szCs w:val="24"/>
        </w:rPr>
        <w:t>ajosé González Zarzo</w:t>
      </w:r>
      <w:r w:rsidR="00DF5FF4">
        <w:rPr>
          <w:rFonts w:ascii="AvantGarde Bk BT" w:hAnsi="AvantGarde Bk BT" w:cs="Arial"/>
          <w:color w:val="000000" w:themeColor="text1"/>
          <w:sz w:val="24"/>
          <w:szCs w:val="24"/>
        </w:rPr>
        <w:t>s</w:t>
      </w:r>
      <w:r w:rsidR="005705DF">
        <w:rPr>
          <w:rFonts w:ascii="AvantGarde Bk BT" w:hAnsi="AvantGarde Bk BT" w:cs="Arial"/>
          <w:color w:val="000000" w:themeColor="text1"/>
          <w:sz w:val="24"/>
          <w:szCs w:val="24"/>
        </w:rPr>
        <w:t>a</w:t>
      </w:r>
      <w:r>
        <w:rPr>
          <w:rFonts w:ascii="AvantGarde Bk BT" w:hAnsi="AvantGarde Bk BT" w:cs="Arial"/>
          <w:color w:val="000000" w:themeColor="text1"/>
          <w:sz w:val="24"/>
          <w:szCs w:val="24"/>
        </w:rPr>
        <w:t xml:space="preserve">, </w:t>
      </w:r>
      <w:r>
        <w:rPr>
          <w:rFonts w:ascii="AvantGarde Bk BT" w:hAnsi="AvantGarde Bk BT"/>
          <w:b/>
          <w:color w:val="000000" w:themeColor="text1"/>
          <w:sz w:val="24"/>
          <w:szCs w:val="24"/>
        </w:rPr>
        <w:t>siendo ponente el primero de los nombrados</w:t>
      </w:r>
      <w:r>
        <w:rPr>
          <w:rFonts w:ascii="AvantGarde Bk BT" w:hAnsi="AvantGarde Bk BT"/>
          <w:color w:val="000000" w:themeColor="text1"/>
          <w:sz w:val="24"/>
          <w:szCs w:val="24"/>
        </w:rPr>
        <w:t xml:space="preserve">, quienes firman con la Licenciada Rosa María Motilla García, quien autoriza y da fe. </w:t>
      </w:r>
    </w:p>
    <w:p w14:paraId="7B9F5524" w14:textId="77777777" w:rsidR="00DF5FF4" w:rsidRDefault="00DF5FF4" w:rsidP="00B86F4A">
      <w:pPr>
        <w:pStyle w:val="corte4fondo"/>
        <w:tabs>
          <w:tab w:val="left" w:pos="567"/>
        </w:tabs>
        <w:ind w:firstLine="0"/>
        <w:rPr>
          <w:rFonts w:ascii="AvantGarde Bk BT" w:hAnsi="AvantGarde Bk BT"/>
          <w:color w:val="000000" w:themeColor="text1"/>
          <w:sz w:val="24"/>
          <w:szCs w:val="24"/>
        </w:rPr>
      </w:pPr>
    </w:p>
    <w:p w14:paraId="2A9243E2" w14:textId="77777777" w:rsidR="009E4194" w:rsidRDefault="00DF5FF4" w:rsidP="00FA2C72">
      <w:pPr>
        <w:pStyle w:val="NormalWeb"/>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w:t>
      </w:r>
      <w:r w:rsidR="009E4194">
        <w:rPr>
          <w:rFonts w:ascii="AvantGarde Bk BT" w:hAnsi="AvantGarde Bk BT" w:cs="Arial"/>
          <w:b/>
          <w:color w:val="000000" w:themeColor="text1"/>
          <w:lang w:val="es-MX"/>
        </w:rPr>
        <w:t>COMISIONADO                                  COMISIONADA</w:t>
      </w:r>
      <w:r w:rsidR="00EB088F">
        <w:rPr>
          <w:rFonts w:ascii="AvantGarde Bk BT" w:hAnsi="AvantGarde Bk BT" w:cs="Arial"/>
          <w:b/>
          <w:color w:val="000000" w:themeColor="text1"/>
          <w:lang w:val="es-MX"/>
        </w:rPr>
        <w:t xml:space="preserve"> PRESIDENT</w:t>
      </w:r>
      <w:r w:rsidR="0033362C">
        <w:rPr>
          <w:rFonts w:ascii="AvantGarde Bk BT" w:hAnsi="AvantGarde Bk BT" w:cs="Arial"/>
          <w:b/>
          <w:color w:val="000000" w:themeColor="text1"/>
          <w:lang w:val="es-MX"/>
        </w:rPr>
        <w:t>E</w:t>
      </w:r>
    </w:p>
    <w:p w14:paraId="48430E0B" w14:textId="77777777" w:rsidR="00DF5FF4" w:rsidRDefault="00DF5FF4" w:rsidP="009E4194">
      <w:pPr>
        <w:pStyle w:val="NormalWeb"/>
        <w:jc w:val="both"/>
        <w:rPr>
          <w:rFonts w:ascii="AvantGarde Bk BT" w:hAnsi="AvantGarde Bk BT" w:cs="Arial"/>
          <w:b/>
          <w:color w:val="000000" w:themeColor="text1"/>
          <w:lang w:val="es-MX"/>
        </w:rPr>
      </w:pPr>
    </w:p>
    <w:p w14:paraId="4F7E86C6" w14:textId="77777777" w:rsidR="009E4194" w:rsidRDefault="009E4194" w:rsidP="00DF5FF4">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MTRO. ALEJANDRO LAFUENTE TORRES.</w:t>
      </w:r>
      <w:r>
        <w:rPr>
          <w:rFonts w:ascii="AvantGarde Bk BT" w:hAnsi="AvantGarde Bk BT" w:cs="Arial"/>
          <w:b/>
          <w:color w:val="000000" w:themeColor="text1"/>
          <w:lang w:val="es-MX"/>
        </w:rPr>
        <w:tab/>
        <w:t xml:space="preserve">     </w:t>
      </w:r>
      <w:r w:rsidR="005F55F0" w:rsidRPr="005F55F0">
        <w:rPr>
          <w:rFonts w:ascii="AvantGarde Bk BT" w:hAnsi="AvantGarde Bk BT" w:cs="Arial"/>
          <w:b/>
          <w:color w:val="000000" w:themeColor="text1"/>
          <w:lang w:val="es-MX"/>
        </w:rPr>
        <w:t>LIC. PAULINA SÁNCHEZ PÉREZ DEL POZO</w:t>
      </w:r>
      <w:r>
        <w:rPr>
          <w:rFonts w:ascii="AvantGarde Bk BT" w:hAnsi="AvantGarde Bk BT" w:cs="Arial"/>
          <w:b/>
          <w:color w:val="000000" w:themeColor="text1"/>
          <w:lang w:val="es-MX"/>
        </w:rPr>
        <w:t>.</w:t>
      </w:r>
    </w:p>
    <w:p w14:paraId="44053E69" w14:textId="77777777" w:rsidR="00DF5FF4" w:rsidRDefault="00DF5FF4" w:rsidP="00DF5FF4">
      <w:pPr>
        <w:pStyle w:val="NormalWeb"/>
        <w:jc w:val="center"/>
        <w:rPr>
          <w:rFonts w:ascii="AvantGarde Bk BT" w:hAnsi="AvantGarde Bk BT" w:cs="Arial"/>
          <w:b/>
          <w:color w:val="000000" w:themeColor="text1"/>
          <w:lang w:val="es-MX"/>
        </w:rPr>
      </w:pPr>
    </w:p>
    <w:p w14:paraId="18380BE0" w14:textId="77777777" w:rsidR="009E4194" w:rsidRDefault="009E4194" w:rsidP="009E4194">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COMISIONADA                                           SECRETARIA DE PLENO</w:t>
      </w:r>
    </w:p>
    <w:p w14:paraId="392C6006" w14:textId="77777777" w:rsidR="009E4194" w:rsidRDefault="009E4194" w:rsidP="009E4194">
      <w:pPr>
        <w:pStyle w:val="NormalWeb"/>
        <w:rPr>
          <w:rFonts w:ascii="AvantGarde Bk BT" w:hAnsi="AvantGarde Bk BT" w:cs="Arial"/>
          <w:b/>
          <w:color w:val="000000" w:themeColor="text1"/>
          <w:lang w:val="es-MX"/>
        </w:rPr>
      </w:pPr>
    </w:p>
    <w:p w14:paraId="766CA33D" w14:textId="77777777" w:rsidR="009E4194" w:rsidRDefault="009E4194" w:rsidP="009E4194">
      <w:pPr>
        <w:pStyle w:val="NormalWeb"/>
        <w:jc w:val="center"/>
        <w:rPr>
          <w:rFonts w:ascii="AvantGarde Bk BT" w:hAnsi="AvantGarde Bk BT" w:cs="Arial"/>
          <w:color w:val="000000" w:themeColor="text1"/>
          <w:sz w:val="16"/>
          <w:szCs w:val="16"/>
          <w:lang w:val="es-MX"/>
        </w:rPr>
      </w:pPr>
      <w:r>
        <w:rPr>
          <w:rFonts w:ascii="AvantGarde Bk BT" w:hAnsi="AvantGarde Bk BT" w:cs="Arial"/>
          <w:b/>
          <w:color w:val="000000" w:themeColor="text1"/>
          <w:lang w:val="es-MX"/>
        </w:rPr>
        <w:t xml:space="preserve"> LIC. </w:t>
      </w:r>
      <w:r w:rsidR="00FC3F72" w:rsidRPr="00FC3F72">
        <w:rPr>
          <w:rFonts w:ascii="AvantGarde Bk BT" w:hAnsi="AvantGarde Bk BT" w:cs="Arial"/>
          <w:b/>
          <w:color w:val="000000" w:themeColor="text1"/>
        </w:rPr>
        <w:t>MAR</w:t>
      </w:r>
      <w:r w:rsidR="00FE1D17">
        <w:rPr>
          <w:rFonts w:ascii="AvantGarde Bk BT" w:hAnsi="AvantGarde Bk BT" w:cs="Arial"/>
          <w:b/>
          <w:color w:val="000000" w:themeColor="text1"/>
        </w:rPr>
        <w:t>I</w:t>
      </w:r>
      <w:r w:rsidR="00FC3F72" w:rsidRPr="00FC3F72">
        <w:rPr>
          <w:rFonts w:ascii="AvantGarde Bk BT" w:hAnsi="AvantGarde Bk BT" w:cs="Arial"/>
          <w:b/>
          <w:color w:val="000000" w:themeColor="text1"/>
        </w:rPr>
        <w:t>AJOSÉ GONZÁLEZ ZARZO</w:t>
      </w:r>
      <w:r w:rsidR="00B86F4A">
        <w:rPr>
          <w:rFonts w:ascii="AvantGarde Bk BT" w:hAnsi="AvantGarde Bk BT" w:cs="Arial"/>
          <w:b/>
          <w:color w:val="000000" w:themeColor="text1"/>
        </w:rPr>
        <w:t>S</w:t>
      </w:r>
      <w:r w:rsidR="00FC3F72" w:rsidRPr="00FC3F72">
        <w:rPr>
          <w:rFonts w:ascii="AvantGarde Bk BT" w:hAnsi="AvantGarde Bk BT" w:cs="Arial"/>
          <w:b/>
          <w:color w:val="000000" w:themeColor="text1"/>
        </w:rPr>
        <w:t>A</w:t>
      </w:r>
      <w:r>
        <w:rPr>
          <w:rFonts w:ascii="AvantGarde Bk BT" w:hAnsi="AvantGarde Bk BT" w:cs="Arial"/>
          <w:b/>
          <w:color w:val="000000" w:themeColor="text1"/>
          <w:lang w:val="es-MX"/>
        </w:rPr>
        <w:t>.        LIC. ROSA MARÍA MOTILLA GARCÍA.</w:t>
      </w:r>
    </w:p>
    <w:p w14:paraId="51D5ACE2" w14:textId="77777777" w:rsidR="00374B7D" w:rsidRPr="001314EC" w:rsidRDefault="00374B7D" w:rsidP="00374B7D">
      <w:pPr>
        <w:autoSpaceDE w:val="0"/>
        <w:autoSpaceDN w:val="0"/>
        <w:adjustRightInd w:val="0"/>
        <w:spacing w:after="0" w:line="480" w:lineRule="auto"/>
        <w:jc w:val="both"/>
        <w:rPr>
          <w:rFonts w:ascii="AvantGarde Bk BT" w:hAnsi="AvantGarde Bk BT" w:cs="Arial"/>
          <w:i/>
          <w:color w:val="000000" w:themeColor="text1"/>
          <w:sz w:val="18"/>
          <w:szCs w:val="14"/>
          <w:vertAlign w:val="superscript"/>
        </w:rPr>
      </w:pPr>
      <w:r w:rsidRPr="001314EC">
        <w:rPr>
          <w:rFonts w:ascii="AvantGarde Bk BT" w:hAnsi="AvantGarde Bk BT" w:cs="Arial"/>
          <w:i/>
          <w:color w:val="000000" w:themeColor="text1"/>
          <w:sz w:val="18"/>
          <w:szCs w:val="14"/>
          <w:vertAlign w:val="superscript"/>
        </w:rPr>
        <w:t>PRT</w:t>
      </w:r>
      <w:r>
        <w:rPr>
          <w:rFonts w:ascii="AvantGarde Bk BT" w:hAnsi="AvantGarde Bk BT" w:cs="Arial"/>
          <w:i/>
          <w:color w:val="000000" w:themeColor="text1"/>
          <w:sz w:val="18"/>
          <w:szCs w:val="14"/>
          <w:vertAlign w:val="superscript"/>
        </w:rPr>
        <w:t>.</w:t>
      </w:r>
    </w:p>
    <w:p w14:paraId="0D564A0C" w14:textId="7BCF47D7" w:rsidR="00374B7D" w:rsidRPr="004C15C0" w:rsidRDefault="00374B7D" w:rsidP="00374B7D">
      <w:pPr>
        <w:autoSpaceDE w:val="0"/>
        <w:autoSpaceDN w:val="0"/>
        <w:adjustRightInd w:val="0"/>
        <w:spacing w:after="0" w:line="240" w:lineRule="auto"/>
        <w:jc w:val="both"/>
        <w:rPr>
          <w:rFonts w:ascii="AvantGarde Bk BT" w:hAnsi="AvantGarde Bk BT" w:cs="Arial"/>
          <w:color w:val="000000" w:themeColor="text1"/>
          <w:sz w:val="14"/>
          <w:szCs w:val="14"/>
        </w:rPr>
      </w:pPr>
      <w:r>
        <w:rPr>
          <w:rFonts w:ascii="AvantGarde Bk BT" w:hAnsi="AvantGarde Bk BT" w:cs="Arial"/>
          <w:color w:val="000000" w:themeColor="text1"/>
          <w:sz w:val="14"/>
          <w:szCs w:val="14"/>
        </w:rPr>
        <w:t>(Estas firmas corresponden a la resolución dictada por el Pleno de la Comisión Estatal de Garantía de Acceso a la Información Pública de San Luis Potosí en sesión extraordinaria de 22 veintidós de noviembre de 2018 dos mil dieciocho, dentro de los autos del recurso de revisión RR-778/2018-1 PLATAFORMA.)</w:t>
      </w:r>
    </w:p>
    <w:p w14:paraId="05D0AB2D" w14:textId="77777777" w:rsidR="005873DB" w:rsidRPr="004C15C0" w:rsidRDefault="005873DB" w:rsidP="00374B7D">
      <w:pPr>
        <w:autoSpaceDE w:val="0"/>
        <w:autoSpaceDN w:val="0"/>
        <w:adjustRightInd w:val="0"/>
        <w:spacing w:after="0" w:line="480" w:lineRule="auto"/>
        <w:jc w:val="both"/>
        <w:rPr>
          <w:rFonts w:ascii="AvantGarde Bk BT" w:hAnsi="AvantGarde Bk BT" w:cs="Arial"/>
          <w:color w:val="000000" w:themeColor="text1"/>
          <w:sz w:val="14"/>
          <w:szCs w:val="14"/>
        </w:rPr>
      </w:pPr>
    </w:p>
    <w:sectPr w:rsidR="005873DB" w:rsidRPr="004C15C0" w:rsidSect="00B86F4A">
      <w:headerReference w:type="default" r:id="rId10"/>
      <w:pgSz w:w="12240" w:h="18720" w:code="41"/>
      <w:pgMar w:top="3119" w:right="851" w:bottom="1985"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63DE60" w14:textId="77777777" w:rsidR="00EE63FC" w:rsidRDefault="00EE63FC" w:rsidP="003864ED">
      <w:pPr>
        <w:spacing w:after="0" w:line="240" w:lineRule="auto"/>
      </w:pPr>
      <w:r>
        <w:separator/>
      </w:r>
    </w:p>
  </w:endnote>
  <w:endnote w:type="continuationSeparator" w:id="0">
    <w:p w14:paraId="5256D527" w14:textId="77777777" w:rsidR="00EE63FC" w:rsidRDefault="00EE63FC"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vantGarde Bk BT">
    <w:altName w:val="Century Gothic"/>
    <w:charset w:val="00"/>
    <w:family w:val="swiss"/>
    <w:pitch w:val="variable"/>
    <w:sig w:usb0="00000001"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C3277E" w14:textId="77777777" w:rsidR="00EE63FC" w:rsidRDefault="00EE63FC" w:rsidP="003864ED">
      <w:pPr>
        <w:spacing w:after="0" w:line="240" w:lineRule="auto"/>
      </w:pPr>
      <w:r>
        <w:separator/>
      </w:r>
    </w:p>
  </w:footnote>
  <w:footnote w:type="continuationSeparator" w:id="0">
    <w:p w14:paraId="5ECED8E6" w14:textId="77777777" w:rsidR="00EE63FC" w:rsidRDefault="00EE63FC" w:rsidP="003864ED">
      <w:pPr>
        <w:spacing w:after="0" w:line="240" w:lineRule="auto"/>
      </w:pPr>
      <w:r>
        <w:continuationSeparator/>
      </w:r>
    </w:p>
  </w:footnote>
  <w:footnote w:id="1">
    <w:p w14:paraId="1BB615CB" w14:textId="77777777" w:rsidR="00A779D1" w:rsidRDefault="00A779D1" w:rsidP="00A779D1">
      <w:pPr>
        <w:pStyle w:val="Textonotapie"/>
        <w:jc w:val="both"/>
      </w:pPr>
      <w:r>
        <w:rPr>
          <w:rStyle w:val="Refdenotaalpie"/>
        </w:rPr>
        <w:footnoteRef/>
      </w:r>
      <w:r>
        <w:t xml:space="preserve"> ARTÍCULO 151. Los sujetos obligados deberán otorgar acceso a los Documentos que se encuentren en sus archivos o que estén obligados a documentar de acuerdo con sus facultades, competencias o funciones en el formato en que el solicitante manifieste, de entre aquellos formatos existentes, conforme a las características físicas de la información o del lugar donde se encuentre así lo permita. </w:t>
      </w:r>
    </w:p>
    <w:p w14:paraId="3E8D71DA" w14:textId="336ED0C8" w:rsidR="00A779D1" w:rsidRDefault="00A779D1" w:rsidP="00A779D1">
      <w:pPr>
        <w:pStyle w:val="Textonotapie"/>
        <w:jc w:val="both"/>
      </w:pPr>
      <w:r>
        <w:t>En el caso de que la información solicitada consista en bases de datos se deberá privilegiar la entrega de la misma en Formatos Abiertos.</w:t>
      </w:r>
    </w:p>
  </w:footnote>
  <w:footnote w:id="2">
    <w:p w14:paraId="0FA8BE50" w14:textId="57AC7E54" w:rsidR="003226DE" w:rsidRDefault="003226DE" w:rsidP="003226DE">
      <w:pPr>
        <w:pStyle w:val="Textonotapie"/>
        <w:jc w:val="both"/>
      </w:pPr>
      <w:r>
        <w:rPr>
          <w:rStyle w:val="Refdenotaalpie"/>
        </w:rPr>
        <w:footnoteRef/>
      </w:r>
      <w:r>
        <w:t xml:space="preserve"> ARTICULO 1o.- La presente ley tiene por objeto fijar las normas para la entrega-recepción de los recursos públicos del Estado de San Luis Potosí y establecer la obligación de que, sus titulares y los servidores públicos hasta el nivel de director de área; o su equivalente en el sector paraestatal o paramunicipal, rindan al separarse de sus cargos un informe de los asuntos de su competencia y entreguen formalmente el detalle de los recursos financieros, humanos y materiales que tengan asignados para el ejercicio de sus atribuciones a quienes los sustituyan legalmente en sus funciones.</w:t>
      </w:r>
    </w:p>
  </w:footnote>
  <w:footnote w:id="3">
    <w:p w14:paraId="60300B5E" w14:textId="77777777" w:rsidR="009647A2" w:rsidRDefault="003226DE" w:rsidP="009647A2">
      <w:pPr>
        <w:pStyle w:val="Textonotapie"/>
        <w:jc w:val="both"/>
      </w:pPr>
      <w:r>
        <w:rPr>
          <w:rStyle w:val="Refdenotaalpie"/>
        </w:rPr>
        <w:footnoteRef/>
      </w:r>
      <w:r>
        <w:t xml:space="preserve"> </w:t>
      </w:r>
      <w:r w:rsidRPr="003226DE">
        <w:t>ARTICULO 2o.- La presente ley es aplicable al:</w:t>
      </w:r>
    </w:p>
    <w:p w14:paraId="65B37FBE" w14:textId="77777777" w:rsidR="009647A2" w:rsidRDefault="009647A2" w:rsidP="009647A2">
      <w:pPr>
        <w:pStyle w:val="Textonotapie"/>
        <w:jc w:val="both"/>
      </w:pPr>
      <w:r>
        <w:t>[…]</w:t>
      </w:r>
    </w:p>
    <w:p w14:paraId="6EF3AA1F" w14:textId="32388A18" w:rsidR="003226DE" w:rsidRDefault="003226DE" w:rsidP="009647A2">
      <w:pPr>
        <w:pStyle w:val="Textonotapie"/>
        <w:jc w:val="both"/>
      </w:pPr>
      <w:r w:rsidRPr="003226DE">
        <w:t xml:space="preserve"> III- Poder Judicial del Estado;</w:t>
      </w:r>
    </w:p>
    <w:p w14:paraId="379B98C1" w14:textId="77777777" w:rsidR="009647A2" w:rsidRDefault="009647A2" w:rsidP="009647A2">
      <w:pPr>
        <w:pStyle w:val="Textonotapie"/>
        <w:jc w:val="both"/>
      </w:pPr>
      <w:r>
        <w:t>[…]</w:t>
      </w:r>
    </w:p>
    <w:p w14:paraId="68FFC7A9" w14:textId="77777777" w:rsidR="009647A2" w:rsidRDefault="009647A2" w:rsidP="009647A2">
      <w:pPr>
        <w:pStyle w:val="Textonotapie"/>
        <w:jc w:val="both"/>
      </w:pPr>
    </w:p>
  </w:footnote>
  <w:footnote w:id="4">
    <w:p w14:paraId="1E403CD5" w14:textId="7BCBAA22" w:rsidR="009647A2" w:rsidRDefault="009647A2" w:rsidP="009647A2">
      <w:pPr>
        <w:pStyle w:val="Textonotapie"/>
        <w:jc w:val="both"/>
      </w:pPr>
      <w:r>
        <w:rPr>
          <w:rStyle w:val="Refdenotaalpie"/>
        </w:rPr>
        <w:footnoteRef/>
      </w:r>
      <w:r>
        <w:t xml:space="preserve"> </w:t>
      </w:r>
      <w:r w:rsidRPr="009647A2">
        <w:t>ARTICULO 4o.- La entrega-recepción de los recursos públicos del Estado, es un proceso de interés público, de cumplimiento obligatorio y formal, que deberá efectuarse por escrito, mediante acta administrativa en la que se describa el estado que guarda la administración, dependencia o entidad de que se trate y que deberá contener los requisitos establecidos por la presente ley y por los manuales de normatividad que fijen la Contaduría Mayor de Hacienda, en el ámbito del Poder Legislativo, municipios del Estado y entidades paramunicipales; la Coordinación General de Contraloría del Gobierno del Estado en la esfera del propio Gobierno del Estado y entidades paraestatales; y la Contraloría del Poder Judicial en el área de aplicación de su actividad jurisdiccional.</w:t>
      </w:r>
    </w:p>
  </w:footnote>
  <w:footnote w:id="5">
    <w:p w14:paraId="38A76978" w14:textId="6C34C992" w:rsidR="009647A2" w:rsidRDefault="009647A2">
      <w:pPr>
        <w:pStyle w:val="Textonotapie"/>
      </w:pPr>
      <w:r>
        <w:rPr>
          <w:rStyle w:val="Refdenotaalpie"/>
        </w:rPr>
        <w:footnoteRef/>
      </w:r>
      <w:r>
        <w:t xml:space="preserve"> </w:t>
      </w:r>
      <w:r w:rsidRPr="009647A2">
        <w:t>ARTICULO 14.- La autoridad pública saliente, deberá preparar la entrega de los asuntos y recursos, mediante acta administrativa en la que se incluirá en su caso:</w:t>
      </w:r>
    </w:p>
    <w:p w14:paraId="03FF83E6" w14:textId="4CCFDACF" w:rsidR="009647A2" w:rsidRDefault="009647A2">
      <w:pPr>
        <w:pStyle w:val="Textonotapie"/>
      </w:pPr>
      <w:r>
        <w:t>[…]</w:t>
      </w:r>
    </w:p>
    <w:p w14:paraId="052DE5A7" w14:textId="65672B46" w:rsidR="009647A2" w:rsidRDefault="009647A2">
      <w:pPr>
        <w:pStyle w:val="Textonotapie"/>
      </w:pPr>
      <w:r>
        <w:t>II.- Detalle pormenorizado sobre la situación de los recursos financieros y humanos así como los bienes muebles e inmuebles a su cargo;</w:t>
      </w:r>
    </w:p>
    <w:p w14:paraId="41F40C39" w14:textId="19CC9F26" w:rsidR="009647A2" w:rsidRDefault="009647A2">
      <w:pPr>
        <w:pStyle w:val="Textonotapie"/>
      </w:pPr>
      <w:r>
        <w:t>[…]</w:t>
      </w:r>
    </w:p>
  </w:footnote>
  <w:footnote w:id="6">
    <w:p w14:paraId="249E8E7A" w14:textId="77777777" w:rsidR="00BB22BC" w:rsidRPr="00337368" w:rsidRDefault="00BB22BC" w:rsidP="00BB22BC">
      <w:pPr>
        <w:pStyle w:val="Textonotapie"/>
        <w:jc w:val="both"/>
        <w:rPr>
          <w:rStyle w:val="Refdenotaalpie"/>
          <w:vertAlign w:val="baseline"/>
        </w:rPr>
      </w:pPr>
      <w:r w:rsidRPr="00337368">
        <w:rPr>
          <w:rStyle w:val="Refdenotaalpie"/>
          <w:vertAlign w:val="baseline"/>
        </w:rPr>
        <w:footnoteRef/>
      </w:r>
      <w:r w:rsidRPr="00337368">
        <w:rPr>
          <w:rStyle w:val="Refdenotaalpie"/>
          <w:vertAlign w:val="baseline"/>
        </w:rPr>
        <w:t xml:space="preserve"> CÓDIGO PROCESAL ADMINISTRATIVO PARA EL ESTADO DE SAN LUIS POTOSÍ</w:t>
      </w:r>
    </w:p>
    <w:p w14:paraId="71CCA114" w14:textId="77777777" w:rsidR="00BB22BC" w:rsidRPr="00337368" w:rsidRDefault="00BB22BC" w:rsidP="00BB22BC">
      <w:pPr>
        <w:pStyle w:val="Textonotapie"/>
        <w:jc w:val="both"/>
        <w:rPr>
          <w:rStyle w:val="Refdenotaalpie"/>
          <w:vertAlign w:val="baseline"/>
        </w:rPr>
      </w:pPr>
      <w:r w:rsidRPr="00337368">
        <w:rPr>
          <w:rStyle w:val="Refdenotaalpie"/>
          <w:vertAlign w:val="baseline"/>
        </w:rPr>
        <w:t>[…]</w:t>
      </w:r>
    </w:p>
    <w:p w14:paraId="524C7666" w14:textId="77777777" w:rsidR="00BB22BC" w:rsidRPr="00337368" w:rsidRDefault="00BB22BC" w:rsidP="00BB22BC">
      <w:pPr>
        <w:pStyle w:val="Textonotapie"/>
        <w:jc w:val="both"/>
        <w:rPr>
          <w:rStyle w:val="Refdenotaalpie"/>
          <w:vertAlign w:val="baseline"/>
        </w:rPr>
      </w:pPr>
      <w:r w:rsidRPr="00337368">
        <w:rPr>
          <w:rStyle w:val="Refdenotaalpie"/>
          <w:vertAlign w:val="baseline"/>
        </w:rPr>
        <w:t>TRANSITORIOS:</w:t>
      </w:r>
    </w:p>
    <w:p w14:paraId="5A6703E4" w14:textId="77777777" w:rsidR="00BB22BC" w:rsidRPr="00337368" w:rsidRDefault="00BB22BC" w:rsidP="00BB22BC">
      <w:pPr>
        <w:pStyle w:val="Textonotapie"/>
        <w:jc w:val="both"/>
        <w:rPr>
          <w:rStyle w:val="Refdenotaalpie"/>
          <w:vertAlign w:val="baseline"/>
        </w:rPr>
      </w:pPr>
      <w:r w:rsidRPr="00337368">
        <w:rPr>
          <w:rStyle w:val="Refdenotaalpie"/>
          <w:vertAlign w:val="baseline"/>
        </w:rPr>
        <w:t>[…]</w:t>
      </w:r>
    </w:p>
    <w:p w14:paraId="3D0D1DB1" w14:textId="77777777" w:rsidR="00BB22BC" w:rsidRPr="00337368" w:rsidRDefault="00BB22BC" w:rsidP="00BB22BC">
      <w:pPr>
        <w:pStyle w:val="Textonotapie"/>
        <w:jc w:val="both"/>
        <w:rPr>
          <w:rStyle w:val="Refdenotaalpie"/>
          <w:vertAlign w:val="baseline"/>
        </w:rPr>
      </w:pPr>
      <w:r w:rsidRPr="00337368">
        <w:rPr>
          <w:rStyle w:val="Refdenotaalpie"/>
          <w:vertAlign w:val="baseline"/>
        </w:rPr>
        <w:t>TERCERO. Se abroga la Ley de Procedimientos Administrativos para el Estado y Municipios de San Luis Potosí, publicada en el Periódico Oficial del Estado con el veintisiete de marzo de dos mil uno. Los procedimientos iniciados durante su vigencia continuarán substanciándose y se resolverán bajo las disposiciones de la misma hasta su conclusión definitiva.</w:t>
      </w:r>
    </w:p>
  </w:footnote>
  <w:footnote w:id="7">
    <w:p w14:paraId="3B38DD4D" w14:textId="77777777" w:rsidR="00BB22BC" w:rsidRPr="00337368" w:rsidRDefault="00BB22BC" w:rsidP="00BB22BC">
      <w:pPr>
        <w:pStyle w:val="Textonotapie"/>
        <w:jc w:val="both"/>
        <w:rPr>
          <w:rStyle w:val="Refdenotaalpie"/>
          <w:vertAlign w:val="baseline"/>
        </w:rPr>
      </w:pPr>
      <w:r w:rsidRPr="00337368">
        <w:rPr>
          <w:rStyle w:val="Refdenotaalpie"/>
          <w:vertAlign w:val="baseline"/>
        </w:rPr>
        <w:footnoteRef/>
      </w:r>
      <w:r w:rsidRPr="00337368">
        <w:rPr>
          <w:rStyle w:val="Refdenotaalpie"/>
          <w:vertAlign w:val="baseline"/>
        </w:rPr>
        <w:t xml:space="preserve"> ARTÍCULO 17. El ejercicio del derecho de acceso a la información es gratuito y sólo podrá requerirse el cobro correspondiente a la modalidad de reproducción y entrega solicitada. [...]”</w:t>
      </w:r>
    </w:p>
  </w:footnote>
  <w:footnote w:id="8">
    <w:p w14:paraId="0F8EB030" w14:textId="77777777" w:rsidR="00BB22BC" w:rsidRPr="00337368" w:rsidRDefault="00BB22BC" w:rsidP="00BB22BC">
      <w:pPr>
        <w:pStyle w:val="Textonotapie"/>
        <w:jc w:val="both"/>
        <w:rPr>
          <w:rFonts w:ascii="Arial" w:hAnsi="Arial" w:cs="Arial"/>
          <w:sz w:val="16"/>
          <w:szCs w:val="16"/>
        </w:rPr>
      </w:pPr>
      <w:r w:rsidRPr="00337368">
        <w:rPr>
          <w:rStyle w:val="Refdenotaalpie"/>
          <w:vertAlign w:val="baseline"/>
        </w:rPr>
        <w:footnoteRef/>
      </w:r>
      <w:r w:rsidRPr="00337368">
        <w:rPr>
          <w:rStyle w:val="Refdenotaalpie"/>
          <w:vertAlign w:val="baseline"/>
        </w:rPr>
        <w:t xml:space="preserve"> ARTÍCULO 62. Los sujetos obligados deberán atender al principio de máxima publicidad, permitiendo que la información pública se difunda en medios electrónicos que facilite su reproducción directa por el interesado o solicitante. En los demás casos, respetando el principio de gratuidad, los sujetos obligados observarán las cuotas que se fijen en sus respectivas Leyes de Ingresos por su reproducción. [...]</w:t>
      </w:r>
    </w:p>
  </w:footnote>
  <w:footnote w:id="9">
    <w:p w14:paraId="7009D369" w14:textId="77777777" w:rsidR="00BB22BC" w:rsidRPr="00337368" w:rsidRDefault="00BB22BC" w:rsidP="00BB22BC">
      <w:pPr>
        <w:pStyle w:val="Textonotapie"/>
        <w:jc w:val="both"/>
        <w:rPr>
          <w:rStyle w:val="Refdenotaalpie"/>
          <w:vertAlign w:val="baseline"/>
        </w:rPr>
      </w:pPr>
      <w:r w:rsidRPr="00337368">
        <w:rPr>
          <w:rStyle w:val="Refdenotaalpie"/>
          <w:vertAlign w:val="baseline"/>
        </w:rPr>
        <w:footnoteRef/>
      </w:r>
      <w:r w:rsidRPr="00337368">
        <w:rPr>
          <w:rStyle w:val="Refdenotaalpie"/>
          <w:vertAlign w:val="baseline"/>
        </w:rPr>
        <w:t xml:space="preserve"> [...] Ante la falta de respuesta a una solicitud en el plazo previsto y en caso de que proceda el acceso, los costos de reproducción y envío correrán a cargo del sujeto obligado. [...]</w:t>
      </w:r>
    </w:p>
  </w:footnote>
  <w:footnote w:id="10">
    <w:p w14:paraId="44006944" w14:textId="77777777" w:rsidR="00BB22BC" w:rsidRPr="00337368" w:rsidRDefault="00BB22BC" w:rsidP="00BB22BC">
      <w:pPr>
        <w:pStyle w:val="Textonotapie"/>
        <w:jc w:val="both"/>
        <w:rPr>
          <w:rStyle w:val="Refdenotaalpie"/>
          <w:vertAlign w:val="baseline"/>
        </w:rPr>
      </w:pPr>
      <w:r w:rsidRPr="00337368">
        <w:rPr>
          <w:rStyle w:val="Refdenotaalpie"/>
          <w:vertAlign w:val="baseline"/>
        </w:rPr>
        <w:footnoteRef/>
      </w:r>
      <w:r w:rsidRPr="00337368">
        <w:rPr>
          <w:rStyle w:val="Refdenotaalpie"/>
          <w:vertAlign w:val="baseline"/>
        </w:rPr>
        <w:t xml:space="preserve"> ARTÍCULO 165. En caso de existir costos para obtener la información, deberán cubrirse de manera previa a la entrega y no podrán ser superiores a la suma de: </w:t>
      </w:r>
    </w:p>
    <w:p w14:paraId="5ED334EF" w14:textId="77777777" w:rsidR="00BB22BC" w:rsidRPr="00337368" w:rsidRDefault="00BB22BC" w:rsidP="00BB22BC">
      <w:pPr>
        <w:pStyle w:val="Textonotapie"/>
        <w:jc w:val="both"/>
        <w:rPr>
          <w:rStyle w:val="Refdenotaalpie"/>
          <w:rFonts w:cstheme="minorHAnsi"/>
          <w:vertAlign w:val="baseline"/>
        </w:rPr>
      </w:pPr>
      <w:r w:rsidRPr="00337368">
        <w:rPr>
          <w:rStyle w:val="Refdenotaalpie"/>
          <w:rFonts w:cstheme="minorHAnsi"/>
          <w:vertAlign w:val="baseline"/>
        </w:rPr>
        <w:t>[...]</w:t>
      </w:r>
    </w:p>
    <w:p w14:paraId="67A2AFDB" w14:textId="77777777" w:rsidR="00BB22BC" w:rsidRDefault="00BB22BC" w:rsidP="00BB22BC">
      <w:pPr>
        <w:pStyle w:val="Textonotapie"/>
      </w:pPr>
      <w:r w:rsidRPr="00337368">
        <w:rPr>
          <w:rFonts w:cstheme="minorHAnsi"/>
          <w:szCs w:val="16"/>
        </w:rPr>
        <w:t>La información deberá ser entregada sin costo, cuando implique la entrega de no más de veinte hojas simples. Las unidades de transparencia podrán exceptuar el pago de reproducción y envío atendiendo a las circunstancias socioeconómicas del solicitante.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5293170"/>
      <w:docPartObj>
        <w:docPartGallery w:val="Page Numbers (Top of Page)"/>
        <w:docPartUnique/>
      </w:docPartObj>
    </w:sdtPr>
    <w:sdtEndPr/>
    <w:sdtContent>
      <w:p w14:paraId="09CF8C8A" w14:textId="77777777" w:rsidR="00A66405" w:rsidRDefault="00A66405" w:rsidP="007E5F3A">
        <w:pPr>
          <w:pStyle w:val="Encabezado"/>
          <w:jc w:val="center"/>
        </w:pPr>
        <w:r>
          <w:fldChar w:fldCharType="begin"/>
        </w:r>
        <w:r>
          <w:instrText>PAGE   \* MERGEFORMAT</w:instrText>
        </w:r>
        <w:r>
          <w:fldChar w:fldCharType="separate"/>
        </w:r>
        <w:r w:rsidR="00102A0E" w:rsidRPr="00102A0E">
          <w:rPr>
            <w:noProof/>
            <w:lang w:val="es-ES"/>
          </w:rPr>
          <w:t>12</w:t>
        </w:r>
        <w:r>
          <w:fldChar w:fldCharType="end"/>
        </w:r>
        <w:r>
          <w:t xml:space="preserve">                                  </w:t>
        </w:r>
      </w:p>
      <w:p w14:paraId="7A4F52CF" w14:textId="27CD7BDE" w:rsidR="00A66405" w:rsidRDefault="00A66405" w:rsidP="007F1CA7">
        <w:pPr>
          <w:pStyle w:val="Encabezado"/>
          <w:jc w:val="right"/>
        </w:pPr>
        <w:r>
          <w:t xml:space="preserve">RECURSO DE REVISIÓN </w:t>
        </w:r>
        <w:r w:rsidR="006A6940">
          <w:t>77</w:t>
        </w:r>
        <w:r w:rsidR="005514F0">
          <w:t>8</w:t>
        </w:r>
        <w:r w:rsidR="004D080B">
          <w:t>/</w:t>
        </w:r>
        <w:r>
          <w:t>2018-1</w:t>
        </w:r>
        <w:r w:rsidR="0010246E">
          <w:t xml:space="preserve"> </w:t>
        </w:r>
        <w:r w:rsidR="007F1CA7">
          <w:t>PLATAFORMA</w:t>
        </w:r>
      </w:p>
    </w:sdtContent>
  </w:sdt>
  <w:p w14:paraId="5028D6BE" w14:textId="77777777" w:rsidR="00A66405" w:rsidRDefault="00A66405">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1591A"/>
    <w:multiLevelType w:val="hybridMultilevel"/>
    <w:tmpl w:val="1060AE56"/>
    <w:lvl w:ilvl="0" w:tplc="2DC8D114">
      <w:numFmt w:val="bullet"/>
      <w:lvlText w:val="•"/>
      <w:lvlJc w:val="left"/>
      <w:pPr>
        <w:ind w:left="1749" w:hanging="360"/>
      </w:pPr>
      <w:rPr>
        <w:rFonts w:ascii="AvantGarde Bk BT" w:eastAsia="Times New Roman" w:hAnsi="AvantGarde Bk BT" w:cs="Aria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15:restartNumberingAfterBreak="0">
    <w:nsid w:val="027B46AF"/>
    <w:multiLevelType w:val="hybridMultilevel"/>
    <w:tmpl w:val="E91EA5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27C01B1"/>
    <w:multiLevelType w:val="hybridMultilevel"/>
    <w:tmpl w:val="1C88FDD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5F82564"/>
    <w:multiLevelType w:val="hybridMultilevel"/>
    <w:tmpl w:val="CD805192"/>
    <w:lvl w:ilvl="0" w:tplc="E0409FC0">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7102411"/>
    <w:multiLevelType w:val="hybridMultilevel"/>
    <w:tmpl w:val="CC56B4F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081B20EC"/>
    <w:multiLevelType w:val="hybridMultilevel"/>
    <w:tmpl w:val="8666646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95E006B"/>
    <w:multiLevelType w:val="hybridMultilevel"/>
    <w:tmpl w:val="8BC0BE7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8" w15:restartNumberingAfterBreak="0">
    <w:nsid w:val="0F141F2D"/>
    <w:multiLevelType w:val="hybridMultilevel"/>
    <w:tmpl w:val="523C1D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11E1277F"/>
    <w:multiLevelType w:val="hybridMultilevel"/>
    <w:tmpl w:val="8CAE9426"/>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0" w15:restartNumberingAfterBreak="0">
    <w:nsid w:val="1C2A2546"/>
    <w:multiLevelType w:val="hybridMultilevel"/>
    <w:tmpl w:val="36C0DB16"/>
    <w:lvl w:ilvl="0" w:tplc="080A000F">
      <w:start w:val="1"/>
      <w:numFmt w:val="decimal"/>
      <w:lvlText w:val="%1."/>
      <w:lvlJc w:val="left"/>
      <w:pPr>
        <w:ind w:left="2204" w:hanging="360"/>
      </w:pPr>
    </w:lvl>
    <w:lvl w:ilvl="1" w:tplc="080A0019" w:tentative="1">
      <w:start w:val="1"/>
      <w:numFmt w:val="lowerLetter"/>
      <w:lvlText w:val="%2."/>
      <w:lvlJc w:val="left"/>
      <w:pPr>
        <w:ind w:left="2924" w:hanging="360"/>
      </w:pPr>
    </w:lvl>
    <w:lvl w:ilvl="2" w:tplc="080A001B" w:tentative="1">
      <w:start w:val="1"/>
      <w:numFmt w:val="lowerRoman"/>
      <w:lvlText w:val="%3."/>
      <w:lvlJc w:val="right"/>
      <w:pPr>
        <w:ind w:left="3644" w:hanging="180"/>
      </w:pPr>
    </w:lvl>
    <w:lvl w:ilvl="3" w:tplc="080A000F" w:tentative="1">
      <w:start w:val="1"/>
      <w:numFmt w:val="decimal"/>
      <w:lvlText w:val="%4."/>
      <w:lvlJc w:val="left"/>
      <w:pPr>
        <w:ind w:left="4364" w:hanging="360"/>
      </w:pPr>
    </w:lvl>
    <w:lvl w:ilvl="4" w:tplc="080A0019" w:tentative="1">
      <w:start w:val="1"/>
      <w:numFmt w:val="lowerLetter"/>
      <w:lvlText w:val="%5."/>
      <w:lvlJc w:val="left"/>
      <w:pPr>
        <w:ind w:left="5084" w:hanging="360"/>
      </w:pPr>
    </w:lvl>
    <w:lvl w:ilvl="5" w:tplc="080A001B" w:tentative="1">
      <w:start w:val="1"/>
      <w:numFmt w:val="lowerRoman"/>
      <w:lvlText w:val="%6."/>
      <w:lvlJc w:val="right"/>
      <w:pPr>
        <w:ind w:left="5804" w:hanging="180"/>
      </w:pPr>
    </w:lvl>
    <w:lvl w:ilvl="6" w:tplc="080A000F" w:tentative="1">
      <w:start w:val="1"/>
      <w:numFmt w:val="decimal"/>
      <w:lvlText w:val="%7."/>
      <w:lvlJc w:val="left"/>
      <w:pPr>
        <w:ind w:left="6524" w:hanging="360"/>
      </w:pPr>
    </w:lvl>
    <w:lvl w:ilvl="7" w:tplc="080A0019" w:tentative="1">
      <w:start w:val="1"/>
      <w:numFmt w:val="lowerLetter"/>
      <w:lvlText w:val="%8."/>
      <w:lvlJc w:val="left"/>
      <w:pPr>
        <w:ind w:left="7244" w:hanging="360"/>
      </w:pPr>
    </w:lvl>
    <w:lvl w:ilvl="8" w:tplc="080A001B" w:tentative="1">
      <w:start w:val="1"/>
      <w:numFmt w:val="lowerRoman"/>
      <w:lvlText w:val="%9."/>
      <w:lvlJc w:val="right"/>
      <w:pPr>
        <w:ind w:left="7964" w:hanging="180"/>
      </w:pPr>
    </w:lvl>
  </w:abstractNum>
  <w:abstractNum w:abstractNumId="11" w15:restartNumberingAfterBreak="0">
    <w:nsid w:val="2A413A55"/>
    <w:multiLevelType w:val="hybridMultilevel"/>
    <w:tmpl w:val="D088ADCE"/>
    <w:lvl w:ilvl="0" w:tplc="A57C231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15:restartNumberingAfterBreak="0">
    <w:nsid w:val="2A44245C"/>
    <w:multiLevelType w:val="hybridMultilevel"/>
    <w:tmpl w:val="97D2C346"/>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760" w:hanging="360"/>
      </w:pPr>
      <w:rPr>
        <w:rFonts w:ascii="Courier New" w:hAnsi="Courier New" w:cs="Courier New" w:hint="default"/>
      </w:rPr>
    </w:lvl>
    <w:lvl w:ilvl="2" w:tplc="080A0005" w:tentative="1">
      <w:start w:val="1"/>
      <w:numFmt w:val="bullet"/>
      <w:lvlText w:val=""/>
      <w:lvlJc w:val="left"/>
      <w:pPr>
        <w:ind w:left="2480" w:hanging="360"/>
      </w:pPr>
      <w:rPr>
        <w:rFonts w:ascii="Wingdings" w:hAnsi="Wingdings" w:hint="default"/>
      </w:rPr>
    </w:lvl>
    <w:lvl w:ilvl="3" w:tplc="080A0001" w:tentative="1">
      <w:start w:val="1"/>
      <w:numFmt w:val="bullet"/>
      <w:lvlText w:val=""/>
      <w:lvlJc w:val="left"/>
      <w:pPr>
        <w:ind w:left="3200" w:hanging="360"/>
      </w:pPr>
      <w:rPr>
        <w:rFonts w:ascii="Symbol" w:hAnsi="Symbol" w:hint="default"/>
      </w:rPr>
    </w:lvl>
    <w:lvl w:ilvl="4" w:tplc="080A0003" w:tentative="1">
      <w:start w:val="1"/>
      <w:numFmt w:val="bullet"/>
      <w:lvlText w:val="o"/>
      <w:lvlJc w:val="left"/>
      <w:pPr>
        <w:ind w:left="3920" w:hanging="360"/>
      </w:pPr>
      <w:rPr>
        <w:rFonts w:ascii="Courier New" w:hAnsi="Courier New" w:cs="Courier New" w:hint="default"/>
      </w:rPr>
    </w:lvl>
    <w:lvl w:ilvl="5" w:tplc="080A0005" w:tentative="1">
      <w:start w:val="1"/>
      <w:numFmt w:val="bullet"/>
      <w:lvlText w:val=""/>
      <w:lvlJc w:val="left"/>
      <w:pPr>
        <w:ind w:left="4640" w:hanging="360"/>
      </w:pPr>
      <w:rPr>
        <w:rFonts w:ascii="Wingdings" w:hAnsi="Wingdings" w:hint="default"/>
      </w:rPr>
    </w:lvl>
    <w:lvl w:ilvl="6" w:tplc="080A0001" w:tentative="1">
      <w:start w:val="1"/>
      <w:numFmt w:val="bullet"/>
      <w:lvlText w:val=""/>
      <w:lvlJc w:val="left"/>
      <w:pPr>
        <w:ind w:left="5360" w:hanging="360"/>
      </w:pPr>
      <w:rPr>
        <w:rFonts w:ascii="Symbol" w:hAnsi="Symbol" w:hint="default"/>
      </w:rPr>
    </w:lvl>
    <w:lvl w:ilvl="7" w:tplc="080A0003" w:tentative="1">
      <w:start w:val="1"/>
      <w:numFmt w:val="bullet"/>
      <w:lvlText w:val="o"/>
      <w:lvlJc w:val="left"/>
      <w:pPr>
        <w:ind w:left="6080" w:hanging="360"/>
      </w:pPr>
      <w:rPr>
        <w:rFonts w:ascii="Courier New" w:hAnsi="Courier New" w:cs="Courier New" w:hint="default"/>
      </w:rPr>
    </w:lvl>
    <w:lvl w:ilvl="8" w:tplc="080A0005" w:tentative="1">
      <w:start w:val="1"/>
      <w:numFmt w:val="bullet"/>
      <w:lvlText w:val=""/>
      <w:lvlJc w:val="left"/>
      <w:pPr>
        <w:ind w:left="6800" w:hanging="360"/>
      </w:pPr>
      <w:rPr>
        <w:rFonts w:ascii="Wingdings" w:hAnsi="Wingdings" w:hint="default"/>
      </w:rPr>
    </w:lvl>
  </w:abstractNum>
  <w:abstractNum w:abstractNumId="13" w15:restartNumberingAfterBreak="0">
    <w:nsid w:val="2CA3342F"/>
    <w:multiLevelType w:val="hybridMultilevel"/>
    <w:tmpl w:val="B51A13A8"/>
    <w:lvl w:ilvl="0" w:tplc="6FAEE37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5" w15:restartNumberingAfterBreak="0">
    <w:nsid w:val="2DEA1587"/>
    <w:multiLevelType w:val="hybridMultilevel"/>
    <w:tmpl w:val="E2D21A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3A5B7BD6"/>
    <w:multiLevelType w:val="hybridMultilevel"/>
    <w:tmpl w:val="17AEF3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7" w15:restartNumberingAfterBreak="0">
    <w:nsid w:val="414E1B6C"/>
    <w:multiLevelType w:val="hybridMultilevel"/>
    <w:tmpl w:val="89842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8" w15:restartNumberingAfterBreak="0">
    <w:nsid w:val="42224C14"/>
    <w:multiLevelType w:val="hybridMultilevel"/>
    <w:tmpl w:val="2D124F6A"/>
    <w:lvl w:ilvl="0" w:tplc="F178481E">
      <w:numFmt w:val="bullet"/>
      <w:lvlText w:val="•"/>
      <w:lvlJc w:val="left"/>
      <w:pPr>
        <w:ind w:left="72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46097F26"/>
    <w:multiLevelType w:val="hybridMultilevel"/>
    <w:tmpl w:val="353A6152"/>
    <w:lvl w:ilvl="0" w:tplc="ED7AFB7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1" w15:restartNumberingAfterBreak="0">
    <w:nsid w:val="50B57E24"/>
    <w:multiLevelType w:val="hybridMultilevel"/>
    <w:tmpl w:val="11BCC5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522524A6"/>
    <w:multiLevelType w:val="hybridMultilevel"/>
    <w:tmpl w:val="59C40A84"/>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3" w15:restartNumberingAfterBreak="0">
    <w:nsid w:val="56E43C88"/>
    <w:multiLevelType w:val="hybridMultilevel"/>
    <w:tmpl w:val="C91CD5E0"/>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570067BA"/>
    <w:multiLevelType w:val="hybridMultilevel"/>
    <w:tmpl w:val="6C8C8F36"/>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5"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7" w15:restartNumberingAfterBreak="0">
    <w:nsid w:val="6B2951DC"/>
    <w:multiLevelType w:val="hybridMultilevel"/>
    <w:tmpl w:val="7AC08F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724B795D"/>
    <w:multiLevelType w:val="hybridMultilevel"/>
    <w:tmpl w:val="9B94E9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773B6E97"/>
    <w:multiLevelType w:val="hybridMultilevel"/>
    <w:tmpl w:val="A6B868FA"/>
    <w:lvl w:ilvl="0" w:tplc="080A0001">
      <w:start w:val="1"/>
      <w:numFmt w:val="bullet"/>
      <w:lvlText w:val=""/>
      <w:lvlJc w:val="left"/>
      <w:pPr>
        <w:ind w:left="1429" w:hanging="360"/>
      </w:pPr>
      <w:rPr>
        <w:rFonts w:ascii="Symbol" w:hAnsi="Symbol" w:hint="default"/>
      </w:rPr>
    </w:lvl>
    <w:lvl w:ilvl="1" w:tplc="080A0003">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0"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7A1B3037"/>
    <w:multiLevelType w:val="hybridMultilevel"/>
    <w:tmpl w:val="B5AC25BE"/>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num w:numId="1">
    <w:abstractNumId w:val="14"/>
  </w:num>
  <w:num w:numId="2">
    <w:abstractNumId w:val="20"/>
  </w:num>
  <w:num w:numId="3">
    <w:abstractNumId w:val="7"/>
  </w:num>
  <w:num w:numId="4">
    <w:abstractNumId w:val="30"/>
  </w:num>
  <w:num w:numId="5">
    <w:abstractNumId w:val="25"/>
  </w:num>
  <w:num w:numId="6">
    <w:abstractNumId w:val="26"/>
  </w:num>
  <w:num w:numId="7">
    <w:abstractNumId w:val="8"/>
  </w:num>
  <w:num w:numId="8">
    <w:abstractNumId w:val="15"/>
  </w:num>
  <w:num w:numId="9">
    <w:abstractNumId w:val="18"/>
  </w:num>
  <w:num w:numId="10">
    <w:abstractNumId w:val="17"/>
  </w:num>
  <w:num w:numId="11">
    <w:abstractNumId w:val="28"/>
  </w:num>
  <w:num w:numId="12">
    <w:abstractNumId w:val="1"/>
  </w:num>
  <w:num w:numId="13">
    <w:abstractNumId w:val="24"/>
  </w:num>
  <w:num w:numId="14">
    <w:abstractNumId w:val="16"/>
  </w:num>
  <w:num w:numId="15">
    <w:abstractNumId w:val="22"/>
  </w:num>
  <w:num w:numId="16">
    <w:abstractNumId w:val="31"/>
  </w:num>
  <w:num w:numId="17">
    <w:abstractNumId w:val="12"/>
  </w:num>
  <w:num w:numId="18">
    <w:abstractNumId w:val="0"/>
  </w:num>
  <w:num w:numId="19">
    <w:abstractNumId w:val="23"/>
  </w:num>
  <w:num w:numId="20">
    <w:abstractNumId w:val="5"/>
  </w:num>
  <w:num w:numId="21">
    <w:abstractNumId w:val="11"/>
  </w:num>
  <w:num w:numId="22">
    <w:abstractNumId w:val="3"/>
  </w:num>
  <w:num w:numId="23">
    <w:abstractNumId w:val="27"/>
  </w:num>
  <w:num w:numId="24">
    <w:abstractNumId w:val="19"/>
  </w:num>
  <w:num w:numId="25">
    <w:abstractNumId w:val="21"/>
  </w:num>
  <w:num w:numId="26">
    <w:abstractNumId w:val="6"/>
  </w:num>
  <w:num w:numId="27">
    <w:abstractNumId w:val="2"/>
  </w:num>
  <w:num w:numId="28">
    <w:abstractNumId w:val="4"/>
  </w:num>
  <w:num w:numId="29">
    <w:abstractNumId w:val="9"/>
  </w:num>
  <w:num w:numId="30">
    <w:abstractNumId w:val="10"/>
  </w:num>
  <w:num w:numId="31">
    <w:abstractNumId w:val="29"/>
  </w:num>
  <w:num w:numId="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DC0"/>
    <w:rsid w:val="00000589"/>
    <w:rsid w:val="00000672"/>
    <w:rsid w:val="00001134"/>
    <w:rsid w:val="00001770"/>
    <w:rsid w:val="00001CA0"/>
    <w:rsid w:val="00002CFF"/>
    <w:rsid w:val="00003183"/>
    <w:rsid w:val="00004D3C"/>
    <w:rsid w:val="000066AD"/>
    <w:rsid w:val="00011D20"/>
    <w:rsid w:val="00015009"/>
    <w:rsid w:val="00015A95"/>
    <w:rsid w:val="00017BB1"/>
    <w:rsid w:val="00020321"/>
    <w:rsid w:val="00022854"/>
    <w:rsid w:val="00023148"/>
    <w:rsid w:val="00023DDC"/>
    <w:rsid w:val="000300B1"/>
    <w:rsid w:val="00030726"/>
    <w:rsid w:val="00031AAC"/>
    <w:rsid w:val="00032C5F"/>
    <w:rsid w:val="0003343A"/>
    <w:rsid w:val="0003354A"/>
    <w:rsid w:val="000338B4"/>
    <w:rsid w:val="0003400F"/>
    <w:rsid w:val="0003507B"/>
    <w:rsid w:val="00036122"/>
    <w:rsid w:val="000362A8"/>
    <w:rsid w:val="00037BEF"/>
    <w:rsid w:val="000413FE"/>
    <w:rsid w:val="0004274F"/>
    <w:rsid w:val="0004294E"/>
    <w:rsid w:val="00042BD6"/>
    <w:rsid w:val="00043069"/>
    <w:rsid w:val="00043A51"/>
    <w:rsid w:val="00043BE1"/>
    <w:rsid w:val="000442C8"/>
    <w:rsid w:val="000450EB"/>
    <w:rsid w:val="000524E8"/>
    <w:rsid w:val="000528D0"/>
    <w:rsid w:val="00055E69"/>
    <w:rsid w:val="000603D2"/>
    <w:rsid w:val="00061DDD"/>
    <w:rsid w:val="00061F3E"/>
    <w:rsid w:val="000641C8"/>
    <w:rsid w:val="00066886"/>
    <w:rsid w:val="00067660"/>
    <w:rsid w:val="0007132B"/>
    <w:rsid w:val="0007175D"/>
    <w:rsid w:val="00071C60"/>
    <w:rsid w:val="000728F5"/>
    <w:rsid w:val="00073D92"/>
    <w:rsid w:val="00073FAD"/>
    <w:rsid w:val="00075773"/>
    <w:rsid w:val="00076B14"/>
    <w:rsid w:val="00077696"/>
    <w:rsid w:val="000776A8"/>
    <w:rsid w:val="0008004E"/>
    <w:rsid w:val="00085590"/>
    <w:rsid w:val="00085954"/>
    <w:rsid w:val="000868C7"/>
    <w:rsid w:val="0008758B"/>
    <w:rsid w:val="00087AE8"/>
    <w:rsid w:val="00087B2D"/>
    <w:rsid w:val="000901C0"/>
    <w:rsid w:val="0009032E"/>
    <w:rsid w:val="00090678"/>
    <w:rsid w:val="00092A19"/>
    <w:rsid w:val="000944FF"/>
    <w:rsid w:val="000A1695"/>
    <w:rsid w:val="000A4CCE"/>
    <w:rsid w:val="000A5C54"/>
    <w:rsid w:val="000A66E6"/>
    <w:rsid w:val="000A6997"/>
    <w:rsid w:val="000A7695"/>
    <w:rsid w:val="000B0FFC"/>
    <w:rsid w:val="000B2308"/>
    <w:rsid w:val="000B245A"/>
    <w:rsid w:val="000B2854"/>
    <w:rsid w:val="000B2ACA"/>
    <w:rsid w:val="000B3669"/>
    <w:rsid w:val="000B65B2"/>
    <w:rsid w:val="000B6D86"/>
    <w:rsid w:val="000B738C"/>
    <w:rsid w:val="000C0471"/>
    <w:rsid w:val="000C2726"/>
    <w:rsid w:val="000C5A0A"/>
    <w:rsid w:val="000C651F"/>
    <w:rsid w:val="000D3CDB"/>
    <w:rsid w:val="000D7B1B"/>
    <w:rsid w:val="000E2026"/>
    <w:rsid w:val="000E3219"/>
    <w:rsid w:val="000E33A7"/>
    <w:rsid w:val="000E3441"/>
    <w:rsid w:val="000E3E92"/>
    <w:rsid w:val="000E46E1"/>
    <w:rsid w:val="000E5227"/>
    <w:rsid w:val="000E5430"/>
    <w:rsid w:val="000E6415"/>
    <w:rsid w:val="000E7F43"/>
    <w:rsid w:val="000F0FF2"/>
    <w:rsid w:val="000F133E"/>
    <w:rsid w:val="000F1794"/>
    <w:rsid w:val="000F2BD5"/>
    <w:rsid w:val="000F3E8A"/>
    <w:rsid w:val="000F4347"/>
    <w:rsid w:val="000F4B35"/>
    <w:rsid w:val="000F6A00"/>
    <w:rsid w:val="000F6E8F"/>
    <w:rsid w:val="00100D51"/>
    <w:rsid w:val="00100E65"/>
    <w:rsid w:val="0010246E"/>
    <w:rsid w:val="00102A0E"/>
    <w:rsid w:val="00102D16"/>
    <w:rsid w:val="00102E9E"/>
    <w:rsid w:val="0010335D"/>
    <w:rsid w:val="0010585E"/>
    <w:rsid w:val="00105F46"/>
    <w:rsid w:val="00106B48"/>
    <w:rsid w:val="00106E39"/>
    <w:rsid w:val="00107681"/>
    <w:rsid w:val="0011417A"/>
    <w:rsid w:val="00116955"/>
    <w:rsid w:val="00116CBC"/>
    <w:rsid w:val="00117744"/>
    <w:rsid w:val="00117EFC"/>
    <w:rsid w:val="001204E0"/>
    <w:rsid w:val="00121981"/>
    <w:rsid w:val="00123D7F"/>
    <w:rsid w:val="001246B9"/>
    <w:rsid w:val="00125FEE"/>
    <w:rsid w:val="0012671C"/>
    <w:rsid w:val="00131457"/>
    <w:rsid w:val="00131565"/>
    <w:rsid w:val="00131A56"/>
    <w:rsid w:val="00132B4A"/>
    <w:rsid w:val="00133F96"/>
    <w:rsid w:val="00135278"/>
    <w:rsid w:val="0013755E"/>
    <w:rsid w:val="00141F55"/>
    <w:rsid w:val="001458BC"/>
    <w:rsid w:val="00146903"/>
    <w:rsid w:val="00146EA8"/>
    <w:rsid w:val="0014704E"/>
    <w:rsid w:val="0015001F"/>
    <w:rsid w:val="00150455"/>
    <w:rsid w:val="00150901"/>
    <w:rsid w:val="00151941"/>
    <w:rsid w:val="00152F21"/>
    <w:rsid w:val="00154820"/>
    <w:rsid w:val="00154B3E"/>
    <w:rsid w:val="0015675B"/>
    <w:rsid w:val="001604E7"/>
    <w:rsid w:val="00160C23"/>
    <w:rsid w:val="00160D7A"/>
    <w:rsid w:val="001616E5"/>
    <w:rsid w:val="00161D63"/>
    <w:rsid w:val="00162546"/>
    <w:rsid w:val="00164CA6"/>
    <w:rsid w:val="00165DAD"/>
    <w:rsid w:val="00166159"/>
    <w:rsid w:val="00167743"/>
    <w:rsid w:val="001679DC"/>
    <w:rsid w:val="00170741"/>
    <w:rsid w:val="00171533"/>
    <w:rsid w:val="0017289F"/>
    <w:rsid w:val="0017290F"/>
    <w:rsid w:val="00173389"/>
    <w:rsid w:val="00174877"/>
    <w:rsid w:val="0017743B"/>
    <w:rsid w:val="00177E33"/>
    <w:rsid w:val="00180298"/>
    <w:rsid w:val="001805AD"/>
    <w:rsid w:val="00181FF7"/>
    <w:rsid w:val="001837C1"/>
    <w:rsid w:val="00183ABD"/>
    <w:rsid w:val="00184D50"/>
    <w:rsid w:val="00185DFB"/>
    <w:rsid w:val="001872DB"/>
    <w:rsid w:val="00187946"/>
    <w:rsid w:val="00187E9F"/>
    <w:rsid w:val="00191421"/>
    <w:rsid w:val="00192395"/>
    <w:rsid w:val="0019294C"/>
    <w:rsid w:val="001947D3"/>
    <w:rsid w:val="00194D48"/>
    <w:rsid w:val="00196474"/>
    <w:rsid w:val="00196579"/>
    <w:rsid w:val="001A0953"/>
    <w:rsid w:val="001A1B21"/>
    <w:rsid w:val="001A2A61"/>
    <w:rsid w:val="001A3A03"/>
    <w:rsid w:val="001A473A"/>
    <w:rsid w:val="001A4D90"/>
    <w:rsid w:val="001A5D5A"/>
    <w:rsid w:val="001B288C"/>
    <w:rsid w:val="001B2D9C"/>
    <w:rsid w:val="001B7749"/>
    <w:rsid w:val="001C400C"/>
    <w:rsid w:val="001C400D"/>
    <w:rsid w:val="001C4F1E"/>
    <w:rsid w:val="001C5317"/>
    <w:rsid w:val="001C53D3"/>
    <w:rsid w:val="001C54AF"/>
    <w:rsid w:val="001C7B67"/>
    <w:rsid w:val="001C7C3C"/>
    <w:rsid w:val="001D060C"/>
    <w:rsid w:val="001D24D3"/>
    <w:rsid w:val="001D2B4B"/>
    <w:rsid w:val="001D2BE8"/>
    <w:rsid w:val="001D3081"/>
    <w:rsid w:val="001D4D02"/>
    <w:rsid w:val="001D5867"/>
    <w:rsid w:val="001D5BF5"/>
    <w:rsid w:val="001D5F36"/>
    <w:rsid w:val="001E0E77"/>
    <w:rsid w:val="001E17C7"/>
    <w:rsid w:val="001E27F5"/>
    <w:rsid w:val="001E4586"/>
    <w:rsid w:val="001E46F0"/>
    <w:rsid w:val="001E5BCA"/>
    <w:rsid w:val="001E5D8A"/>
    <w:rsid w:val="001E6629"/>
    <w:rsid w:val="001E79BD"/>
    <w:rsid w:val="001F5274"/>
    <w:rsid w:val="001F5ADD"/>
    <w:rsid w:val="001F5EF9"/>
    <w:rsid w:val="002004E9"/>
    <w:rsid w:val="00200609"/>
    <w:rsid w:val="002008A2"/>
    <w:rsid w:val="00201843"/>
    <w:rsid w:val="002036B7"/>
    <w:rsid w:val="0020417A"/>
    <w:rsid w:val="002054DA"/>
    <w:rsid w:val="0020592E"/>
    <w:rsid w:val="002068CA"/>
    <w:rsid w:val="00206F0E"/>
    <w:rsid w:val="00207377"/>
    <w:rsid w:val="0021187D"/>
    <w:rsid w:val="00211C8A"/>
    <w:rsid w:val="0021241B"/>
    <w:rsid w:val="00214C51"/>
    <w:rsid w:val="0021539B"/>
    <w:rsid w:val="00216E89"/>
    <w:rsid w:val="00217203"/>
    <w:rsid w:val="00217EA4"/>
    <w:rsid w:val="00220823"/>
    <w:rsid w:val="00220846"/>
    <w:rsid w:val="0022109A"/>
    <w:rsid w:val="00221BDB"/>
    <w:rsid w:val="00223C34"/>
    <w:rsid w:val="00225B18"/>
    <w:rsid w:val="00225E11"/>
    <w:rsid w:val="00226C49"/>
    <w:rsid w:val="00230AA8"/>
    <w:rsid w:val="00230D08"/>
    <w:rsid w:val="002326A7"/>
    <w:rsid w:val="00233938"/>
    <w:rsid w:val="00233ED1"/>
    <w:rsid w:val="00234ADD"/>
    <w:rsid w:val="00234CBE"/>
    <w:rsid w:val="002350B9"/>
    <w:rsid w:val="00236736"/>
    <w:rsid w:val="00241713"/>
    <w:rsid w:val="0024465B"/>
    <w:rsid w:val="00245AD7"/>
    <w:rsid w:val="00245BFD"/>
    <w:rsid w:val="00250873"/>
    <w:rsid w:val="00250A5F"/>
    <w:rsid w:val="00251778"/>
    <w:rsid w:val="00252A65"/>
    <w:rsid w:val="00252B52"/>
    <w:rsid w:val="00254BB0"/>
    <w:rsid w:val="00255EEA"/>
    <w:rsid w:val="0025606D"/>
    <w:rsid w:val="0025729E"/>
    <w:rsid w:val="00257A62"/>
    <w:rsid w:val="00257B27"/>
    <w:rsid w:val="00257F4C"/>
    <w:rsid w:val="00257F80"/>
    <w:rsid w:val="002617A4"/>
    <w:rsid w:val="00261B9C"/>
    <w:rsid w:val="00261C07"/>
    <w:rsid w:val="00261D77"/>
    <w:rsid w:val="002623DE"/>
    <w:rsid w:val="0026483E"/>
    <w:rsid w:val="00264FAB"/>
    <w:rsid w:val="00265D2F"/>
    <w:rsid w:val="00265DA9"/>
    <w:rsid w:val="0026655E"/>
    <w:rsid w:val="00267185"/>
    <w:rsid w:val="002711B4"/>
    <w:rsid w:val="00271861"/>
    <w:rsid w:val="00271C6C"/>
    <w:rsid w:val="00273646"/>
    <w:rsid w:val="0027610D"/>
    <w:rsid w:val="002763CF"/>
    <w:rsid w:val="00281806"/>
    <w:rsid w:val="00285876"/>
    <w:rsid w:val="002860E5"/>
    <w:rsid w:val="0028655D"/>
    <w:rsid w:val="00286C5C"/>
    <w:rsid w:val="00286D54"/>
    <w:rsid w:val="002876C0"/>
    <w:rsid w:val="002902CE"/>
    <w:rsid w:val="00292188"/>
    <w:rsid w:val="0029260E"/>
    <w:rsid w:val="002928BA"/>
    <w:rsid w:val="00295FE1"/>
    <w:rsid w:val="00295FFD"/>
    <w:rsid w:val="002965D3"/>
    <w:rsid w:val="00297981"/>
    <w:rsid w:val="002A1696"/>
    <w:rsid w:val="002A36D9"/>
    <w:rsid w:val="002A39AB"/>
    <w:rsid w:val="002A783A"/>
    <w:rsid w:val="002B06B1"/>
    <w:rsid w:val="002B0B52"/>
    <w:rsid w:val="002B236F"/>
    <w:rsid w:val="002B28EF"/>
    <w:rsid w:val="002B48D1"/>
    <w:rsid w:val="002B4BF2"/>
    <w:rsid w:val="002B6956"/>
    <w:rsid w:val="002B7D79"/>
    <w:rsid w:val="002C2098"/>
    <w:rsid w:val="002C2C27"/>
    <w:rsid w:val="002C2E8E"/>
    <w:rsid w:val="002C3608"/>
    <w:rsid w:val="002C56A8"/>
    <w:rsid w:val="002C7F46"/>
    <w:rsid w:val="002C7FD6"/>
    <w:rsid w:val="002D098C"/>
    <w:rsid w:val="002D22E8"/>
    <w:rsid w:val="002D27A2"/>
    <w:rsid w:val="002D5CF9"/>
    <w:rsid w:val="002D68E3"/>
    <w:rsid w:val="002E0CE2"/>
    <w:rsid w:val="002E39ED"/>
    <w:rsid w:val="002E3E6F"/>
    <w:rsid w:val="002E4982"/>
    <w:rsid w:val="002E5C34"/>
    <w:rsid w:val="002E64CA"/>
    <w:rsid w:val="002E7959"/>
    <w:rsid w:val="002E7B1E"/>
    <w:rsid w:val="002F0788"/>
    <w:rsid w:val="002F1032"/>
    <w:rsid w:val="002F1FD5"/>
    <w:rsid w:val="002F2079"/>
    <w:rsid w:val="002F3E22"/>
    <w:rsid w:val="002F5173"/>
    <w:rsid w:val="002F63E3"/>
    <w:rsid w:val="00302BBA"/>
    <w:rsid w:val="00303BDF"/>
    <w:rsid w:val="00305125"/>
    <w:rsid w:val="003054C7"/>
    <w:rsid w:val="003064A3"/>
    <w:rsid w:val="00310B53"/>
    <w:rsid w:val="00314E55"/>
    <w:rsid w:val="00315930"/>
    <w:rsid w:val="00315FB2"/>
    <w:rsid w:val="00317D10"/>
    <w:rsid w:val="00321700"/>
    <w:rsid w:val="00321CCA"/>
    <w:rsid w:val="0032230D"/>
    <w:rsid w:val="00322574"/>
    <w:rsid w:val="003226DE"/>
    <w:rsid w:val="00324733"/>
    <w:rsid w:val="00325332"/>
    <w:rsid w:val="00325459"/>
    <w:rsid w:val="00326C14"/>
    <w:rsid w:val="00327403"/>
    <w:rsid w:val="00327536"/>
    <w:rsid w:val="003279DB"/>
    <w:rsid w:val="0033090A"/>
    <w:rsid w:val="00331AE5"/>
    <w:rsid w:val="003320D4"/>
    <w:rsid w:val="0033362C"/>
    <w:rsid w:val="00335567"/>
    <w:rsid w:val="00337368"/>
    <w:rsid w:val="00341D49"/>
    <w:rsid w:val="00341E99"/>
    <w:rsid w:val="0034477F"/>
    <w:rsid w:val="00344A6F"/>
    <w:rsid w:val="00344D10"/>
    <w:rsid w:val="00345AAD"/>
    <w:rsid w:val="0035003F"/>
    <w:rsid w:val="003512FB"/>
    <w:rsid w:val="00351B33"/>
    <w:rsid w:val="00352BE5"/>
    <w:rsid w:val="00353490"/>
    <w:rsid w:val="00353685"/>
    <w:rsid w:val="00354539"/>
    <w:rsid w:val="00354E5A"/>
    <w:rsid w:val="00354E73"/>
    <w:rsid w:val="003560AE"/>
    <w:rsid w:val="00360687"/>
    <w:rsid w:val="00361782"/>
    <w:rsid w:val="00363AE3"/>
    <w:rsid w:val="003641AB"/>
    <w:rsid w:val="003656A6"/>
    <w:rsid w:val="00365BBD"/>
    <w:rsid w:val="00365FF4"/>
    <w:rsid w:val="00366C8D"/>
    <w:rsid w:val="00370181"/>
    <w:rsid w:val="003715F5"/>
    <w:rsid w:val="003727A6"/>
    <w:rsid w:val="00372D34"/>
    <w:rsid w:val="00373276"/>
    <w:rsid w:val="0037361F"/>
    <w:rsid w:val="0037429D"/>
    <w:rsid w:val="003742DC"/>
    <w:rsid w:val="0037450E"/>
    <w:rsid w:val="00374A00"/>
    <w:rsid w:val="00374B1A"/>
    <w:rsid w:val="00374B7D"/>
    <w:rsid w:val="003765DF"/>
    <w:rsid w:val="00377A59"/>
    <w:rsid w:val="00380AFE"/>
    <w:rsid w:val="003816EE"/>
    <w:rsid w:val="00383944"/>
    <w:rsid w:val="00383BB6"/>
    <w:rsid w:val="0038405A"/>
    <w:rsid w:val="003848C3"/>
    <w:rsid w:val="003854F9"/>
    <w:rsid w:val="00385C09"/>
    <w:rsid w:val="003864ED"/>
    <w:rsid w:val="0038760F"/>
    <w:rsid w:val="00391F31"/>
    <w:rsid w:val="00392D97"/>
    <w:rsid w:val="00392F37"/>
    <w:rsid w:val="0039337A"/>
    <w:rsid w:val="00393697"/>
    <w:rsid w:val="00393856"/>
    <w:rsid w:val="00393C44"/>
    <w:rsid w:val="003944DF"/>
    <w:rsid w:val="00395E8B"/>
    <w:rsid w:val="00396F07"/>
    <w:rsid w:val="00397017"/>
    <w:rsid w:val="003A0CF0"/>
    <w:rsid w:val="003A2315"/>
    <w:rsid w:val="003A331B"/>
    <w:rsid w:val="003A3516"/>
    <w:rsid w:val="003A4C4E"/>
    <w:rsid w:val="003A512E"/>
    <w:rsid w:val="003A5D8C"/>
    <w:rsid w:val="003A7A25"/>
    <w:rsid w:val="003B049A"/>
    <w:rsid w:val="003B0928"/>
    <w:rsid w:val="003B0C2F"/>
    <w:rsid w:val="003B24FE"/>
    <w:rsid w:val="003B322C"/>
    <w:rsid w:val="003B3852"/>
    <w:rsid w:val="003B3AC2"/>
    <w:rsid w:val="003B3F38"/>
    <w:rsid w:val="003B4877"/>
    <w:rsid w:val="003B5622"/>
    <w:rsid w:val="003B632D"/>
    <w:rsid w:val="003B6C9B"/>
    <w:rsid w:val="003B6CF9"/>
    <w:rsid w:val="003B7C38"/>
    <w:rsid w:val="003B7C60"/>
    <w:rsid w:val="003C2226"/>
    <w:rsid w:val="003C27B4"/>
    <w:rsid w:val="003C2A7C"/>
    <w:rsid w:val="003C2C66"/>
    <w:rsid w:val="003C4758"/>
    <w:rsid w:val="003C4BA6"/>
    <w:rsid w:val="003C5864"/>
    <w:rsid w:val="003C5DF6"/>
    <w:rsid w:val="003C6B03"/>
    <w:rsid w:val="003C7A42"/>
    <w:rsid w:val="003D054C"/>
    <w:rsid w:val="003D18F8"/>
    <w:rsid w:val="003D2911"/>
    <w:rsid w:val="003D4757"/>
    <w:rsid w:val="003D4E42"/>
    <w:rsid w:val="003D5937"/>
    <w:rsid w:val="003D5A1A"/>
    <w:rsid w:val="003D6958"/>
    <w:rsid w:val="003D6998"/>
    <w:rsid w:val="003D6ECF"/>
    <w:rsid w:val="003D7603"/>
    <w:rsid w:val="003D770B"/>
    <w:rsid w:val="003D7984"/>
    <w:rsid w:val="003E0B92"/>
    <w:rsid w:val="003E15F7"/>
    <w:rsid w:val="003E1AE0"/>
    <w:rsid w:val="003E298C"/>
    <w:rsid w:val="003E3F70"/>
    <w:rsid w:val="003E5DEE"/>
    <w:rsid w:val="003E5FD1"/>
    <w:rsid w:val="003F0FED"/>
    <w:rsid w:val="003F119C"/>
    <w:rsid w:val="003F155E"/>
    <w:rsid w:val="003F1ADA"/>
    <w:rsid w:val="003F1C43"/>
    <w:rsid w:val="003F213F"/>
    <w:rsid w:val="003F35E3"/>
    <w:rsid w:val="003F38A7"/>
    <w:rsid w:val="003F4095"/>
    <w:rsid w:val="003F4DBF"/>
    <w:rsid w:val="003F504F"/>
    <w:rsid w:val="00402370"/>
    <w:rsid w:val="00402426"/>
    <w:rsid w:val="0040294A"/>
    <w:rsid w:val="00403BF0"/>
    <w:rsid w:val="004040D3"/>
    <w:rsid w:val="0040497D"/>
    <w:rsid w:val="00404C55"/>
    <w:rsid w:val="00404E89"/>
    <w:rsid w:val="00406B2A"/>
    <w:rsid w:val="0041035D"/>
    <w:rsid w:val="004103C2"/>
    <w:rsid w:val="004115E8"/>
    <w:rsid w:val="00411B7B"/>
    <w:rsid w:val="00412001"/>
    <w:rsid w:val="004135E1"/>
    <w:rsid w:val="00414690"/>
    <w:rsid w:val="00415213"/>
    <w:rsid w:val="0041566E"/>
    <w:rsid w:val="00415B26"/>
    <w:rsid w:val="00415C6E"/>
    <w:rsid w:val="00420835"/>
    <w:rsid w:val="00420FE9"/>
    <w:rsid w:val="00422B0B"/>
    <w:rsid w:val="00422CD1"/>
    <w:rsid w:val="004234A9"/>
    <w:rsid w:val="00423EFB"/>
    <w:rsid w:val="004242FC"/>
    <w:rsid w:val="00426280"/>
    <w:rsid w:val="004271DB"/>
    <w:rsid w:val="0042723B"/>
    <w:rsid w:val="00427E66"/>
    <w:rsid w:val="00432085"/>
    <w:rsid w:val="00432789"/>
    <w:rsid w:val="004327B3"/>
    <w:rsid w:val="00432EF7"/>
    <w:rsid w:val="004333DF"/>
    <w:rsid w:val="00433E04"/>
    <w:rsid w:val="00434824"/>
    <w:rsid w:val="00435DE5"/>
    <w:rsid w:val="00435EE5"/>
    <w:rsid w:val="004363B0"/>
    <w:rsid w:val="0043776E"/>
    <w:rsid w:val="004407B8"/>
    <w:rsid w:val="00440FE4"/>
    <w:rsid w:val="00442C82"/>
    <w:rsid w:val="00443100"/>
    <w:rsid w:val="00443DED"/>
    <w:rsid w:val="00445F3B"/>
    <w:rsid w:val="004475C3"/>
    <w:rsid w:val="004508B3"/>
    <w:rsid w:val="00451541"/>
    <w:rsid w:val="00451CBA"/>
    <w:rsid w:val="0045467A"/>
    <w:rsid w:val="00454FA4"/>
    <w:rsid w:val="0045652E"/>
    <w:rsid w:val="00460DFB"/>
    <w:rsid w:val="0046569E"/>
    <w:rsid w:val="00466AFD"/>
    <w:rsid w:val="00472090"/>
    <w:rsid w:val="004742C5"/>
    <w:rsid w:val="00475471"/>
    <w:rsid w:val="004801F0"/>
    <w:rsid w:val="00480745"/>
    <w:rsid w:val="00480F0F"/>
    <w:rsid w:val="00482B04"/>
    <w:rsid w:val="00483017"/>
    <w:rsid w:val="004837F0"/>
    <w:rsid w:val="0048445E"/>
    <w:rsid w:val="00484B1D"/>
    <w:rsid w:val="004861E9"/>
    <w:rsid w:val="00487182"/>
    <w:rsid w:val="004873AC"/>
    <w:rsid w:val="004908DD"/>
    <w:rsid w:val="00490AAA"/>
    <w:rsid w:val="00491937"/>
    <w:rsid w:val="00491F18"/>
    <w:rsid w:val="0049219E"/>
    <w:rsid w:val="00496934"/>
    <w:rsid w:val="004A0892"/>
    <w:rsid w:val="004A0B72"/>
    <w:rsid w:val="004A1732"/>
    <w:rsid w:val="004A2171"/>
    <w:rsid w:val="004A2B81"/>
    <w:rsid w:val="004A31B5"/>
    <w:rsid w:val="004A578D"/>
    <w:rsid w:val="004A768D"/>
    <w:rsid w:val="004A7825"/>
    <w:rsid w:val="004B00C1"/>
    <w:rsid w:val="004B04F4"/>
    <w:rsid w:val="004B0B19"/>
    <w:rsid w:val="004B0F31"/>
    <w:rsid w:val="004B2EC0"/>
    <w:rsid w:val="004B3580"/>
    <w:rsid w:val="004B4E23"/>
    <w:rsid w:val="004B4EB7"/>
    <w:rsid w:val="004B5810"/>
    <w:rsid w:val="004B6211"/>
    <w:rsid w:val="004B709A"/>
    <w:rsid w:val="004B7C28"/>
    <w:rsid w:val="004C0AC3"/>
    <w:rsid w:val="004C15C0"/>
    <w:rsid w:val="004C332D"/>
    <w:rsid w:val="004C4C87"/>
    <w:rsid w:val="004C51FD"/>
    <w:rsid w:val="004C63AC"/>
    <w:rsid w:val="004C6BF8"/>
    <w:rsid w:val="004C76D7"/>
    <w:rsid w:val="004C7E39"/>
    <w:rsid w:val="004D080B"/>
    <w:rsid w:val="004D0878"/>
    <w:rsid w:val="004D1715"/>
    <w:rsid w:val="004D1A2C"/>
    <w:rsid w:val="004D2DD0"/>
    <w:rsid w:val="004D40AC"/>
    <w:rsid w:val="004D5555"/>
    <w:rsid w:val="004D5901"/>
    <w:rsid w:val="004D7266"/>
    <w:rsid w:val="004D72F6"/>
    <w:rsid w:val="004D7692"/>
    <w:rsid w:val="004E0AAF"/>
    <w:rsid w:val="004E0BCC"/>
    <w:rsid w:val="004E13A6"/>
    <w:rsid w:val="004E26DC"/>
    <w:rsid w:val="004E317D"/>
    <w:rsid w:val="004E3DC4"/>
    <w:rsid w:val="004E4165"/>
    <w:rsid w:val="004E7C39"/>
    <w:rsid w:val="004F108B"/>
    <w:rsid w:val="004F279A"/>
    <w:rsid w:val="004F2B2F"/>
    <w:rsid w:val="004F35CA"/>
    <w:rsid w:val="004F6065"/>
    <w:rsid w:val="004F6314"/>
    <w:rsid w:val="004F6F21"/>
    <w:rsid w:val="0050032E"/>
    <w:rsid w:val="00501A84"/>
    <w:rsid w:val="00501BDE"/>
    <w:rsid w:val="00502F67"/>
    <w:rsid w:val="00503888"/>
    <w:rsid w:val="005038E8"/>
    <w:rsid w:val="00504DB1"/>
    <w:rsid w:val="005052AF"/>
    <w:rsid w:val="00506847"/>
    <w:rsid w:val="00506A13"/>
    <w:rsid w:val="00511894"/>
    <w:rsid w:val="0051323B"/>
    <w:rsid w:val="005138A0"/>
    <w:rsid w:val="00513B0E"/>
    <w:rsid w:val="00515D9F"/>
    <w:rsid w:val="00517C80"/>
    <w:rsid w:val="0052120D"/>
    <w:rsid w:val="00523917"/>
    <w:rsid w:val="005300A2"/>
    <w:rsid w:val="005303A7"/>
    <w:rsid w:val="005343EC"/>
    <w:rsid w:val="00534B0E"/>
    <w:rsid w:val="00536463"/>
    <w:rsid w:val="00537138"/>
    <w:rsid w:val="00537993"/>
    <w:rsid w:val="00542BD8"/>
    <w:rsid w:val="005441EC"/>
    <w:rsid w:val="00544825"/>
    <w:rsid w:val="0054603A"/>
    <w:rsid w:val="005473AB"/>
    <w:rsid w:val="0054744E"/>
    <w:rsid w:val="00550CAB"/>
    <w:rsid w:val="005514F0"/>
    <w:rsid w:val="005519B5"/>
    <w:rsid w:val="005526C0"/>
    <w:rsid w:val="00552770"/>
    <w:rsid w:val="005545CB"/>
    <w:rsid w:val="00554F9D"/>
    <w:rsid w:val="00555517"/>
    <w:rsid w:val="00556CE3"/>
    <w:rsid w:val="00561A10"/>
    <w:rsid w:val="005624EA"/>
    <w:rsid w:val="00563CC9"/>
    <w:rsid w:val="0056434F"/>
    <w:rsid w:val="00564DFB"/>
    <w:rsid w:val="005663ED"/>
    <w:rsid w:val="00567797"/>
    <w:rsid w:val="00567A71"/>
    <w:rsid w:val="005705DF"/>
    <w:rsid w:val="0057063B"/>
    <w:rsid w:val="0057150C"/>
    <w:rsid w:val="00571DB4"/>
    <w:rsid w:val="005723C0"/>
    <w:rsid w:val="00573117"/>
    <w:rsid w:val="005752F9"/>
    <w:rsid w:val="00577534"/>
    <w:rsid w:val="00581774"/>
    <w:rsid w:val="00581CB4"/>
    <w:rsid w:val="00583B73"/>
    <w:rsid w:val="005853C7"/>
    <w:rsid w:val="005873DB"/>
    <w:rsid w:val="00591BAC"/>
    <w:rsid w:val="00591E89"/>
    <w:rsid w:val="005933C1"/>
    <w:rsid w:val="00593E21"/>
    <w:rsid w:val="00594CEF"/>
    <w:rsid w:val="005957F6"/>
    <w:rsid w:val="00595D2F"/>
    <w:rsid w:val="00595D79"/>
    <w:rsid w:val="0059683F"/>
    <w:rsid w:val="00596EFB"/>
    <w:rsid w:val="005A01FF"/>
    <w:rsid w:val="005A1B85"/>
    <w:rsid w:val="005A266C"/>
    <w:rsid w:val="005A2679"/>
    <w:rsid w:val="005A3729"/>
    <w:rsid w:val="005A3D47"/>
    <w:rsid w:val="005A4133"/>
    <w:rsid w:val="005A4D8B"/>
    <w:rsid w:val="005A648D"/>
    <w:rsid w:val="005A766F"/>
    <w:rsid w:val="005A7780"/>
    <w:rsid w:val="005B1A42"/>
    <w:rsid w:val="005B28C6"/>
    <w:rsid w:val="005B3150"/>
    <w:rsid w:val="005B31AE"/>
    <w:rsid w:val="005B3277"/>
    <w:rsid w:val="005B38F0"/>
    <w:rsid w:val="005B666F"/>
    <w:rsid w:val="005B7FCD"/>
    <w:rsid w:val="005C467A"/>
    <w:rsid w:val="005C4C3F"/>
    <w:rsid w:val="005C5F7C"/>
    <w:rsid w:val="005C6DFB"/>
    <w:rsid w:val="005C6E51"/>
    <w:rsid w:val="005D00F9"/>
    <w:rsid w:val="005D067A"/>
    <w:rsid w:val="005D0C14"/>
    <w:rsid w:val="005D0D7E"/>
    <w:rsid w:val="005D1642"/>
    <w:rsid w:val="005D22F8"/>
    <w:rsid w:val="005D4DC1"/>
    <w:rsid w:val="005D5093"/>
    <w:rsid w:val="005D50A5"/>
    <w:rsid w:val="005D5CBA"/>
    <w:rsid w:val="005D675B"/>
    <w:rsid w:val="005E0021"/>
    <w:rsid w:val="005E6860"/>
    <w:rsid w:val="005E7E91"/>
    <w:rsid w:val="005F1483"/>
    <w:rsid w:val="005F1DB0"/>
    <w:rsid w:val="005F35EB"/>
    <w:rsid w:val="005F469A"/>
    <w:rsid w:val="005F49B3"/>
    <w:rsid w:val="005F55F0"/>
    <w:rsid w:val="005F696D"/>
    <w:rsid w:val="005F6FFB"/>
    <w:rsid w:val="0060124B"/>
    <w:rsid w:val="00602198"/>
    <w:rsid w:val="006033B5"/>
    <w:rsid w:val="006047F1"/>
    <w:rsid w:val="0060491A"/>
    <w:rsid w:val="00606219"/>
    <w:rsid w:val="006073DF"/>
    <w:rsid w:val="006101C7"/>
    <w:rsid w:val="006118AE"/>
    <w:rsid w:val="006118B1"/>
    <w:rsid w:val="0061430A"/>
    <w:rsid w:val="0061495B"/>
    <w:rsid w:val="0061501E"/>
    <w:rsid w:val="00616F4B"/>
    <w:rsid w:val="00620CA5"/>
    <w:rsid w:val="00621433"/>
    <w:rsid w:val="0062168C"/>
    <w:rsid w:val="00622D9B"/>
    <w:rsid w:val="00623C83"/>
    <w:rsid w:val="0062536E"/>
    <w:rsid w:val="00630546"/>
    <w:rsid w:val="006334B5"/>
    <w:rsid w:val="00636A24"/>
    <w:rsid w:val="00636A6A"/>
    <w:rsid w:val="00637AC5"/>
    <w:rsid w:val="00641E08"/>
    <w:rsid w:val="006431D6"/>
    <w:rsid w:val="00643BB1"/>
    <w:rsid w:val="006446BA"/>
    <w:rsid w:val="006446C2"/>
    <w:rsid w:val="006446C5"/>
    <w:rsid w:val="00644CFD"/>
    <w:rsid w:val="00644F4F"/>
    <w:rsid w:val="00646143"/>
    <w:rsid w:val="00653626"/>
    <w:rsid w:val="0065388B"/>
    <w:rsid w:val="0065410F"/>
    <w:rsid w:val="00654661"/>
    <w:rsid w:val="00655CDD"/>
    <w:rsid w:val="00656612"/>
    <w:rsid w:val="0065674B"/>
    <w:rsid w:val="00656B2A"/>
    <w:rsid w:val="0065732B"/>
    <w:rsid w:val="00660DD6"/>
    <w:rsid w:val="006612AA"/>
    <w:rsid w:val="006614B9"/>
    <w:rsid w:val="00664830"/>
    <w:rsid w:val="00665586"/>
    <w:rsid w:val="0066607C"/>
    <w:rsid w:val="006709E9"/>
    <w:rsid w:val="00672F48"/>
    <w:rsid w:val="00673188"/>
    <w:rsid w:val="00673629"/>
    <w:rsid w:val="00673D87"/>
    <w:rsid w:val="00675001"/>
    <w:rsid w:val="00676C7A"/>
    <w:rsid w:val="006779F7"/>
    <w:rsid w:val="00677BB6"/>
    <w:rsid w:val="00681982"/>
    <w:rsid w:val="0068462C"/>
    <w:rsid w:val="006846F7"/>
    <w:rsid w:val="00687830"/>
    <w:rsid w:val="006927F9"/>
    <w:rsid w:val="00693832"/>
    <w:rsid w:val="006957E1"/>
    <w:rsid w:val="00695C4F"/>
    <w:rsid w:val="006A085C"/>
    <w:rsid w:val="006A09D1"/>
    <w:rsid w:val="006A0CC8"/>
    <w:rsid w:val="006A16E9"/>
    <w:rsid w:val="006A1845"/>
    <w:rsid w:val="006A21FB"/>
    <w:rsid w:val="006A252C"/>
    <w:rsid w:val="006A37C1"/>
    <w:rsid w:val="006A6940"/>
    <w:rsid w:val="006A699D"/>
    <w:rsid w:val="006A6E03"/>
    <w:rsid w:val="006A7089"/>
    <w:rsid w:val="006B0283"/>
    <w:rsid w:val="006B1074"/>
    <w:rsid w:val="006B233F"/>
    <w:rsid w:val="006B2688"/>
    <w:rsid w:val="006B5647"/>
    <w:rsid w:val="006B564B"/>
    <w:rsid w:val="006B7E1C"/>
    <w:rsid w:val="006C1939"/>
    <w:rsid w:val="006C2516"/>
    <w:rsid w:val="006C3045"/>
    <w:rsid w:val="006C3E35"/>
    <w:rsid w:val="006C41B6"/>
    <w:rsid w:val="006C4F26"/>
    <w:rsid w:val="006C6524"/>
    <w:rsid w:val="006D0FFC"/>
    <w:rsid w:val="006D1D44"/>
    <w:rsid w:val="006D2705"/>
    <w:rsid w:val="006D4F9D"/>
    <w:rsid w:val="006D522D"/>
    <w:rsid w:val="006D5323"/>
    <w:rsid w:val="006D6A01"/>
    <w:rsid w:val="006D6E45"/>
    <w:rsid w:val="006D7FCD"/>
    <w:rsid w:val="006E07DC"/>
    <w:rsid w:val="006E1F8C"/>
    <w:rsid w:val="006E396C"/>
    <w:rsid w:val="006E406F"/>
    <w:rsid w:val="006E40F1"/>
    <w:rsid w:val="006E4842"/>
    <w:rsid w:val="006E7316"/>
    <w:rsid w:val="006E7AF1"/>
    <w:rsid w:val="006E7C51"/>
    <w:rsid w:val="006F15C1"/>
    <w:rsid w:val="006F26B4"/>
    <w:rsid w:val="006F35C8"/>
    <w:rsid w:val="006F4830"/>
    <w:rsid w:val="006F5037"/>
    <w:rsid w:val="006F5E9A"/>
    <w:rsid w:val="006F6EDD"/>
    <w:rsid w:val="006F714A"/>
    <w:rsid w:val="006F7D6A"/>
    <w:rsid w:val="00700086"/>
    <w:rsid w:val="0070153D"/>
    <w:rsid w:val="00702108"/>
    <w:rsid w:val="00705C1A"/>
    <w:rsid w:val="0070687A"/>
    <w:rsid w:val="00711241"/>
    <w:rsid w:val="00712839"/>
    <w:rsid w:val="00712FB4"/>
    <w:rsid w:val="00713445"/>
    <w:rsid w:val="00713B3B"/>
    <w:rsid w:val="00714196"/>
    <w:rsid w:val="00715CEA"/>
    <w:rsid w:val="00716CC0"/>
    <w:rsid w:val="00717216"/>
    <w:rsid w:val="00717599"/>
    <w:rsid w:val="00720626"/>
    <w:rsid w:val="00721576"/>
    <w:rsid w:val="00722BBB"/>
    <w:rsid w:val="00723B08"/>
    <w:rsid w:val="00723CF2"/>
    <w:rsid w:val="007241E1"/>
    <w:rsid w:val="00727965"/>
    <w:rsid w:val="00730140"/>
    <w:rsid w:val="0073157A"/>
    <w:rsid w:val="00731B85"/>
    <w:rsid w:val="007326CA"/>
    <w:rsid w:val="00732FD1"/>
    <w:rsid w:val="0073360E"/>
    <w:rsid w:val="00733BDD"/>
    <w:rsid w:val="00735D8C"/>
    <w:rsid w:val="00735EB7"/>
    <w:rsid w:val="007414F4"/>
    <w:rsid w:val="00741579"/>
    <w:rsid w:val="00744552"/>
    <w:rsid w:val="0074538E"/>
    <w:rsid w:val="00745909"/>
    <w:rsid w:val="00745FFC"/>
    <w:rsid w:val="00750B67"/>
    <w:rsid w:val="00751034"/>
    <w:rsid w:val="00752729"/>
    <w:rsid w:val="00752E45"/>
    <w:rsid w:val="007533DB"/>
    <w:rsid w:val="0075350F"/>
    <w:rsid w:val="007538A3"/>
    <w:rsid w:val="007540DC"/>
    <w:rsid w:val="0075424D"/>
    <w:rsid w:val="00755031"/>
    <w:rsid w:val="00760A62"/>
    <w:rsid w:val="00760D9C"/>
    <w:rsid w:val="00761371"/>
    <w:rsid w:val="007633E8"/>
    <w:rsid w:val="0076487A"/>
    <w:rsid w:val="00764E45"/>
    <w:rsid w:val="00765DA2"/>
    <w:rsid w:val="0076602B"/>
    <w:rsid w:val="00766F46"/>
    <w:rsid w:val="00771282"/>
    <w:rsid w:val="00772DF6"/>
    <w:rsid w:val="00774B90"/>
    <w:rsid w:val="007753D8"/>
    <w:rsid w:val="00777E95"/>
    <w:rsid w:val="007806DB"/>
    <w:rsid w:val="007822EA"/>
    <w:rsid w:val="00782940"/>
    <w:rsid w:val="007842E7"/>
    <w:rsid w:val="00784375"/>
    <w:rsid w:val="00784EE3"/>
    <w:rsid w:val="0078567C"/>
    <w:rsid w:val="00785B24"/>
    <w:rsid w:val="00785C76"/>
    <w:rsid w:val="00786E8B"/>
    <w:rsid w:val="00787218"/>
    <w:rsid w:val="00787443"/>
    <w:rsid w:val="007875E0"/>
    <w:rsid w:val="007905D4"/>
    <w:rsid w:val="0079198C"/>
    <w:rsid w:val="00791DEC"/>
    <w:rsid w:val="00792BB9"/>
    <w:rsid w:val="00792DF5"/>
    <w:rsid w:val="00792E1F"/>
    <w:rsid w:val="00792F20"/>
    <w:rsid w:val="00793D14"/>
    <w:rsid w:val="0079697E"/>
    <w:rsid w:val="00796C78"/>
    <w:rsid w:val="007976A9"/>
    <w:rsid w:val="007976EE"/>
    <w:rsid w:val="007978E7"/>
    <w:rsid w:val="007A1424"/>
    <w:rsid w:val="007A1973"/>
    <w:rsid w:val="007A1B40"/>
    <w:rsid w:val="007A314E"/>
    <w:rsid w:val="007A3CDE"/>
    <w:rsid w:val="007A4B4C"/>
    <w:rsid w:val="007A51D1"/>
    <w:rsid w:val="007A51FB"/>
    <w:rsid w:val="007A55B7"/>
    <w:rsid w:val="007A55CB"/>
    <w:rsid w:val="007A5DC2"/>
    <w:rsid w:val="007A67A6"/>
    <w:rsid w:val="007A6C05"/>
    <w:rsid w:val="007A716F"/>
    <w:rsid w:val="007A7600"/>
    <w:rsid w:val="007A7C8B"/>
    <w:rsid w:val="007B067E"/>
    <w:rsid w:val="007B10F7"/>
    <w:rsid w:val="007B11D4"/>
    <w:rsid w:val="007B1265"/>
    <w:rsid w:val="007B360D"/>
    <w:rsid w:val="007B3EC8"/>
    <w:rsid w:val="007B3F80"/>
    <w:rsid w:val="007B4E6C"/>
    <w:rsid w:val="007B7C25"/>
    <w:rsid w:val="007C0BA5"/>
    <w:rsid w:val="007C1EBC"/>
    <w:rsid w:val="007C2E69"/>
    <w:rsid w:val="007C2F6C"/>
    <w:rsid w:val="007C31AD"/>
    <w:rsid w:val="007C3B10"/>
    <w:rsid w:val="007C3C25"/>
    <w:rsid w:val="007C4ADB"/>
    <w:rsid w:val="007C4B71"/>
    <w:rsid w:val="007C5063"/>
    <w:rsid w:val="007C5605"/>
    <w:rsid w:val="007C5AA4"/>
    <w:rsid w:val="007C7475"/>
    <w:rsid w:val="007C7E86"/>
    <w:rsid w:val="007D3289"/>
    <w:rsid w:val="007D3D2A"/>
    <w:rsid w:val="007D5084"/>
    <w:rsid w:val="007E1EFD"/>
    <w:rsid w:val="007E21B9"/>
    <w:rsid w:val="007E3764"/>
    <w:rsid w:val="007E5F3A"/>
    <w:rsid w:val="007E6130"/>
    <w:rsid w:val="007F0577"/>
    <w:rsid w:val="007F1534"/>
    <w:rsid w:val="007F1CA7"/>
    <w:rsid w:val="007F2E17"/>
    <w:rsid w:val="007F489F"/>
    <w:rsid w:val="007F568D"/>
    <w:rsid w:val="007F7631"/>
    <w:rsid w:val="0080025C"/>
    <w:rsid w:val="00801EB9"/>
    <w:rsid w:val="00803489"/>
    <w:rsid w:val="00804D4A"/>
    <w:rsid w:val="00805FDE"/>
    <w:rsid w:val="00807FFA"/>
    <w:rsid w:val="008102AB"/>
    <w:rsid w:val="008108CF"/>
    <w:rsid w:val="008117CD"/>
    <w:rsid w:val="008131C7"/>
    <w:rsid w:val="008140C1"/>
    <w:rsid w:val="00820FD6"/>
    <w:rsid w:val="008215D3"/>
    <w:rsid w:val="00822482"/>
    <w:rsid w:val="008231A0"/>
    <w:rsid w:val="008247E0"/>
    <w:rsid w:val="008250DA"/>
    <w:rsid w:val="008278EC"/>
    <w:rsid w:val="00827E5A"/>
    <w:rsid w:val="00831D47"/>
    <w:rsid w:val="0083211B"/>
    <w:rsid w:val="00832621"/>
    <w:rsid w:val="00832AAB"/>
    <w:rsid w:val="00833AE5"/>
    <w:rsid w:val="00833B3C"/>
    <w:rsid w:val="00840288"/>
    <w:rsid w:val="008403C2"/>
    <w:rsid w:val="00841546"/>
    <w:rsid w:val="008417AB"/>
    <w:rsid w:val="008418AA"/>
    <w:rsid w:val="00841FBE"/>
    <w:rsid w:val="00843FA5"/>
    <w:rsid w:val="0084484D"/>
    <w:rsid w:val="00845C98"/>
    <w:rsid w:val="0084778B"/>
    <w:rsid w:val="00847BEF"/>
    <w:rsid w:val="00847FEA"/>
    <w:rsid w:val="008511E6"/>
    <w:rsid w:val="00852404"/>
    <w:rsid w:val="00852B70"/>
    <w:rsid w:val="00852DFE"/>
    <w:rsid w:val="0085384B"/>
    <w:rsid w:val="008540CA"/>
    <w:rsid w:val="00855F88"/>
    <w:rsid w:val="00860D39"/>
    <w:rsid w:val="00860FA5"/>
    <w:rsid w:val="00861D26"/>
    <w:rsid w:val="00862BF2"/>
    <w:rsid w:val="00863104"/>
    <w:rsid w:val="00864D33"/>
    <w:rsid w:val="0086514F"/>
    <w:rsid w:val="00865425"/>
    <w:rsid w:val="0086766F"/>
    <w:rsid w:val="00871C0D"/>
    <w:rsid w:val="00872473"/>
    <w:rsid w:val="00876B36"/>
    <w:rsid w:val="008772EC"/>
    <w:rsid w:val="00877878"/>
    <w:rsid w:val="008808B2"/>
    <w:rsid w:val="0088176A"/>
    <w:rsid w:val="00881A93"/>
    <w:rsid w:val="00882CAF"/>
    <w:rsid w:val="00884979"/>
    <w:rsid w:val="008918EB"/>
    <w:rsid w:val="00893516"/>
    <w:rsid w:val="0089396A"/>
    <w:rsid w:val="00893AD1"/>
    <w:rsid w:val="00894992"/>
    <w:rsid w:val="00894E12"/>
    <w:rsid w:val="0089569E"/>
    <w:rsid w:val="00897330"/>
    <w:rsid w:val="008A0F7D"/>
    <w:rsid w:val="008A1732"/>
    <w:rsid w:val="008A20DC"/>
    <w:rsid w:val="008A2950"/>
    <w:rsid w:val="008A2B8A"/>
    <w:rsid w:val="008A38D0"/>
    <w:rsid w:val="008A3E34"/>
    <w:rsid w:val="008A50AF"/>
    <w:rsid w:val="008A7642"/>
    <w:rsid w:val="008A7FF4"/>
    <w:rsid w:val="008B008E"/>
    <w:rsid w:val="008B3601"/>
    <w:rsid w:val="008B3DEE"/>
    <w:rsid w:val="008B5FE3"/>
    <w:rsid w:val="008B74F1"/>
    <w:rsid w:val="008B7F5D"/>
    <w:rsid w:val="008C07DE"/>
    <w:rsid w:val="008C14F6"/>
    <w:rsid w:val="008C2D98"/>
    <w:rsid w:val="008C41A8"/>
    <w:rsid w:val="008C44B4"/>
    <w:rsid w:val="008C55EB"/>
    <w:rsid w:val="008C5858"/>
    <w:rsid w:val="008C5873"/>
    <w:rsid w:val="008C6821"/>
    <w:rsid w:val="008C6DEB"/>
    <w:rsid w:val="008C70F9"/>
    <w:rsid w:val="008D001D"/>
    <w:rsid w:val="008D52B2"/>
    <w:rsid w:val="008E010A"/>
    <w:rsid w:val="008E2ADF"/>
    <w:rsid w:val="008E4159"/>
    <w:rsid w:val="008F07B8"/>
    <w:rsid w:val="008F23D5"/>
    <w:rsid w:val="008F33AB"/>
    <w:rsid w:val="008F4777"/>
    <w:rsid w:val="008F5E00"/>
    <w:rsid w:val="008F65E9"/>
    <w:rsid w:val="008F6684"/>
    <w:rsid w:val="008F707F"/>
    <w:rsid w:val="00901077"/>
    <w:rsid w:val="00902038"/>
    <w:rsid w:val="00902D96"/>
    <w:rsid w:val="00906244"/>
    <w:rsid w:val="00906E32"/>
    <w:rsid w:val="00907D72"/>
    <w:rsid w:val="0091068B"/>
    <w:rsid w:val="00912EB3"/>
    <w:rsid w:val="009131AA"/>
    <w:rsid w:val="0091378D"/>
    <w:rsid w:val="0091489C"/>
    <w:rsid w:val="00914AB6"/>
    <w:rsid w:val="009212D1"/>
    <w:rsid w:val="00922915"/>
    <w:rsid w:val="00923428"/>
    <w:rsid w:val="0092495A"/>
    <w:rsid w:val="00925220"/>
    <w:rsid w:val="0092679D"/>
    <w:rsid w:val="00926CE2"/>
    <w:rsid w:val="00927BD8"/>
    <w:rsid w:val="00932E22"/>
    <w:rsid w:val="009348C8"/>
    <w:rsid w:val="0093490C"/>
    <w:rsid w:val="0093586B"/>
    <w:rsid w:val="009369EC"/>
    <w:rsid w:val="00940B7E"/>
    <w:rsid w:val="00940C09"/>
    <w:rsid w:val="00941E32"/>
    <w:rsid w:val="0094550D"/>
    <w:rsid w:val="0094750B"/>
    <w:rsid w:val="009479DD"/>
    <w:rsid w:val="00947CF3"/>
    <w:rsid w:val="009501F2"/>
    <w:rsid w:val="00950241"/>
    <w:rsid w:val="0095133F"/>
    <w:rsid w:val="0095205B"/>
    <w:rsid w:val="009539AA"/>
    <w:rsid w:val="00953D0B"/>
    <w:rsid w:val="00955143"/>
    <w:rsid w:val="00956935"/>
    <w:rsid w:val="00961C71"/>
    <w:rsid w:val="00961FB1"/>
    <w:rsid w:val="00963782"/>
    <w:rsid w:val="00964430"/>
    <w:rsid w:val="009647A2"/>
    <w:rsid w:val="00964847"/>
    <w:rsid w:val="009653B5"/>
    <w:rsid w:val="009656F1"/>
    <w:rsid w:val="00965F05"/>
    <w:rsid w:val="009662A7"/>
    <w:rsid w:val="00966802"/>
    <w:rsid w:val="00966E13"/>
    <w:rsid w:val="009701FB"/>
    <w:rsid w:val="009712BE"/>
    <w:rsid w:val="0097265D"/>
    <w:rsid w:val="00973664"/>
    <w:rsid w:val="00975706"/>
    <w:rsid w:val="00982C87"/>
    <w:rsid w:val="00983202"/>
    <w:rsid w:val="00983FC2"/>
    <w:rsid w:val="0098526E"/>
    <w:rsid w:val="00985BDF"/>
    <w:rsid w:val="00986F13"/>
    <w:rsid w:val="00986FBE"/>
    <w:rsid w:val="00987C25"/>
    <w:rsid w:val="00987DA1"/>
    <w:rsid w:val="0099083D"/>
    <w:rsid w:val="00992849"/>
    <w:rsid w:val="009930C5"/>
    <w:rsid w:val="00994B32"/>
    <w:rsid w:val="00995170"/>
    <w:rsid w:val="00995E2B"/>
    <w:rsid w:val="009A162E"/>
    <w:rsid w:val="009A18E3"/>
    <w:rsid w:val="009A269D"/>
    <w:rsid w:val="009A5437"/>
    <w:rsid w:val="009A5B63"/>
    <w:rsid w:val="009A73A4"/>
    <w:rsid w:val="009A73BB"/>
    <w:rsid w:val="009A7E4D"/>
    <w:rsid w:val="009B012A"/>
    <w:rsid w:val="009B0644"/>
    <w:rsid w:val="009B1109"/>
    <w:rsid w:val="009B1ADD"/>
    <w:rsid w:val="009B29AB"/>
    <w:rsid w:val="009B2CA9"/>
    <w:rsid w:val="009B31F5"/>
    <w:rsid w:val="009B3385"/>
    <w:rsid w:val="009B3C40"/>
    <w:rsid w:val="009B4CA4"/>
    <w:rsid w:val="009B5AEE"/>
    <w:rsid w:val="009C008E"/>
    <w:rsid w:val="009C0691"/>
    <w:rsid w:val="009C0AD7"/>
    <w:rsid w:val="009C0E66"/>
    <w:rsid w:val="009C1C3D"/>
    <w:rsid w:val="009C3618"/>
    <w:rsid w:val="009D162C"/>
    <w:rsid w:val="009D2F04"/>
    <w:rsid w:val="009D3529"/>
    <w:rsid w:val="009D4606"/>
    <w:rsid w:val="009D71D7"/>
    <w:rsid w:val="009E0092"/>
    <w:rsid w:val="009E136B"/>
    <w:rsid w:val="009E165E"/>
    <w:rsid w:val="009E375F"/>
    <w:rsid w:val="009E37D5"/>
    <w:rsid w:val="009E4194"/>
    <w:rsid w:val="009E5BBD"/>
    <w:rsid w:val="009E61DF"/>
    <w:rsid w:val="009E6CC7"/>
    <w:rsid w:val="009E7E9F"/>
    <w:rsid w:val="009F0742"/>
    <w:rsid w:val="009F1408"/>
    <w:rsid w:val="009F1B70"/>
    <w:rsid w:val="009F2068"/>
    <w:rsid w:val="009F31D2"/>
    <w:rsid w:val="009F569F"/>
    <w:rsid w:val="009F673A"/>
    <w:rsid w:val="009F6DBC"/>
    <w:rsid w:val="009F790D"/>
    <w:rsid w:val="00A0103D"/>
    <w:rsid w:val="00A01601"/>
    <w:rsid w:val="00A020AA"/>
    <w:rsid w:val="00A02F9C"/>
    <w:rsid w:val="00A045EC"/>
    <w:rsid w:val="00A04A3C"/>
    <w:rsid w:val="00A07C02"/>
    <w:rsid w:val="00A113A2"/>
    <w:rsid w:val="00A11972"/>
    <w:rsid w:val="00A12F31"/>
    <w:rsid w:val="00A153DB"/>
    <w:rsid w:val="00A1688A"/>
    <w:rsid w:val="00A20BE4"/>
    <w:rsid w:val="00A20CCE"/>
    <w:rsid w:val="00A21034"/>
    <w:rsid w:val="00A22BD9"/>
    <w:rsid w:val="00A22FEA"/>
    <w:rsid w:val="00A232E3"/>
    <w:rsid w:val="00A23E64"/>
    <w:rsid w:val="00A24254"/>
    <w:rsid w:val="00A2443F"/>
    <w:rsid w:val="00A245E3"/>
    <w:rsid w:val="00A24D8D"/>
    <w:rsid w:val="00A265FA"/>
    <w:rsid w:val="00A35AC9"/>
    <w:rsid w:val="00A3655A"/>
    <w:rsid w:val="00A369D3"/>
    <w:rsid w:val="00A410AA"/>
    <w:rsid w:val="00A416CD"/>
    <w:rsid w:val="00A42E17"/>
    <w:rsid w:val="00A4425C"/>
    <w:rsid w:val="00A4457B"/>
    <w:rsid w:val="00A44BB8"/>
    <w:rsid w:val="00A457E5"/>
    <w:rsid w:val="00A47E09"/>
    <w:rsid w:val="00A47F17"/>
    <w:rsid w:val="00A53455"/>
    <w:rsid w:val="00A53953"/>
    <w:rsid w:val="00A53D13"/>
    <w:rsid w:val="00A53E5A"/>
    <w:rsid w:val="00A54656"/>
    <w:rsid w:val="00A56171"/>
    <w:rsid w:val="00A6118B"/>
    <w:rsid w:val="00A621E0"/>
    <w:rsid w:val="00A62843"/>
    <w:rsid w:val="00A63284"/>
    <w:rsid w:val="00A643AE"/>
    <w:rsid w:val="00A66405"/>
    <w:rsid w:val="00A70DB9"/>
    <w:rsid w:val="00A718A3"/>
    <w:rsid w:val="00A725F0"/>
    <w:rsid w:val="00A72A44"/>
    <w:rsid w:val="00A73F45"/>
    <w:rsid w:val="00A753CC"/>
    <w:rsid w:val="00A7601B"/>
    <w:rsid w:val="00A7719F"/>
    <w:rsid w:val="00A779D1"/>
    <w:rsid w:val="00A808A7"/>
    <w:rsid w:val="00A80934"/>
    <w:rsid w:val="00A81AE1"/>
    <w:rsid w:val="00A822BE"/>
    <w:rsid w:val="00A8311C"/>
    <w:rsid w:val="00A84C3B"/>
    <w:rsid w:val="00A8585B"/>
    <w:rsid w:val="00A85ABF"/>
    <w:rsid w:val="00A85F22"/>
    <w:rsid w:val="00A909F9"/>
    <w:rsid w:val="00A90BAF"/>
    <w:rsid w:val="00AA2B12"/>
    <w:rsid w:val="00AA305C"/>
    <w:rsid w:val="00AA5CCF"/>
    <w:rsid w:val="00AA7625"/>
    <w:rsid w:val="00AB021D"/>
    <w:rsid w:val="00AB29BF"/>
    <w:rsid w:val="00AB2AE7"/>
    <w:rsid w:val="00AB2B1C"/>
    <w:rsid w:val="00AB6E42"/>
    <w:rsid w:val="00AB7A3F"/>
    <w:rsid w:val="00AC0256"/>
    <w:rsid w:val="00AC11D6"/>
    <w:rsid w:val="00AC2F18"/>
    <w:rsid w:val="00AC483F"/>
    <w:rsid w:val="00AC4A9A"/>
    <w:rsid w:val="00AC4EE1"/>
    <w:rsid w:val="00AC759D"/>
    <w:rsid w:val="00AD1A07"/>
    <w:rsid w:val="00AD490A"/>
    <w:rsid w:val="00AD5172"/>
    <w:rsid w:val="00AE01EB"/>
    <w:rsid w:val="00AE2B49"/>
    <w:rsid w:val="00AE2FD1"/>
    <w:rsid w:val="00AE3199"/>
    <w:rsid w:val="00AE3DCD"/>
    <w:rsid w:val="00AE3E3A"/>
    <w:rsid w:val="00AE41FF"/>
    <w:rsid w:val="00AE4414"/>
    <w:rsid w:val="00AE48AF"/>
    <w:rsid w:val="00AE6671"/>
    <w:rsid w:val="00AE72A1"/>
    <w:rsid w:val="00AF0BC5"/>
    <w:rsid w:val="00AF0C26"/>
    <w:rsid w:val="00AF1208"/>
    <w:rsid w:val="00AF1733"/>
    <w:rsid w:val="00AF4670"/>
    <w:rsid w:val="00AF5DAE"/>
    <w:rsid w:val="00AF5FF1"/>
    <w:rsid w:val="00AF724C"/>
    <w:rsid w:val="00B00056"/>
    <w:rsid w:val="00B015D9"/>
    <w:rsid w:val="00B02F40"/>
    <w:rsid w:val="00B0452C"/>
    <w:rsid w:val="00B06540"/>
    <w:rsid w:val="00B100F8"/>
    <w:rsid w:val="00B109D2"/>
    <w:rsid w:val="00B10B8A"/>
    <w:rsid w:val="00B10D6F"/>
    <w:rsid w:val="00B111B6"/>
    <w:rsid w:val="00B11D9E"/>
    <w:rsid w:val="00B12605"/>
    <w:rsid w:val="00B13363"/>
    <w:rsid w:val="00B13648"/>
    <w:rsid w:val="00B1554F"/>
    <w:rsid w:val="00B163E5"/>
    <w:rsid w:val="00B20BBF"/>
    <w:rsid w:val="00B20D2E"/>
    <w:rsid w:val="00B2258F"/>
    <w:rsid w:val="00B22662"/>
    <w:rsid w:val="00B23D3C"/>
    <w:rsid w:val="00B23F7C"/>
    <w:rsid w:val="00B25155"/>
    <w:rsid w:val="00B25A01"/>
    <w:rsid w:val="00B27D30"/>
    <w:rsid w:val="00B27E43"/>
    <w:rsid w:val="00B324B8"/>
    <w:rsid w:val="00B328FB"/>
    <w:rsid w:val="00B3336E"/>
    <w:rsid w:val="00B33470"/>
    <w:rsid w:val="00B33FD6"/>
    <w:rsid w:val="00B34B1F"/>
    <w:rsid w:val="00B353A5"/>
    <w:rsid w:val="00B37048"/>
    <w:rsid w:val="00B37639"/>
    <w:rsid w:val="00B37C1C"/>
    <w:rsid w:val="00B42B0A"/>
    <w:rsid w:val="00B42C37"/>
    <w:rsid w:val="00B45C8A"/>
    <w:rsid w:val="00B469F5"/>
    <w:rsid w:val="00B5058F"/>
    <w:rsid w:val="00B50689"/>
    <w:rsid w:val="00B506B1"/>
    <w:rsid w:val="00B52313"/>
    <w:rsid w:val="00B54C68"/>
    <w:rsid w:val="00B57313"/>
    <w:rsid w:val="00B57DE4"/>
    <w:rsid w:val="00B6236C"/>
    <w:rsid w:val="00B63E86"/>
    <w:rsid w:val="00B67400"/>
    <w:rsid w:val="00B724E5"/>
    <w:rsid w:val="00B73756"/>
    <w:rsid w:val="00B739D4"/>
    <w:rsid w:val="00B74885"/>
    <w:rsid w:val="00B74A23"/>
    <w:rsid w:val="00B75002"/>
    <w:rsid w:val="00B754E9"/>
    <w:rsid w:val="00B76898"/>
    <w:rsid w:val="00B76DA1"/>
    <w:rsid w:val="00B77677"/>
    <w:rsid w:val="00B77B7B"/>
    <w:rsid w:val="00B80478"/>
    <w:rsid w:val="00B8071A"/>
    <w:rsid w:val="00B80AF5"/>
    <w:rsid w:val="00B81424"/>
    <w:rsid w:val="00B83E9E"/>
    <w:rsid w:val="00B86832"/>
    <w:rsid w:val="00B86F4A"/>
    <w:rsid w:val="00B87807"/>
    <w:rsid w:val="00B879F4"/>
    <w:rsid w:val="00B90DBA"/>
    <w:rsid w:val="00B9356B"/>
    <w:rsid w:val="00B93975"/>
    <w:rsid w:val="00B949C3"/>
    <w:rsid w:val="00B94FC1"/>
    <w:rsid w:val="00B94FEE"/>
    <w:rsid w:val="00B956D7"/>
    <w:rsid w:val="00B95707"/>
    <w:rsid w:val="00B95D42"/>
    <w:rsid w:val="00B96800"/>
    <w:rsid w:val="00B96870"/>
    <w:rsid w:val="00BA11FC"/>
    <w:rsid w:val="00BA35D9"/>
    <w:rsid w:val="00BA77B6"/>
    <w:rsid w:val="00BB066B"/>
    <w:rsid w:val="00BB22BC"/>
    <w:rsid w:val="00BB235C"/>
    <w:rsid w:val="00BB4D05"/>
    <w:rsid w:val="00BB731D"/>
    <w:rsid w:val="00BB76F5"/>
    <w:rsid w:val="00BC0F2B"/>
    <w:rsid w:val="00BC108C"/>
    <w:rsid w:val="00BC14E4"/>
    <w:rsid w:val="00BC2684"/>
    <w:rsid w:val="00BC2D2A"/>
    <w:rsid w:val="00BC38FD"/>
    <w:rsid w:val="00BC398B"/>
    <w:rsid w:val="00BC53C3"/>
    <w:rsid w:val="00BC5B01"/>
    <w:rsid w:val="00BC6AC9"/>
    <w:rsid w:val="00BD0224"/>
    <w:rsid w:val="00BD11BF"/>
    <w:rsid w:val="00BD1E22"/>
    <w:rsid w:val="00BD3DB7"/>
    <w:rsid w:val="00BD4495"/>
    <w:rsid w:val="00BD5C8E"/>
    <w:rsid w:val="00BD624D"/>
    <w:rsid w:val="00BD6867"/>
    <w:rsid w:val="00BD7074"/>
    <w:rsid w:val="00BE07E1"/>
    <w:rsid w:val="00BE147A"/>
    <w:rsid w:val="00BE2375"/>
    <w:rsid w:val="00BE3DA0"/>
    <w:rsid w:val="00BE486C"/>
    <w:rsid w:val="00BE4AED"/>
    <w:rsid w:val="00BE4E6C"/>
    <w:rsid w:val="00BE5881"/>
    <w:rsid w:val="00BE69B7"/>
    <w:rsid w:val="00BE6B23"/>
    <w:rsid w:val="00BF058D"/>
    <w:rsid w:val="00BF2296"/>
    <w:rsid w:val="00BF2F77"/>
    <w:rsid w:val="00BF4287"/>
    <w:rsid w:val="00BF5F47"/>
    <w:rsid w:val="00BF64F0"/>
    <w:rsid w:val="00BF6AAA"/>
    <w:rsid w:val="00BF7B76"/>
    <w:rsid w:val="00C023EC"/>
    <w:rsid w:val="00C02FFD"/>
    <w:rsid w:val="00C0476C"/>
    <w:rsid w:val="00C04E61"/>
    <w:rsid w:val="00C06903"/>
    <w:rsid w:val="00C0707B"/>
    <w:rsid w:val="00C0761B"/>
    <w:rsid w:val="00C12921"/>
    <w:rsid w:val="00C139A6"/>
    <w:rsid w:val="00C147F4"/>
    <w:rsid w:val="00C1512C"/>
    <w:rsid w:val="00C17EAB"/>
    <w:rsid w:val="00C20C2E"/>
    <w:rsid w:val="00C22674"/>
    <w:rsid w:val="00C23C8A"/>
    <w:rsid w:val="00C25993"/>
    <w:rsid w:val="00C262CC"/>
    <w:rsid w:val="00C34C24"/>
    <w:rsid w:val="00C350FE"/>
    <w:rsid w:val="00C35AEC"/>
    <w:rsid w:val="00C36E14"/>
    <w:rsid w:val="00C37CF7"/>
    <w:rsid w:val="00C4163F"/>
    <w:rsid w:val="00C42490"/>
    <w:rsid w:val="00C4320F"/>
    <w:rsid w:val="00C44D28"/>
    <w:rsid w:val="00C45368"/>
    <w:rsid w:val="00C4570D"/>
    <w:rsid w:val="00C50352"/>
    <w:rsid w:val="00C51585"/>
    <w:rsid w:val="00C520C6"/>
    <w:rsid w:val="00C523B3"/>
    <w:rsid w:val="00C53225"/>
    <w:rsid w:val="00C533B8"/>
    <w:rsid w:val="00C53BBE"/>
    <w:rsid w:val="00C550D6"/>
    <w:rsid w:val="00C568CD"/>
    <w:rsid w:val="00C56DEF"/>
    <w:rsid w:val="00C56EA2"/>
    <w:rsid w:val="00C57701"/>
    <w:rsid w:val="00C57C11"/>
    <w:rsid w:val="00C612E5"/>
    <w:rsid w:val="00C615D8"/>
    <w:rsid w:val="00C61DBE"/>
    <w:rsid w:val="00C6226D"/>
    <w:rsid w:val="00C646BE"/>
    <w:rsid w:val="00C64BA1"/>
    <w:rsid w:val="00C64E73"/>
    <w:rsid w:val="00C6686D"/>
    <w:rsid w:val="00C679D5"/>
    <w:rsid w:val="00C70480"/>
    <w:rsid w:val="00C71435"/>
    <w:rsid w:val="00C73E0D"/>
    <w:rsid w:val="00C74E3E"/>
    <w:rsid w:val="00C7556F"/>
    <w:rsid w:val="00C80E62"/>
    <w:rsid w:val="00C81E91"/>
    <w:rsid w:val="00C84C32"/>
    <w:rsid w:val="00C85D81"/>
    <w:rsid w:val="00C8633A"/>
    <w:rsid w:val="00C86DC0"/>
    <w:rsid w:val="00C87388"/>
    <w:rsid w:val="00C90BF6"/>
    <w:rsid w:val="00C92FD4"/>
    <w:rsid w:val="00C9469D"/>
    <w:rsid w:val="00C95386"/>
    <w:rsid w:val="00C95DCE"/>
    <w:rsid w:val="00C95E93"/>
    <w:rsid w:val="00CA0E99"/>
    <w:rsid w:val="00CA0F2E"/>
    <w:rsid w:val="00CA131A"/>
    <w:rsid w:val="00CA1703"/>
    <w:rsid w:val="00CA2E96"/>
    <w:rsid w:val="00CA366F"/>
    <w:rsid w:val="00CA3C25"/>
    <w:rsid w:val="00CA432B"/>
    <w:rsid w:val="00CA46E8"/>
    <w:rsid w:val="00CA4F09"/>
    <w:rsid w:val="00CA51FC"/>
    <w:rsid w:val="00CA749B"/>
    <w:rsid w:val="00CA795F"/>
    <w:rsid w:val="00CA7C1E"/>
    <w:rsid w:val="00CB029F"/>
    <w:rsid w:val="00CB0593"/>
    <w:rsid w:val="00CB0626"/>
    <w:rsid w:val="00CB06F1"/>
    <w:rsid w:val="00CB4246"/>
    <w:rsid w:val="00CB636A"/>
    <w:rsid w:val="00CB6AEF"/>
    <w:rsid w:val="00CC033A"/>
    <w:rsid w:val="00CC06AF"/>
    <w:rsid w:val="00CC0E73"/>
    <w:rsid w:val="00CC1768"/>
    <w:rsid w:val="00CC3163"/>
    <w:rsid w:val="00CC3347"/>
    <w:rsid w:val="00CC35B6"/>
    <w:rsid w:val="00CC4E80"/>
    <w:rsid w:val="00CC5573"/>
    <w:rsid w:val="00CC618C"/>
    <w:rsid w:val="00CC6951"/>
    <w:rsid w:val="00CC6995"/>
    <w:rsid w:val="00CC7615"/>
    <w:rsid w:val="00CD17DA"/>
    <w:rsid w:val="00CD26C5"/>
    <w:rsid w:val="00CD2722"/>
    <w:rsid w:val="00CD33DF"/>
    <w:rsid w:val="00CD37EE"/>
    <w:rsid w:val="00CD570B"/>
    <w:rsid w:val="00CE0C42"/>
    <w:rsid w:val="00CE110C"/>
    <w:rsid w:val="00CE1B43"/>
    <w:rsid w:val="00CE2CC1"/>
    <w:rsid w:val="00CE3F0D"/>
    <w:rsid w:val="00CE4083"/>
    <w:rsid w:val="00CE46A7"/>
    <w:rsid w:val="00CE598C"/>
    <w:rsid w:val="00CE7334"/>
    <w:rsid w:val="00CE7468"/>
    <w:rsid w:val="00CE7658"/>
    <w:rsid w:val="00CE7D21"/>
    <w:rsid w:val="00CF0EA9"/>
    <w:rsid w:val="00CF27C8"/>
    <w:rsid w:val="00CF474C"/>
    <w:rsid w:val="00CF5CD3"/>
    <w:rsid w:val="00CF7485"/>
    <w:rsid w:val="00D0124B"/>
    <w:rsid w:val="00D0124D"/>
    <w:rsid w:val="00D024C5"/>
    <w:rsid w:val="00D0288D"/>
    <w:rsid w:val="00D03EF1"/>
    <w:rsid w:val="00D05639"/>
    <w:rsid w:val="00D058C0"/>
    <w:rsid w:val="00D0725B"/>
    <w:rsid w:val="00D0740D"/>
    <w:rsid w:val="00D07951"/>
    <w:rsid w:val="00D07ABE"/>
    <w:rsid w:val="00D123E8"/>
    <w:rsid w:val="00D13A12"/>
    <w:rsid w:val="00D14995"/>
    <w:rsid w:val="00D150D6"/>
    <w:rsid w:val="00D1586D"/>
    <w:rsid w:val="00D230E7"/>
    <w:rsid w:val="00D247F7"/>
    <w:rsid w:val="00D24D2D"/>
    <w:rsid w:val="00D24FBB"/>
    <w:rsid w:val="00D2532D"/>
    <w:rsid w:val="00D265C2"/>
    <w:rsid w:val="00D27FED"/>
    <w:rsid w:val="00D316A6"/>
    <w:rsid w:val="00D32523"/>
    <w:rsid w:val="00D32BDF"/>
    <w:rsid w:val="00D33584"/>
    <w:rsid w:val="00D34F67"/>
    <w:rsid w:val="00D413D6"/>
    <w:rsid w:val="00D4233F"/>
    <w:rsid w:val="00D429EB"/>
    <w:rsid w:val="00D4467E"/>
    <w:rsid w:val="00D4607E"/>
    <w:rsid w:val="00D47B22"/>
    <w:rsid w:val="00D5184A"/>
    <w:rsid w:val="00D51867"/>
    <w:rsid w:val="00D52533"/>
    <w:rsid w:val="00D531CC"/>
    <w:rsid w:val="00D5489C"/>
    <w:rsid w:val="00D5587F"/>
    <w:rsid w:val="00D60E55"/>
    <w:rsid w:val="00D61733"/>
    <w:rsid w:val="00D6264D"/>
    <w:rsid w:val="00D62AB1"/>
    <w:rsid w:val="00D644D6"/>
    <w:rsid w:val="00D65554"/>
    <w:rsid w:val="00D668E8"/>
    <w:rsid w:val="00D67BD3"/>
    <w:rsid w:val="00D67E3C"/>
    <w:rsid w:val="00D70733"/>
    <w:rsid w:val="00D707CC"/>
    <w:rsid w:val="00D725A8"/>
    <w:rsid w:val="00D73C2B"/>
    <w:rsid w:val="00D73CCA"/>
    <w:rsid w:val="00D74B3B"/>
    <w:rsid w:val="00D74CED"/>
    <w:rsid w:val="00D801A2"/>
    <w:rsid w:val="00D80C6D"/>
    <w:rsid w:val="00D81085"/>
    <w:rsid w:val="00D829D5"/>
    <w:rsid w:val="00D82AF2"/>
    <w:rsid w:val="00D82C88"/>
    <w:rsid w:val="00D83324"/>
    <w:rsid w:val="00D837C5"/>
    <w:rsid w:val="00D84A7A"/>
    <w:rsid w:val="00D8550F"/>
    <w:rsid w:val="00D8596F"/>
    <w:rsid w:val="00D85E01"/>
    <w:rsid w:val="00D8645F"/>
    <w:rsid w:val="00D868A3"/>
    <w:rsid w:val="00D86A51"/>
    <w:rsid w:val="00D86CE8"/>
    <w:rsid w:val="00D9027D"/>
    <w:rsid w:val="00D90419"/>
    <w:rsid w:val="00D927AA"/>
    <w:rsid w:val="00D930ED"/>
    <w:rsid w:val="00D9322D"/>
    <w:rsid w:val="00D939F6"/>
    <w:rsid w:val="00D9518B"/>
    <w:rsid w:val="00D975F8"/>
    <w:rsid w:val="00DA0596"/>
    <w:rsid w:val="00DA405C"/>
    <w:rsid w:val="00DA413B"/>
    <w:rsid w:val="00DA5276"/>
    <w:rsid w:val="00DA5C57"/>
    <w:rsid w:val="00DA7FED"/>
    <w:rsid w:val="00DB058B"/>
    <w:rsid w:val="00DB0D57"/>
    <w:rsid w:val="00DB4203"/>
    <w:rsid w:val="00DB5870"/>
    <w:rsid w:val="00DB67EC"/>
    <w:rsid w:val="00DB6F12"/>
    <w:rsid w:val="00DB7125"/>
    <w:rsid w:val="00DC06E2"/>
    <w:rsid w:val="00DC1AB3"/>
    <w:rsid w:val="00DC212D"/>
    <w:rsid w:val="00DC2F1E"/>
    <w:rsid w:val="00DC38FB"/>
    <w:rsid w:val="00DC55B4"/>
    <w:rsid w:val="00DC60A5"/>
    <w:rsid w:val="00DC6412"/>
    <w:rsid w:val="00DC6D5E"/>
    <w:rsid w:val="00DD211A"/>
    <w:rsid w:val="00DD3536"/>
    <w:rsid w:val="00DD54D0"/>
    <w:rsid w:val="00DD798D"/>
    <w:rsid w:val="00DE0086"/>
    <w:rsid w:val="00DE03AC"/>
    <w:rsid w:val="00DE05E5"/>
    <w:rsid w:val="00DE1B67"/>
    <w:rsid w:val="00DE288E"/>
    <w:rsid w:val="00DE298C"/>
    <w:rsid w:val="00DE3359"/>
    <w:rsid w:val="00DE49E2"/>
    <w:rsid w:val="00DE68EE"/>
    <w:rsid w:val="00DE740A"/>
    <w:rsid w:val="00DE7AF1"/>
    <w:rsid w:val="00DE7FBA"/>
    <w:rsid w:val="00DF2407"/>
    <w:rsid w:val="00DF5B89"/>
    <w:rsid w:val="00DF5FF4"/>
    <w:rsid w:val="00DF7982"/>
    <w:rsid w:val="00E00D8D"/>
    <w:rsid w:val="00E02BC0"/>
    <w:rsid w:val="00E02C57"/>
    <w:rsid w:val="00E02DD1"/>
    <w:rsid w:val="00E04ED2"/>
    <w:rsid w:val="00E0520F"/>
    <w:rsid w:val="00E07891"/>
    <w:rsid w:val="00E10AF9"/>
    <w:rsid w:val="00E11170"/>
    <w:rsid w:val="00E1148C"/>
    <w:rsid w:val="00E13476"/>
    <w:rsid w:val="00E1368E"/>
    <w:rsid w:val="00E13AA0"/>
    <w:rsid w:val="00E150E6"/>
    <w:rsid w:val="00E15257"/>
    <w:rsid w:val="00E15DD2"/>
    <w:rsid w:val="00E1775C"/>
    <w:rsid w:val="00E17BFC"/>
    <w:rsid w:val="00E17D31"/>
    <w:rsid w:val="00E17FE3"/>
    <w:rsid w:val="00E20659"/>
    <w:rsid w:val="00E2073C"/>
    <w:rsid w:val="00E215BC"/>
    <w:rsid w:val="00E215D2"/>
    <w:rsid w:val="00E22A85"/>
    <w:rsid w:val="00E23642"/>
    <w:rsid w:val="00E23D4E"/>
    <w:rsid w:val="00E2454E"/>
    <w:rsid w:val="00E24BEA"/>
    <w:rsid w:val="00E251B9"/>
    <w:rsid w:val="00E258D0"/>
    <w:rsid w:val="00E2719E"/>
    <w:rsid w:val="00E3102F"/>
    <w:rsid w:val="00E31DED"/>
    <w:rsid w:val="00E31E98"/>
    <w:rsid w:val="00E32697"/>
    <w:rsid w:val="00E32F0A"/>
    <w:rsid w:val="00E35B9D"/>
    <w:rsid w:val="00E36277"/>
    <w:rsid w:val="00E36DCC"/>
    <w:rsid w:val="00E376C1"/>
    <w:rsid w:val="00E376F4"/>
    <w:rsid w:val="00E40E02"/>
    <w:rsid w:val="00E41A5D"/>
    <w:rsid w:val="00E458B7"/>
    <w:rsid w:val="00E47DEE"/>
    <w:rsid w:val="00E509BB"/>
    <w:rsid w:val="00E51BA6"/>
    <w:rsid w:val="00E534AD"/>
    <w:rsid w:val="00E544A0"/>
    <w:rsid w:val="00E54BEB"/>
    <w:rsid w:val="00E55371"/>
    <w:rsid w:val="00E5583B"/>
    <w:rsid w:val="00E570A6"/>
    <w:rsid w:val="00E60A11"/>
    <w:rsid w:val="00E60E11"/>
    <w:rsid w:val="00E612A0"/>
    <w:rsid w:val="00E619F4"/>
    <w:rsid w:val="00E63C11"/>
    <w:rsid w:val="00E63C20"/>
    <w:rsid w:val="00E6757F"/>
    <w:rsid w:val="00E7030B"/>
    <w:rsid w:val="00E70DD6"/>
    <w:rsid w:val="00E71CBE"/>
    <w:rsid w:val="00E725B0"/>
    <w:rsid w:val="00E73642"/>
    <w:rsid w:val="00E742CE"/>
    <w:rsid w:val="00E74C1A"/>
    <w:rsid w:val="00E74C1D"/>
    <w:rsid w:val="00E7583B"/>
    <w:rsid w:val="00E769B6"/>
    <w:rsid w:val="00E76A6C"/>
    <w:rsid w:val="00E778DA"/>
    <w:rsid w:val="00E77F21"/>
    <w:rsid w:val="00E81BA2"/>
    <w:rsid w:val="00E830A3"/>
    <w:rsid w:val="00E831B5"/>
    <w:rsid w:val="00E8412F"/>
    <w:rsid w:val="00E84394"/>
    <w:rsid w:val="00E85DE6"/>
    <w:rsid w:val="00E87338"/>
    <w:rsid w:val="00E87456"/>
    <w:rsid w:val="00E8784D"/>
    <w:rsid w:val="00E90399"/>
    <w:rsid w:val="00E90BC7"/>
    <w:rsid w:val="00E92B14"/>
    <w:rsid w:val="00E93296"/>
    <w:rsid w:val="00E93F15"/>
    <w:rsid w:val="00E95AFB"/>
    <w:rsid w:val="00E96CC9"/>
    <w:rsid w:val="00EA0D54"/>
    <w:rsid w:val="00EA1412"/>
    <w:rsid w:val="00EA2555"/>
    <w:rsid w:val="00EA2676"/>
    <w:rsid w:val="00EA2797"/>
    <w:rsid w:val="00EA2948"/>
    <w:rsid w:val="00EA2D12"/>
    <w:rsid w:val="00EA57F9"/>
    <w:rsid w:val="00EA5D60"/>
    <w:rsid w:val="00EA7057"/>
    <w:rsid w:val="00EA74F7"/>
    <w:rsid w:val="00EB088F"/>
    <w:rsid w:val="00EB1058"/>
    <w:rsid w:val="00EB19FF"/>
    <w:rsid w:val="00EB2B26"/>
    <w:rsid w:val="00EB364C"/>
    <w:rsid w:val="00EB49DA"/>
    <w:rsid w:val="00EB516F"/>
    <w:rsid w:val="00EB6B56"/>
    <w:rsid w:val="00EB7097"/>
    <w:rsid w:val="00EB73C0"/>
    <w:rsid w:val="00EC0BFC"/>
    <w:rsid w:val="00EC0F5D"/>
    <w:rsid w:val="00EC1E47"/>
    <w:rsid w:val="00EC373E"/>
    <w:rsid w:val="00EC45B0"/>
    <w:rsid w:val="00EC5F3F"/>
    <w:rsid w:val="00ED0B39"/>
    <w:rsid w:val="00ED225A"/>
    <w:rsid w:val="00ED3EC2"/>
    <w:rsid w:val="00ED6F2B"/>
    <w:rsid w:val="00EE0E54"/>
    <w:rsid w:val="00EE1980"/>
    <w:rsid w:val="00EE213F"/>
    <w:rsid w:val="00EE3F98"/>
    <w:rsid w:val="00EE6185"/>
    <w:rsid w:val="00EE63FC"/>
    <w:rsid w:val="00EE6BBE"/>
    <w:rsid w:val="00EE7569"/>
    <w:rsid w:val="00EE7A28"/>
    <w:rsid w:val="00EF10BD"/>
    <w:rsid w:val="00EF3AE7"/>
    <w:rsid w:val="00EF3EC6"/>
    <w:rsid w:val="00EF4CC2"/>
    <w:rsid w:val="00EF5615"/>
    <w:rsid w:val="00EF5D7B"/>
    <w:rsid w:val="00F01A62"/>
    <w:rsid w:val="00F04FBB"/>
    <w:rsid w:val="00F0545F"/>
    <w:rsid w:val="00F059F6"/>
    <w:rsid w:val="00F06575"/>
    <w:rsid w:val="00F07337"/>
    <w:rsid w:val="00F07424"/>
    <w:rsid w:val="00F0768E"/>
    <w:rsid w:val="00F076A1"/>
    <w:rsid w:val="00F11104"/>
    <w:rsid w:val="00F115B0"/>
    <w:rsid w:val="00F134A8"/>
    <w:rsid w:val="00F139DF"/>
    <w:rsid w:val="00F147B9"/>
    <w:rsid w:val="00F14DCC"/>
    <w:rsid w:val="00F14EEC"/>
    <w:rsid w:val="00F200F0"/>
    <w:rsid w:val="00F20A9D"/>
    <w:rsid w:val="00F20E32"/>
    <w:rsid w:val="00F21BC4"/>
    <w:rsid w:val="00F27372"/>
    <w:rsid w:val="00F27575"/>
    <w:rsid w:val="00F30472"/>
    <w:rsid w:val="00F30F32"/>
    <w:rsid w:val="00F328BF"/>
    <w:rsid w:val="00F35358"/>
    <w:rsid w:val="00F35C21"/>
    <w:rsid w:val="00F36033"/>
    <w:rsid w:val="00F4121A"/>
    <w:rsid w:val="00F41430"/>
    <w:rsid w:val="00F41C27"/>
    <w:rsid w:val="00F420CC"/>
    <w:rsid w:val="00F42F06"/>
    <w:rsid w:val="00F43CC6"/>
    <w:rsid w:val="00F50CE8"/>
    <w:rsid w:val="00F5182C"/>
    <w:rsid w:val="00F51B24"/>
    <w:rsid w:val="00F52FFC"/>
    <w:rsid w:val="00F5479E"/>
    <w:rsid w:val="00F54EA1"/>
    <w:rsid w:val="00F54EF3"/>
    <w:rsid w:val="00F552B2"/>
    <w:rsid w:val="00F613F4"/>
    <w:rsid w:val="00F621E3"/>
    <w:rsid w:val="00F6252E"/>
    <w:rsid w:val="00F64127"/>
    <w:rsid w:val="00F654AF"/>
    <w:rsid w:val="00F67665"/>
    <w:rsid w:val="00F72468"/>
    <w:rsid w:val="00F73F5B"/>
    <w:rsid w:val="00F74290"/>
    <w:rsid w:val="00F752F0"/>
    <w:rsid w:val="00F8066D"/>
    <w:rsid w:val="00F82B31"/>
    <w:rsid w:val="00F82C72"/>
    <w:rsid w:val="00F83753"/>
    <w:rsid w:val="00F8644A"/>
    <w:rsid w:val="00F90C62"/>
    <w:rsid w:val="00F926C9"/>
    <w:rsid w:val="00F929E0"/>
    <w:rsid w:val="00F9314C"/>
    <w:rsid w:val="00F946FF"/>
    <w:rsid w:val="00F94877"/>
    <w:rsid w:val="00F948BC"/>
    <w:rsid w:val="00F964C8"/>
    <w:rsid w:val="00F966E4"/>
    <w:rsid w:val="00F96F54"/>
    <w:rsid w:val="00F97339"/>
    <w:rsid w:val="00FA0C18"/>
    <w:rsid w:val="00FA1BCF"/>
    <w:rsid w:val="00FA1E94"/>
    <w:rsid w:val="00FA24C2"/>
    <w:rsid w:val="00FA27E8"/>
    <w:rsid w:val="00FA2C72"/>
    <w:rsid w:val="00FA3D70"/>
    <w:rsid w:val="00FA5CFC"/>
    <w:rsid w:val="00FA6157"/>
    <w:rsid w:val="00FA7C8B"/>
    <w:rsid w:val="00FB0B7E"/>
    <w:rsid w:val="00FB2339"/>
    <w:rsid w:val="00FB5AE8"/>
    <w:rsid w:val="00FB6929"/>
    <w:rsid w:val="00FB772A"/>
    <w:rsid w:val="00FB7D87"/>
    <w:rsid w:val="00FC0A50"/>
    <w:rsid w:val="00FC12FA"/>
    <w:rsid w:val="00FC1B8C"/>
    <w:rsid w:val="00FC38F9"/>
    <w:rsid w:val="00FC3F72"/>
    <w:rsid w:val="00FC405C"/>
    <w:rsid w:val="00FC52AF"/>
    <w:rsid w:val="00FC663D"/>
    <w:rsid w:val="00FC6E86"/>
    <w:rsid w:val="00FC745E"/>
    <w:rsid w:val="00FC7F84"/>
    <w:rsid w:val="00FD03B6"/>
    <w:rsid w:val="00FD20B3"/>
    <w:rsid w:val="00FD559A"/>
    <w:rsid w:val="00FD747C"/>
    <w:rsid w:val="00FD7EBC"/>
    <w:rsid w:val="00FE0969"/>
    <w:rsid w:val="00FE17F0"/>
    <w:rsid w:val="00FE1D17"/>
    <w:rsid w:val="00FE3A1A"/>
    <w:rsid w:val="00FE3B91"/>
    <w:rsid w:val="00FE43A4"/>
    <w:rsid w:val="00FE53F2"/>
    <w:rsid w:val="00FE6F1A"/>
    <w:rsid w:val="00FE702A"/>
    <w:rsid w:val="00FE77C2"/>
    <w:rsid w:val="00FE7B69"/>
    <w:rsid w:val="00FF044B"/>
    <w:rsid w:val="00FF0979"/>
    <w:rsid w:val="00FF0FEA"/>
    <w:rsid w:val="00FF12A7"/>
    <w:rsid w:val="00FF19A2"/>
    <w:rsid w:val="00FF1A41"/>
    <w:rsid w:val="00FF2485"/>
    <w:rsid w:val="00FF2EBE"/>
    <w:rsid w:val="00FF34CB"/>
    <w:rsid w:val="00FF40C7"/>
    <w:rsid w:val="00FF46AB"/>
    <w:rsid w:val="00FF5379"/>
    <w:rsid w:val="00FF56F4"/>
    <w:rsid w:val="00FF6252"/>
    <w:rsid w:val="00FF726C"/>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C2AA1D6"/>
  <w15:docId w15:val="{53CE9452-1A9A-4D7B-A38B-5C8BC9C59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customStyle="1" w:styleId="Mencionar1">
    <w:name w:val="Mencionar1"/>
    <w:basedOn w:val="Fuentedeprrafopredeter"/>
    <w:uiPriority w:val="99"/>
    <w:semiHidden/>
    <w:unhideWhenUsed/>
    <w:rsid w:val="008C6821"/>
    <w:rPr>
      <w:color w:val="2B579A"/>
      <w:shd w:val="clear" w:color="auto" w:fill="E6E6E6"/>
    </w:rPr>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semiHidden/>
    <w:unhideWhenUsed/>
    <w:rsid w:val="00A779D1"/>
    <w:pPr>
      <w:spacing w:after="0" w:line="240" w:lineRule="auto"/>
    </w:pPr>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semiHidden/>
    <w:rsid w:val="00A779D1"/>
    <w:rPr>
      <w:sz w:val="20"/>
      <w:szCs w:val="20"/>
    </w:rPr>
  </w:style>
  <w:style w:type="character" w:styleId="Refdenotaalpie">
    <w:name w:val="footnote reference"/>
    <w:aliases w:val="callout,Footnote anchor,Ref,de nota al pie,ftref,BVI fnr,16 Point,Superscript 6 Point,(Diplomarbeit FZ),Footnote Reference,Texto de nota al pie,Footnotes refss,Appel note de bas de page,Footnote number,referencia nota al pie,f,4_G"/>
    <w:basedOn w:val="Fuentedeprrafopredeter"/>
    <w:uiPriority w:val="99"/>
    <w:semiHidden/>
    <w:unhideWhenUsed/>
    <w:qFormat/>
    <w:rsid w:val="00A779D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1025599620">
      <w:bodyDiv w:val="1"/>
      <w:marLeft w:val="0"/>
      <w:marRight w:val="0"/>
      <w:marTop w:val="0"/>
      <w:marBottom w:val="0"/>
      <w:divBdr>
        <w:top w:val="none" w:sz="0" w:space="0" w:color="auto"/>
        <w:left w:val="none" w:sz="0" w:space="0" w:color="auto"/>
        <w:bottom w:val="none" w:sz="0" w:space="0" w:color="auto"/>
        <w:right w:val="none" w:sz="0" w:space="0" w:color="auto"/>
      </w:divBdr>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 w:id="208610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egaipslp.org.mx/webcegaip2018N2.nfs/nombre_de_la_vista/A5FBFFF2CDA550AB86258317005D3844/$File/LTAIPSLP84XLIA++ago++18.xls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4988B8-1FC0-4C1F-A844-61EE4B1890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TotalTime>
  <Pages>15</Pages>
  <Words>3464</Words>
  <Characters>19052</Characters>
  <Application>Microsoft Office Word</Application>
  <DocSecurity>0</DocSecurity>
  <Lines>158</Lines>
  <Paragraphs>44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22472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Pedro Razo</cp:lastModifiedBy>
  <cp:revision>16</cp:revision>
  <cp:lastPrinted>2018-07-13T15:28:00Z</cp:lastPrinted>
  <dcterms:created xsi:type="dcterms:W3CDTF">2018-11-15T18:16:00Z</dcterms:created>
  <dcterms:modified xsi:type="dcterms:W3CDTF">2018-12-08T00:07:00Z</dcterms:modified>
</cp:coreProperties>
</file>