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A22791" w14:textId="77777777" w:rsidR="00471468" w:rsidRPr="005A2000" w:rsidRDefault="00471468" w:rsidP="005A2000">
      <w:pPr>
        <w:tabs>
          <w:tab w:val="left" w:pos="6840"/>
        </w:tabs>
        <w:spacing w:after="0" w:line="360" w:lineRule="auto"/>
        <w:jc w:val="both"/>
        <w:outlineLvl w:val="5"/>
        <w:rPr>
          <w:rFonts w:ascii="Arial" w:eastAsia="Times New Roman" w:hAnsi="Arial" w:cs="Arial"/>
          <w:color w:val="4F81BD" w:themeColor="accent1"/>
          <w:sz w:val="24"/>
          <w:szCs w:val="24"/>
          <w:lang w:eastAsia="es-ES"/>
        </w:rPr>
      </w:pPr>
      <w:r w:rsidRPr="005A2000">
        <w:rPr>
          <w:rFonts w:ascii="Arial" w:eastAsia="Times New Roman" w:hAnsi="Arial" w:cs="Arial"/>
          <w:color w:val="4F81BD" w:themeColor="accent1"/>
          <w:sz w:val="24"/>
          <w:szCs w:val="24"/>
          <w:lang w:eastAsia="es-ES"/>
        </w:rPr>
        <w:t xml:space="preserve">La suscrita Licenciada Marcela Acosta Ibáñez, Secretaria Proyectista adscrita a la Ponencia 1 de esta Comisión Estatal de Garantía de Acceso a la Información Pública, con fundamento en lo establecido por el artículo 34 de la vigente Ley de transparencia y acceso a la información pública del estado y el artículo 51 fracción VI del reglamento interior de la Comisión Estatal de Garantía de Acceso a la Información Pública - - - - - - - - - - - - - - - - - - - - - - - - - - - - - - - - - - - - - - - - - - - - - - - - - - - - - - - - - - - - - - - - - - - - - </w:t>
      </w:r>
      <w:r w:rsidRPr="005A2000">
        <w:rPr>
          <w:rFonts w:ascii="Arial" w:eastAsia="Times New Roman" w:hAnsi="Arial" w:cs="Arial"/>
          <w:b/>
          <w:color w:val="4F81BD" w:themeColor="accent1"/>
          <w:sz w:val="24"/>
          <w:szCs w:val="24"/>
          <w:lang w:eastAsia="es-ES"/>
        </w:rPr>
        <w:t>C E R T I F I C A</w:t>
      </w:r>
      <w:r w:rsidRPr="005A2000">
        <w:rPr>
          <w:rFonts w:ascii="Arial" w:eastAsia="Times New Roman" w:hAnsi="Arial" w:cs="Arial"/>
          <w:color w:val="4F81BD" w:themeColor="accent1"/>
          <w:sz w:val="24"/>
          <w:szCs w:val="24"/>
          <w:lang w:eastAsia="es-ES"/>
        </w:rPr>
        <w:t xml:space="preserve"> - - - - - - - - - - - - - - - - - - - - - </w:t>
      </w:r>
    </w:p>
    <w:p w14:paraId="38D4A9A3" w14:textId="77777777" w:rsidR="00471468" w:rsidRPr="005A2000" w:rsidRDefault="00471468" w:rsidP="005A2000">
      <w:pPr>
        <w:tabs>
          <w:tab w:val="left" w:pos="6840"/>
        </w:tabs>
        <w:spacing w:after="0" w:line="360" w:lineRule="auto"/>
        <w:jc w:val="both"/>
        <w:outlineLvl w:val="5"/>
        <w:rPr>
          <w:rFonts w:ascii="Arial" w:eastAsia="Times New Roman" w:hAnsi="Arial" w:cs="Arial"/>
          <w:color w:val="4F81BD" w:themeColor="accent1"/>
          <w:sz w:val="24"/>
          <w:szCs w:val="24"/>
          <w:lang w:eastAsia="es-ES"/>
        </w:rPr>
      </w:pPr>
      <w:r w:rsidRPr="005A2000">
        <w:rPr>
          <w:rFonts w:ascii="Arial" w:eastAsia="Times New Roman" w:hAnsi="Arial" w:cs="Arial"/>
          <w:color w:val="4F81BD" w:themeColor="accent1"/>
          <w:sz w:val="24"/>
          <w:szCs w:val="24"/>
          <w:lang w:eastAsia="es-ES"/>
        </w:rPr>
        <w:t xml:space="preserve">Que el término de 05 cinco días hábiles que se le concedió al recurrente de conformidad al proveído de 10 de agosto del presente año, para que manifieste lo que a su derecho convenga respecto del cumplimiento dado por el sujeto obligado a la resolución dictada dentro del presente recurso de revisión; mismo que fue  notificado al recurrente el 08 ocho de agosto de 2018 dos mil dieciocho, por lo que dicho plazo comenzó a correr el 09 nueve y concluyó el 15 quince de agosto, ambos de la anualidad en curso; descontándose los días inhábiles. Lo que se asienta para constancia legal en la ciudad de San Luis Potosí, San Luis Potosí a 30 treinta de octubre de 2018 dos mil dieciocho. </w:t>
      </w:r>
      <w:r w:rsidRPr="005A2000">
        <w:rPr>
          <w:rFonts w:ascii="Arial" w:eastAsia="Times New Roman" w:hAnsi="Arial" w:cs="Arial"/>
          <w:b/>
          <w:color w:val="4F81BD" w:themeColor="accent1"/>
          <w:sz w:val="24"/>
          <w:szCs w:val="24"/>
          <w:lang w:eastAsia="es-ES"/>
        </w:rPr>
        <w:t xml:space="preserve">DOY FE. - </w:t>
      </w:r>
    </w:p>
    <w:p w14:paraId="4DE865DF" w14:textId="0D7A7108" w:rsidR="00A832AB" w:rsidRDefault="00F853EE" w:rsidP="005A2000">
      <w:pPr>
        <w:tabs>
          <w:tab w:val="left" w:pos="6840"/>
        </w:tabs>
        <w:spacing w:after="0" w:line="360" w:lineRule="auto"/>
        <w:jc w:val="both"/>
        <w:outlineLvl w:val="5"/>
        <w:rPr>
          <w:rFonts w:ascii="Arial" w:eastAsia="Times New Roman" w:hAnsi="Arial" w:cs="Arial"/>
          <w:b/>
          <w:color w:val="4F81BD" w:themeColor="accent1"/>
          <w:sz w:val="24"/>
          <w:szCs w:val="24"/>
          <w:lang w:eastAsia="es-ES"/>
        </w:rPr>
      </w:pPr>
      <w:r w:rsidRPr="005A2000">
        <w:rPr>
          <w:rFonts w:ascii="Arial" w:eastAsia="Times New Roman" w:hAnsi="Arial" w:cs="Arial"/>
          <w:b/>
          <w:color w:val="4F81BD" w:themeColor="accent1"/>
          <w:sz w:val="24"/>
          <w:szCs w:val="24"/>
          <w:lang w:eastAsia="es-ES"/>
        </w:rPr>
        <w:t xml:space="preserve"> </w:t>
      </w:r>
    </w:p>
    <w:p w14:paraId="2D4EE97E" w14:textId="47605958" w:rsidR="005A2000" w:rsidRDefault="005A2000" w:rsidP="005A2000">
      <w:pPr>
        <w:tabs>
          <w:tab w:val="left" w:pos="6840"/>
        </w:tabs>
        <w:spacing w:after="0" w:line="360" w:lineRule="auto"/>
        <w:jc w:val="both"/>
        <w:outlineLvl w:val="5"/>
        <w:rPr>
          <w:rFonts w:ascii="Arial" w:eastAsia="Times New Roman" w:hAnsi="Arial" w:cs="Arial"/>
          <w:color w:val="4F81BD" w:themeColor="accent1"/>
          <w:sz w:val="24"/>
          <w:szCs w:val="24"/>
          <w:lang w:eastAsia="es-ES"/>
        </w:rPr>
      </w:pPr>
    </w:p>
    <w:p w14:paraId="56506540" w14:textId="77777777" w:rsidR="005A2000" w:rsidRPr="005A2000" w:rsidRDefault="005A2000" w:rsidP="005A2000">
      <w:pPr>
        <w:tabs>
          <w:tab w:val="left" w:pos="6840"/>
        </w:tabs>
        <w:spacing w:after="0" w:line="360" w:lineRule="auto"/>
        <w:jc w:val="both"/>
        <w:outlineLvl w:val="5"/>
        <w:rPr>
          <w:rFonts w:ascii="Arial" w:eastAsia="Times New Roman" w:hAnsi="Arial" w:cs="Arial"/>
          <w:color w:val="4F81BD" w:themeColor="accent1"/>
          <w:sz w:val="24"/>
          <w:szCs w:val="24"/>
          <w:lang w:eastAsia="es-ES"/>
        </w:rPr>
      </w:pPr>
    </w:p>
    <w:p w14:paraId="5120B5D8" w14:textId="77777777" w:rsidR="00A832AB" w:rsidRPr="005A2000" w:rsidRDefault="00FF56CF" w:rsidP="005A2000">
      <w:pPr>
        <w:tabs>
          <w:tab w:val="left" w:pos="6840"/>
        </w:tabs>
        <w:spacing w:after="0" w:line="360" w:lineRule="auto"/>
        <w:ind w:left="708" w:firstLine="709"/>
        <w:jc w:val="right"/>
        <w:outlineLvl w:val="5"/>
        <w:rPr>
          <w:rFonts w:ascii="Arial" w:hAnsi="Arial" w:cs="Arial"/>
          <w:color w:val="4F81BD" w:themeColor="accent1"/>
          <w:sz w:val="24"/>
          <w:szCs w:val="24"/>
        </w:rPr>
      </w:pPr>
      <w:r w:rsidRPr="005A2000">
        <w:rPr>
          <w:rFonts w:ascii="Arial" w:hAnsi="Arial" w:cs="Arial"/>
          <w:color w:val="4F81BD" w:themeColor="accent1"/>
          <w:sz w:val="24"/>
          <w:szCs w:val="24"/>
        </w:rPr>
        <w:t xml:space="preserve">        </w:t>
      </w:r>
      <w:r w:rsidR="00266ADC" w:rsidRPr="005A2000">
        <w:rPr>
          <w:rFonts w:ascii="Arial" w:hAnsi="Arial" w:cs="Arial"/>
          <w:color w:val="4F81BD" w:themeColor="accent1"/>
          <w:sz w:val="24"/>
          <w:szCs w:val="24"/>
        </w:rPr>
        <w:t xml:space="preserve">                                                                       </w:t>
      </w:r>
      <w:r w:rsidR="00C7664A" w:rsidRPr="005A2000">
        <w:rPr>
          <w:rFonts w:ascii="Arial" w:hAnsi="Arial" w:cs="Arial"/>
          <w:color w:val="4F81BD" w:themeColor="accent1"/>
          <w:sz w:val="24"/>
          <w:szCs w:val="24"/>
        </w:rPr>
        <w:t xml:space="preserve">                        </w:t>
      </w:r>
      <w:r w:rsidR="00C0019F" w:rsidRPr="005A2000">
        <w:rPr>
          <w:rFonts w:ascii="Arial" w:hAnsi="Arial" w:cs="Arial"/>
          <w:color w:val="4F81BD" w:themeColor="accent1"/>
          <w:sz w:val="24"/>
          <w:szCs w:val="24"/>
        </w:rPr>
        <w:t xml:space="preserve">               </w:t>
      </w:r>
      <w:r w:rsidR="00B84B92" w:rsidRPr="005A2000">
        <w:rPr>
          <w:rFonts w:ascii="Arial" w:hAnsi="Arial" w:cs="Arial"/>
          <w:color w:val="4F81BD" w:themeColor="accent1"/>
          <w:sz w:val="24"/>
          <w:szCs w:val="24"/>
        </w:rPr>
        <w:t xml:space="preserve">   </w:t>
      </w:r>
      <w:r w:rsidR="000A4F5D" w:rsidRPr="005A2000">
        <w:rPr>
          <w:rFonts w:ascii="Arial" w:hAnsi="Arial" w:cs="Arial"/>
          <w:color w:val="4F81BD" w:themeColor="accent1"/>
          <w:sz w:val="24"/>
          <w:szCs w:val="24"/>
        </w:rPr>
        <w:t xml:space="preserve">  </w:t>
      </w:r>
      <w:r w:rsidR="008D0A3C" w:rsidRPr="005A2000">
        <w:rPr>
          <w:rFonts w:ascii="Arial" w:hAnsi="Arial" w:cs="Arial"/>
          <w:color w:val="4F81BD" w:themeColor="accent1"/>
          <w:sz w:val="24"/>
          <w:szCs w:val="24"/>
        </w:rPr>
        <w:t xml:space="preserve">    </w:t>
      </w:r>
      <w:r w:rsidR="006F5A3A" w:rsidRPr="005A2000">
        <w:rPr>
          <w:rFonts w:ascii="Arial" w:hAnsi="Arial" w:cs="Arial"/>
          <w:color w:val="4F81BD" w:themeColor="accent1"/>
          <w:sz w:val="24"/>
          <w:szCs w:val="24"/>
        </w:rPr>
        <w:t xml:space="preserve">        </w:t>
      </w:r>
      <w:r w:rsidR="00F14988" w:rsidRPr="005A2000">
        <w:rPr>
          <w:rFonts w:ascii="Arial" w:hAnsi="Arial" w:cs="Arial"/>
          <w:color w:val="4F81BD" w:themeColor="accent1"/>
          <w:sz w:val="24"/>
          <w:szCs w:val="24"/>
        </w:rPr>
        <w:t xml:space="preserve">     </w:t>
      </w:r>
    </w:p>
    <w:p w14:paraId="02AA5CFD" w14:textId="4DE28626" w:rsidR="00C0019F" w:rsidRPr="005A2000" w:rsidRDefault="00A04BCB" w:rsidP="005A2000">
      <w:pPr>
        <w:tabs>
          <w:tab w:val="left" w:pos="6840"/>
        </w:tabs>
        <w:spacing w:after="0" w:line="360" w:lineRule="auto"/>
        <w:ind w:firstLine="708"/>
        <w:outlineLvl w:val="5"/>
        <w:rPr>
          <w:rFonts w:ascii="Arial" w:hAnsi="Arial" w:cs="Arial"/>
          <w:color w:val="4F81BD" w:themeColor="accent1"/>
          <w:sz w:val="24"/>
          <w:szCs w:val="24"/>
        </w:rPr>
      </w:pPr>
      <w:r w:rsidRPr="005A2000">
        <w:rPr>
          <w:rFonts w:ascii="Arial" w:hAnsi="Arial" w:cs="Arial"/>
          <w:color w:val="4F81BD" w:themeColor="accent1"/>
          <w:sz w:val="24"/>
          <w:szCs w:val="24"/>
        </w:rPr>
        <w:t xml:space="preserve">San Luis Potosí, </w:t>
      </w:r>
      <w:r w:rsidR="002D0070" w:rsidRPr="005A2000">
        <w:rPr>
          <w:rFonts w:ascii="Arial" w:hAnsi="Arial" w:cs="Arial"/>
          <w:color w:val="4F81BD" w:themeColor="accent1"/>
          <w:sz w:val="24"/>
          <w:szCs w:val="24"/>
        </w:rPr>
        <w:t>S</w:t>
      </w:r>
      <w:r w:rsidR="00A832AB" w:rsidRPr="005A2000">
        <w:rPr>
          <w:rFonts w:ascii="Arial" w:hAnsi="Arial" w:cs="Arial"/>
          <w:color w:val="4F81BD" w:themeColor="accent1"/>
          <w:sz w:val="24"/>
          <w:szCs w:val="24"/>
        </w:rPr>
        <w:t xml:space="preserve">an </w:t>
      </w:r>
      <w:r w:rsidR="002D0070" w:rsidRPr="005A2000">
        <w:rPr>
          <w:rFonts w:ascii="Arial" w:hAnsi="Arial" w:cs="Arial"/>
          <w:color w:val="4F81BD" w:themeColor="accent1"/>
          <w:sz w:val="24"/>
          <w:szCs w:val="24"/>
        </w:rPr>
        <w:t>L</w:t>
      </w:r>
      <w:r w:rsidR="00A832AB" w:rsidRPr="005A2000">
        <w:rPr>
          <w:rFonts w:ascii="Arial" w:hAnsi="Arial" w:cs="Arial"/>
          <w:color w:val="4F81BD" w:themeColor="accent1"/>
          <w:sz w:val="24"/>
          <w:szCs w:val="24"/>
        </w:rPr>
        <w:t xml:space="preserve">uis </w:t>
      </w:r>
      <w:r w:rsidR="002D0070" w:rsidRPr="005A2000">
        <w:rPr>
          <w:rFonts w:ascii="Arial" w:hAnsi="Arial" w:cs="Arial"/>
          <w:color w:val="4F81BD" w:themeColor="accent1"/>
          <w:sz w:val="24"/>
          <w:szCs w:val="24"/>
        </w:rPr>
        <w:t>P</w:t>
      </w:r>
      <w:r w:rsidR="00A832AB" w:rsidRPr="005A2000">
        <w:rPr>
          <w:rFonts w:ascii="Arial" w:hAnsi="Arial" w:cs="Arial"/>
          <w:color w:val="4F81BD" w:themeColor="accent1"/>
          <w:sz w:val="24"/>
          <w:szCs w:val="24"/>
        </w:rPr>
        <w:t>otosí</w:t>
      </w:r>
      <w:r w:rsidRPr="005A2000">
        <w:rPr>
          <w:rFonts w:ascii="Arial" w:hAnsi="Arial" w:cs="Arial"/>
          <w:color w:val="4F81BD" w:themeColor="accent1"/>
          <w:sz w:val="24"/>
          <w:szCs w:val="24"/>
        </w:rPr>
        <w:t xml:space="preserve">, </w:t>
      </w:r>
      <w:r w:rsidR="00D00F35" w:rsidRPr="005A2000">
        <w:rPr>
          <w:rFonts w:ascii="Arial" w:eastAsia="Times New Roman" w:hAnsi="Arial" w:cs="Arial"/>
          <w:color w:val="4F81BD" w:themeColor="accent1"/>
          <w:sz w:val="24"/>
          <w:szCs w:val="24"/>
          <w:lang w:eastAsia="es-ES"/>
        </w:rPr>
        <w:t>30 treinta</w:t>
      </w:r>
      <w:r w:rsidR="000054C8" w:rsidRPr="005A2000">
        <w:rPr>
          <w:rFonts w:ascii="Arial" w:eastAsia="Times New Roman" w:hAnsi="Arial" w:cs="Arial"/>
          <w:color w:val="4F81BD" w:themeColor="accent1"/>
          <w:sz w:val="24"/>
          <w:szCs w:val="24"/>
          <w:lang w:eastAsia="es-ES"/>
        </w:rPr>
        <w:t xml:space="preserve"> de octubre </w:t>
      </w:r>
      <w:r w:rsidR="00322003" w:rsidRPr="005A2000">
        <w:rPr>
          <w:rFonts w:ascii="Arial" w:hAnsi="Arial" w:cs="Arial"/>
          <w:color w:val="4F81BD" w:themeColor="accent1"/>
          <w:sz w:val="24"/>
          <w:szCs w:val="24"/>
        </w:rPr>
        <w:t xml:space="preserve">de </w:t>
      </w:r>
      <w:r w:rsidR="0066177E" w:rsidRPr="005A2000">
        <w:rPr>
          <w:rFonts w:ascii="Arial" w:hAnsi="Arial" w:cs="Arial"/>
          <w:color w:val="4F81BD" w:themeColor="accent1"/>
          <w:sz w:val="24"/>
          <w:szCs w:val="24"/>
        </w:rPr>
        <w:t xml:space="preserve">2018 </w:t>
      </w:r>
      <w:r w:rsidR="00B4587C" w:rsidRPr="005A2000">
        <w:rPr>
          <w:rFonts w:ascii="Arial" w:hAnsi="Arial" w:cs="Arial"/>
          <w:color w:val="4F81BD" w:themeColor="accent1"/>
          <w:sz w:val="24"/>
          <w:szCs w:val="24"/>
        </w:rPr>
        <w:t>dos mil dieci</w:t>
      </w:r>
      <w:r w:rsidR="00E44B4D" w:rsidRPr="005A2000">
        <w:rPr>
          <w:rFonts w:ascii="Arial" w:hAnsi="Arial" w:cs="Arial"/>
          <w:color w:val="4F81BD" w:themeColor="accent1"/>
          <w:sz w:val="24"/>
          <w:szCs w:val="24"/>
        </w:rPr>
        <w:t>ocho</w:t>
      </w:r>
      <w:r w:rsidRPr="005A2000">
        <w:rPr>
          <w:rFonts w:ascii="Arial" w:hAnsi="Arial" w:cs="Arial"/>
          <w:color w:val="4F81BD" w:themeColor="accent1"/>
          <w:sz w:val="24"/>
          <w:szCs w:val="24"/>
        </w:rPr>
        <w:t>.</w:t>
      </w:r>
      <w:r w:rsidR="006F5A3A" w:rsidRPr="005A2000">
        <w:rPr>
          <w:rFonts w:ascii="Arial" w:hAnsi="Arial" w:cs="Arial"/>
          <w:color w:val="4F81BD" w:themeColor="accent1"/>
          <w:sz w:val="24"/>
          <w:szCs w:val="24"/>
        </w:rPr>
        <w:t xml:space="preserve">    </w:t>
      </w:r>
    </w:p>
    <w:p w14:paraId="5CBE00D8" w14:textId="77777777" w:rsidR="001C3373" w:rsidRPr="005A2000" w:rsidRDefault="001C3373" w:rsidP="005A2000">
      <w:pPr>
        <w:tabs>
          <w:tab w:val="left" w:pos="6840"/>
        </w:tabs>
        <w:spacing w:after="0" w:line="360" w:lineRule="auto"/>
        <w:outlineLvl w:val="5"/>
        <w:rPr>
          <w:rFonts w:ascii="Arial" w:hAnsi="Arial" w:cs="Arial"/>
          <w:color w:val="4F81BD" w:themeColor="accent1"/>
          <w:sz w:val="24"/>
          <w:szCs w:val="24"/>
        </w:rPr>
      </w:pPr>
    </w:p>
    <w:p w14:paraId="00333B63" w14:textId="1DF2D652" w:rsidR="00791265" w:rsidRPr="005A2000" w:rsidRDefault="0038176B" w:rsidP="005A2000">
      <w:pPr>
        <w:spacing w:after="0" w:line="360" w:lineRule="auto"/>
        <w:ind w:firstLine="708"/>
        <w:jc w:val="both"/>
        <w:rPr>
          <w:rFonts w:ascii="Arial" w:hAnsi="Arial" w:cs="Arial"/>
          <w:color w:val="4F81BD" w:themeColor="accent1"/>
          <w:sz w:val="24"/>
          <w:szCs w:val="24"/>
        </w:rPr>
      </w:pPr>
      <w:r w:rsidRPr="005A2000">
        <w:rPr>
          <w:rFonts w:ascii="Arial" w:hAnsi="Arial" w:cs="Arial"/>
          <w:color w:val="4F81BD" w:themeColor="accent1"/>
          <w:sz w:val="24"/>
          <w:szCs w:val="24"/>
        </w:rPr>
        <w:t>Visto el estado que guardan los presentes autos y de una revisión a las constancias que integran el expediente c</w:t>
      </w:r>
      <w:r w:rsidR="00774BC8" w:rsidRPr="005A2000">
        <w:rPr>
          <w:rFonts w:ascii="Arial" w:hAnsi="Arial" w:cs="Arial"/>
          <w:color w:val="4F81BD" w:themeColor="accent1"/>
          <w:sz w:val="24"/>
          <w:szCs w:val="24"/>
        </w:rPr>
        <w:t>o</w:t>
      </w:r>
      <w:r w:rsidR="001A14C5" w:rsidRPr="005A2000">
        <w:rPr>
          <w:rFonts w:ascii="Arial" w:hAnsi="Arial" w:cs="Arial"/>
          <w:color w:val="4F81BD" w:themeColor="accent1"/>
          <w:sz w:val="24"/>
          <w:szCs w:val="24"/>
        </w:rPr>
        <w:t>n fundamento en los artículos 8</w:t>
      </w:r>
      <w:r w:rsidR="00FF0E16" w:rsidRPr="005A2000">
        <w:rPr>
          <w:rFonts w:ascii="Arial" w:hAnsi="Arial" w:cs="Arial"/>
          <w:color w:val="4F81BD" w:themeColor="accent1"/>
          <w:sz w:val="24"/>
          <w:szCs w:val="24"/>
        </w:rPr>
        <w:t>;</w:t>
      </w:r>
      <w:r w:rsidR="001A14C5" w:rsidRPr="005A2000">
        <w:rPr>
          <w:rFonts w:ascii="Arial" w:hAnsi="Arial" w:cs="Arial"/>
          <w:color w:val="4F81BD" w:themeColor="accent1"/>
          <w:sz w:val="24"/>
          <w:szCs w:val="24"/>
        </w:rPr>
        <w:t xml:space="preserve"> 10</w:t>
      </w:r>
      <w:r w:rsidR="00FF0E16" w:rsidRPr="005A2000">
        <w:rPr>
          <w:rFonts w:ascii="Arial" w:hAnsi="Arial" w:cs="Arial"/>
          <w:color w:val="4F81BD" w:themeColor="accent1"/>
          <w:sz w:val="24"/>
          <w:szCs w:val="24"/>
        </w:rPr>
        <w:t>;</w:t>
      </w:r>
      <w:r w:rsidR="001A14C5" w:rsidRPr="005A2000">
        <w:rPr>
          <w:rFonts w:ascii="Arial" w:hAnsi="Arial" w:cs="Arial"/>
          <w:color w:val="4F81BD" w:themeColor="accent1"/>
          <w:sz w:val="24"/>
          <w:szCs w:val="24"/>
        </w:rPr>
        <w:t xml:space="preserve"> 27</w:t>
      </w:r>
      <w:r w:rsidR="00FF0E16" w:rsidRPr="005A2000">
        <w:rPr>
          <w:rFonts w:ascii="Arial" w:hAnsi="Arial" w:cs="Arial"/>
          <w:color w:val="4F81BD" w:themeColor="accent1"/>
          <w:sz w:val="24"/>
          <w:szCs w:val="24"/>
        </w:rPr>
        <w:t>,</w:t>
      </w:r>
      <w:r w:rsidR="001A14C5" w:rsidRPr="005A2000">
        <w:rPr>
          <w:rFonts w:ascii="Arial" w:hAnsi="Arial" w:cs="Arial"/>
          <w:color w:val="4F81BD" w:themeColor="accent1"/>
          <w:sz w:val="24"/>
          <w:szCs w:val="24"/>
        </w:rPr>
        <w:t xml:space="preserve"> primer párrafo</w:t>
      </w:r>
      <w:r w:rsidR="00FF0E16" w:rsidRPr="005A2000">
        <w:rPr>
          <w:rFonts w:ascii="Arial" w:hAnsi="Arial" w:cs="Arial"/>
          <w:color w:val="4F81BD" w:themeColor="accent1"/>
          <w:sz w:val="24"/>
          <w:szCs w:val="24"/>
        </w:rPr>
        <w:t>;</w:t>
      </w:r>
      <w:r w:rsidR="001A14C5" w:rsidRPr="005A2000">
        <w:rPr>
          <w:rFonts w:ascii="Arial" w:hAnsi="Arial" w:cs="Arial"/>
          <w:color w:val="4F81BD" w:themeColor="accent1"/>
          <w:sz w:val="24"/>
          <w:szCs w:val="24"/>
        </w:rPr>
        <w:t xml:space="preserve"> 184 y 185 de la Ley de Transparencia y Acceso a la Información Pública del Estado, es</w:t>
      </w:r>
      <w:r w:rsidRPr="005A2000">
        <w:rPr>
          <w:rFonts w:ascii="Arial" w:hAnsi="Arial" w:cs="Arial"/>
          <w:color w:val="4F81BD" w:themeColor="accent1"/>
          <w:sz w:val="24"/>
          <w:szCs w:val="24"/>
        </w:rPr>
        <w:t xml:space="preserve">ta Comisión procede a analizar el presente sumario </w:t>
      </w:r>
      <w:r w:rsidR="001A14C5" w:rsidRPr="005A2000">
        <w:rPr>
          <w:rFonts w:ascii="Arial" w:hAnsi="Arial" w:cs="Arial"/>
          <w:color w:val="4F81BD" w:themeColor="accent1"/>
          <w:sz w:val="24"/>
          <w:szCs w:val="24"/>
        </w:rPr>
        <w:t>a efecto de determinar el cumplimi</w:t>
      </w:r>
      <w:r w:rsidRPr="005A2000">
        <w:rPr>
          <w:rFonts w:ascii="Arial" w:hAnsi="Arial" w:cs="Arial"/>
          <w:color w:val="4F81BD" w:themeColor="accent1"/>
          <w:sz w:val="24"/>
          <w:szCs w:val="24"/>
        </w:rPr>
        <w:t>ento o incumplimiento a la resolu</w:t>
      </w:r>
      <w:r w:rsidR="001A3205" w:rsidRPr="005A2000">
        <w:rPr>
          <w:rFonts w:ascii="Arial" w:hAnsi="Arial" w:cs="Arial"/>
          <w:color w:val="4F81BD" w:themeColor="accent1"/>
          <w:sz w:val="24"/>
          <w:szCs w:val="24"/>
        </w:rPr>
        <w:t>ción dictada en el recurso de rev</w:t>
      </w:r>
      <w:r w:rsidR="00F35188" w:rsidRPr="005A2000">
        <w:rPr>
          <w:rFonts w:ascii="Arial" w:hAnsi="Arial" w:cs="Arial"/>
          <w:color w:val="4F81BD" w:themeColor="accent1"/>
          <w:sz w:val="24"/>
          <w:szCs w:val="24"/>
        </w:rPr>
        <w:t xml:space="preserve">isión que se </w:t>
      </w:r>
      <w:r w:rsidR="002D371A" w:rsidRPr="005A2000">
        <w:rPr>
          <w:rFonts w:ascii="Arial" w:hAnsi="Arial" w:cs="Arial"/>
          <w:color w:val="4F81BD" w:themeColor="accent1"/>
          <w:sz w:val="24"/>
          <w:szCs w:val="24"/>
        </w:rPr>
        <w:t>actúa.</w:t>
      </w:r>
    </w:p>
    <w:p w14:paraId="4879F212" w14:textId="77777777" w:rsidR="004846F9" w:rsidRPr="005A2000" w:rsidRDefault="004846F9" w:rsidP="005A2000">
      <w:pPr>
        <w:spacing w:after="0" w:line="360" w:lineRule="auto"/>
        <w:ind w:firstLine="708"/>
        <w:jc w:val="both"/>
        <w:rPr>
          <w:rFonts w:ascii="Arial" w:hAnsi="Arial" w:cs="Arial"/>
          <w:color w:val="4F81BD" w:themeColor="accent1"/>
          <w:sz w:val="24"/>
          <w:szCs w:val="24"/>
        </w:rPr>
      </w:pPr>
    </w:p>
    <w:p w14:paraId="094883B8" w14:textId="2C2B1021" w:rsidR="002D371A" w:rsidRPr="005A2000" w:rsidRDefault="001A14C5" w:rsidP="005A2000">
      <w:pPr>
        <w:spacing w:after="0" w:line="360" w:lineRule="auto"/>
        <w:ind w:firstLine="708"/>
        <w:jc w:val="both"/>
        <w:rPr>
          <w:rFonts w:ascii="Arial" w:hAnsi="Arial" w:cs="Arial"/>
          <w:color w:val="4F81BD" w:themeColor="accent1"/>
          <w:sz w:val="24"/>
          <w:szCs w:val="24"/>
        </w:rPr>
      </w:pPr>
      <w:r w:rsidRPr="005A2000">
        <w:rPr>
          <w:rFonts w:ascii="Arial" w:hAnsi="Arial" w:cs="Arial"/>
          <w:color w:val="4F81BD" w:themeColor="accent1"/>
          <w:sz w:val="24"/>
          <w:szCs w:val="24"/>
        </w:rPr>
        <w:t>En p</w:t>
      </w:r>
      <w:r w:rsidR="002D371A" w:rsidRPr="005A2000">
        <w:rPr>
          <w:rFonts w:ascii="Arial" w:hAnsi="Arial" w:cs="Arial"/>
          <w:color w:val="4F81BD" w:themeColor="accent1"/>
          <w:sz w:val="24"/>
          <w:szCs w:val="24"/>
        </w:rPr>
        <w:t xml:space="preserve">rimer </w:t>
      </w:r>
      <w:r w:rsidR="00FF0E16" w:rsidRPr="005A2000">
        <w:rPr>
          <w:rFonts w:ascii="Arial" w:hAnsi="Arial" w:cs="Arial"/>
          <w:color w:val="4F81BD" w:themeColor="accent1"/>
          <w:sz w:val="24"/>
          <w:szCs w:val="24"/>
        </w:rPr>
        <w:t>término</w:t>
      </w:r>
      <w:r w:rsidR="002D371A" w:rsidRPr="005A2000">
        <w:rPr>
          <w:rFonts w:ascii="Arial" w:hAnsi="Arial" w:cs="Arial"/>
          <w:color w:val="4F81BD" w:themeColor="accent1"/>
          <w:sz w:val="24"/>
          <w:szCs w:val="24"/>
        </w:rPr>
        <w:t xml:space="preserve">, </w:t>
      </w:r>
      <w:r w:rsidR="00FF0E16" w:rsidRPr="005A2000">
        <w:rPr>
          <w:rFonts w:ascii="Arial" w:hAnsi="Arial" w:cs="Arial"/>
          <w:color w:val="4F81BD" w:themeColor="accent1"/>
          <w:sz w:val="24"/>
          <w:szCs w:val="24"/>
        </w:rPr>
        <w:t>resulta necesario</w:t>
      </w:r>
      <w:r w:rsidR="002D371A" w:rsidRPr="005A2000">
        <w:rPr>
          <w:rFonts w:ascii="Arial" w:hAnsi="Arial" w:cs="Arial"/>
          <w:color w:val="4F81BD" w:themeColor="accent1"/>
          <w:sz w:val="24"/>
          <w:szCs w:val="24"/>
        </w:rPr>
        <w:t xml:space="preserve"> insertar los efectos dictados en la resolución:</w:t>
      </w:r>
    </w:p>
    <w:p w14:paraId="3DF1F047" w14:textId="77777777" w:rsidR="00490BC0" w:rsidRPr="005A2000" w:rsidRDefault="00490BC0" w:rsidP="005A2000">
      <w:pPr>
        <w:pStyle w:val="corte4fondo"/>
        <w:tabs>
          <w:tab w:val="left" w:pos="567"/>
        </w:tabs>
        <w:rPr>
          <w:rFonts w:cs="Arial"/>
          <w:i/>
          <w:color w:val="4F81BD" w:themeColor="accent1"/>
          <w:sz w:val="24"/>
          <w:szCs w:val="24"/>
        </w:rPr>
      </w:pPr>
    </w:p>
    <w:p w14:paraId="033F4EB1" w14:textId="0AE2322D" w:rsidR="000054C8" w:rsidRPr="005A2000" w:rsidRDefault="00490BC0" w:rsidP="005A2000">
      <w:pPr>
        <w:pStyle w:val="corte4fondo"/>
        <w:tabs>
          <w:tab w:val="left" w:pos="567"/>
        </w:tabs>
        <w:rPr>
          <w:rFonts w:cs="Arial"/>
          <w:i/>
          <w:color w:val="4F81BD" w:themeColor="accent1"/>
          <w:sz w:val="24"/>
          <w:szCs w:val="24"/>
        </w:rPr>
      </w:pPr>
      <w:r w:rsidRPr="005A2000">
        <w:rPr>
          <w:rFonts w:cs="Arial"/>
          <w:i/>
          <w:color w:val="4F81BD" w:themeColor="accent1"/>
          <w:sz w:val="24"/>
          <w:szCs w:val="24"/>
        </w:rPr>
        <w:t>“</w:t>
      </w:r>
      <w:r w:rsidR="00093F23" w:rsidRPr="005A2000">
        <w:rPr>
          <w:rFonts w:cs="Arial"/>
          <w:i/>
          <w:color w:val="4F81BD" w:themeColor="accent1"/>
          <w:sz w:val="24"/>
          <w:szCs w:val="24"/>
        </w:rPr>
        <w:t>[</w:t>
      </w:r>
      <w:r w:rsidRPr="005A2000">
        <w:rPr>
          <w:rFonts w:cs="Arial"/>
          <w:i/>
          <w:color w:val="4F81BD" w:themeColor="accent1"/>
          <w:sz w:val="24"/>
          <w:szCs w:val="24"/>
        </w:rPr>
        <w:t>…</w:t>
      </w:r>
      <w:r w:rsidR="00093F23" w:rsidRPr="005A2000">
        <w:rPr>
          <w:rFonts w:cs="Arial"/>
          <w:i/>
          <w:color w:val="4F81BD" w:themeColor="accent1"/>
          <w:sz w:val="24"/>
          <w:szCs w:val="24"/>
        </w:rPr>
        <w:t>]</w:t>
      </w:r>
      <w:r w:rsidR="005A2000">
        <w:rPr>
          <w:rFonts w:cs="Arial"/>
          <w:i/>
          <w:color w:val="4F81BD" w:themeColor="accent1"/>
          <w:sz w:val="24"/>
          <w:szCs w:val="24"/>
        </w:rPr>
        <w:t xml:space="preserve"> </w:t>
      </w:r>
      <w:bookmarkStart w:id="0" w:name="_GoBack"/>
      <w:bookmarkEnd w:id="0"/>
      <w:r w:rsidR="000054C8" w:rsidRPr="005A2000">
        <w:rPr>
          <w:rFonts w:cs="Arial"/>
          <w:i/>
          <w:color w:val="4F81BD" w:themeColor="accent1"/>
          <w:sz w:val="24"/>
          <w:szCs w:val="24"/>
        </w:rPr>
        <w:t xml:space="preserve">En las condiciones anotadas, esta comisión Estatal de Garantía de Acceso a la Información Pública de conformidad con el artículo 175, fracción III de la ley de Transparencia y Acceso a la Información Pública del Estado </w:t>
      </w:r>
      <w:r w:rsidR="000054C8" w:rsidRPr="005A2000">
        <w:rPr>
          <w:rFonts w:cs="Arial"/>
          <w:b/>
          <w:i/>
          <w:color w:val="4F81BD" w:themeColor="accent1"/>
          <w:sz w:val="24"/>
          <w:szCs w:val="24"/>
        </w:rPr>
        <w:t>modifica</w:t>
      </w:r>
      <w:r w:rsidR="000054C8" w:rsidRPr="005A2000">
        <w:rPr>
          <w:rFonts w:cs="Arial"/>
          <w:i/>
          <w:color w:val="4F81BD" w:themeColor="accent1"/>
          <w:sz w:val="24"/>
          <w:szCs w:val="24"/>
        </w:rPr>
        <w:t xml:space="preserve"> la respuesta proporcionada por el sujeto obligado y lo conmina a entregar:</w:t>
      </w:r>
    </w:p>
    <w:p w14:paraId="219A3140" w14:textId="753807BE" w:rsidR="005A774A" w:rsidRPr="005A2000" w:rsidRDefault="000054C8" w:rsidP="005A2000">
      <w:pPr>
        <w:pStyle w:val="corte4fondo"/>
        <w:numPr>
          <w:ilvl w:val="0"/>
          <w:numId w:val="20"/>
        </w:numPr>
        <w:tabs>
          <w:tab w:val="left" w:pos="567"/>
        </w:tabs>
        <w:rPr>
          <w:rFonts w:cs="Arial"/>
          <w:i/>
          <w:color w:val="4F81BD" w:themeColor="accent1"/>
          <w:sz w:val="24"/>
          <w:szCs w:val="24"/>
        </w:rPr>
      </w:pPr>
      <w:r w:rsidRPr="005A2000">
        <w:rPr>
          <w:rFonts w:cs="Arial"/>
          <w:i/>
          <w:color w:val="4F81BD" w:themeColor="accent1"/>
          <w:sz w:val="24"/>
          <w:szCs w:val="24"/>
        </w:rPr>
        <w:lastRenderedPageBreak/>
        <w:t xml:space="preserve">La notificación de Gobierno del Estado y/o Secretaria de Hacienda y Crédito Público, en la que conste que la información técnica fue insuficiente, y como consecuencia no fueron enviados los recursos al fondo metropolitano. </w:t>
      </w:r>
      <w:r w:rsidR="00093F23" w:rsidRPr="005A2000">
        <w:rPr>
          <w:rFonts w:cs="Arial"/>
          <w:i/>
          <w:color w:val="4F81BD" w:themeColor="accent1"/>
          <w:sz w:val="24"/>
          <w:szCs w:val="24"/>
        </w:rPr>
        <w:t>[…]</w:t>
      </w:r>
      <w:r w:rsidR="00A84974" w:rsidRPr="005A2000">
        <w:rPr>
          <w:rFonts w:cs="Arial"/>
          <w:i/>
          <w:color w:val="4F81BD" w:themeColor="accent1"/>
          <w:sz w:val="24"/>
          <w:szCs w:val="24"/>
        </w:rPr>
        <w:t xml:space="preserve">” </w:t>
      </w:r>
    </w:p>
    <w:p w14:paraId="0B9188AE" w14:textId="77777777" w:rsidR="004846F9" w:rsidRPr="005A2000" w:rsidRDefault="004846F9" w:rsidP="005A2000">
      <w:pPr>
        <w:spacing w:after="0" w:line="360" w:lineRule="auto"/>
        <w:jc w:val="both"/>
        <w:rPr>
          <w:rFonts w:ascii="Arial" w:hAnsi="Arial" w:cs="Arial"/>
          <w:color w:val="4F81BD" w:themeColor="accent1"/>
          <w:sz w:val="24"/>
          <w:szCs w:val="24"/>
        </w:rPr>
      </w:pPr>
    </w:p>
    <w:p w14:paraId="3ADF29FF" w14:textId="018DECC7" w:rsidR="00510B8D" w:rsidRPr="005A2000" w:rsidRDefault="00093F23" w:rsidP="005A2000">
      <w:pPr>
        <w:spacing w:after="0" w:line="360" w:lineRule="auto"/>
        <w:ind w:firstLine="708"/>
        <w:jc w:val="both"/>
        <w:rPr>
          <w:rFonts w:ascii="Arial" w:hAnsi="Arial" w:cs="Arial"/>
          <w:color w:val="4F81BD" w:themeColor="accent1"/>
          <w:sz w:val="24"/>
          <w:szCs w:val="24"/>
        </w:rPr>
      </w:pPr>
      <w:r w:rsidRPr="005A2000">
        <w:rPr>
          <w:rFonts w:ascii="Arial" w:hAnsi="Arial" w:cs="Arial"/>
          <w:color w:val="4F81BD" w:themeColor="accent1"/>
          <w:sz w:val="24"/>
          <w:szCs w:val="24"/>
        </w:rPr>
        <w:t>Debido a</w:t>
      </w:r>
      <w:r w:rsidR="00490BC0" w:rsidRPr="005A2000">
        <w:rPr>
          <w:rFonts w:ascii="Arial" w:hAnsi="Arial" w:cs="Arial"/>
          <w:color w:val="4F81BD" w:themeColor="accent1"/>
          <w:sz w:val="24"/>
          <w:szCs w:val="24"/>
        </w:rPr>
        <w:t xml:space="preserve"> lo anterior, el sujeto obligado </w:t>
      </w:r>
      <w:r w:rsidRPr="005A2000">
        <w:rPr>
          <w:rFonts w:ascii="Arial" w:hAnsi="Arial" w:cs="Arial"/>
          <w:color w:val="4F81BD" w:themeColor="accent1"/>
          <w:sz w:val="24"/>
          <w:szCs w:val="24"/>
        </w:rPr>
        <w:t xml:space="preserve">por conducto del Titular de la Unidad de </w:t>
      </w:r>
      <w:r w:rsidR="00691693" w:rsidRPr="005A2000">
        <w:rPr>
          <w:rFonts w:ascii="Arial" w:hAnsi="Arial" w:cs="Arial"/>
          <w:color w:val="4F81BD" w:themeColor="accent1"/>
          <w:sz w:val="24"/>
          <w:szCs w:val="24"/>
        </w:rPr>
        <w:t>Transparencia</w:t>
      </w:r>
      <w:r w:rsidRPr="005A2000">
        <w:rPr>
          <w:rFonts w:ascii="Arial" w:hAnsi="Arial" w:cs="Arial"/>
          <w:color w:val="4F81BD" w:themeColor="accent1"/>
          <w:sz w:val="24"/>
          <w:szCs w:val="24"/>
        </w:rPr>
        <w:t xml:space="preserve"> presentó el</w:t>
      </w:r>
      <w:r w:rsidR="00490BC0" w:rsidRPr="005A2000">
        <w:rPr>
          <w:rFonts w:ascii="Arial" w:hAnsi="Arial" w:cs="Arial"/>
          <w:color w:val="4F81BD" w:themeColor="accent1"/>
          <w:sz w:val="24"/>
          <w:szCs w:val="24"/>
        </w:rPr>
        <w:t xml:space="preserve"> oficio </w:t>
      </w:r>
      <w:r w:rsidR="000054C8" w:rsidRPr="005A2000">
        <w:rPr>
          <w:rFonts w:ascii="Arial" w:hAnsi="Arial" w:cs="Arial"/>
          <w:color w:val="4F81BD" w:themeColor="accent1"/>
          <w:sz w:val="24"/>
          <w:szCs w:val="24"/>
        </w:rPr>
        <w:t>UT-075/2018-1</w:t>
      </w:r>
      <w:r w:rsidRPr="005A2000">
        <w:rPr>
          <w:rFonts w:ascii="Arial" w:hAnsi="Arial" w:cs="Arial"/>
          <w:color w:val="4F81BD" w:themeColor="accent1"/>
          <w:sz w:val="24"/>
          <w:szCs w:val="24"/>
        </w:rPr>
        <w:t xml:space="preserve">, </w:t>
      </w:r>
      <w:r w:rsidR="00A84974" w:rsidRPr="005A2000">
        <w:rPr>
          <w:rFonts w:ascii="Arial" w:hAnsi="Arial" w:cs="Arial"/>
          <w:color w:val="4F81BD" w:themeColor="accent1"/>
          <w:sz w:val="24"/>
          <w:szCs w:val="24"/>
        </w:rPr>
        <w:t xml:space="preserve">recibido </w:t>
      </w:r>
      <w:r w:rsidR="00691693" w:rsidRPr="005A2000">
        <w:rPr>
          <w:rFonts w:ascii="Arial" w:hAnsi="Arial" w:cs="Arial"/>
          <w:color w:val="4F81BD" w:themeColor="accent1"/>
          <w:sz w:val="24"/>
          <w:szCs w:val="24"/>
        </w:rPr>
        <w:t xml:space="preserve">en la oficialía de partes de este cuerpo colegiado </w:t>
      </w:r>
      <w:r w:rsidR="00A84974" w:rsidRPr="005A2000">
        <w:rPr>
          <w:rFonts w:ascii="Arial" w:hAnsi="Arial" w:cs="Arial"/>
          <w:color w:val="4F81BD" w:themeColor="accent1"/>
          <w:sz w:val="24"/>
          <w:szCs w:val="24"/>
        </w:rPr>
        <w:t xml:space="preserve">el </w:t>
      </w:r>
      <w:r w:rsidR="00691693" w:rsidRPr="005A2000">
        <w:rPr>
          <w:rFonts w:ascii="Arial" w:hAnsi="Arial" w:cs="Arial"/>
          <w:color w:val="4F81BD" w:themeColor="accent1"/>
          <w:sz w:val="24"/>
          <w:szCs w:val="24"/>
        </w:rPr>
        <w:t xml:space="preserve">20 </w:t>
      </w:r>
      <w:r w:rsidR="001D662A" w:rsidRPr="005A2000">
        <w:rPr>
          <w:rFonts w:ascii="Arial" w:hAnsi="Arial" w:cs="Arial"/>
          <w:color w:val="4F81BD" w:themeColor="accent1"/>
          <w:sz w:val="24"/>
          <w:szCs w:val="24"/>
        </w:rPr>
        <w:t xml:space="preserve">veinte </w:t>
      </w:r>
      <w:r w:rsidR="00A84974" w:rsidRPr="005A2000">
        <w:rPr>
          <w:rFonts w:ascii="Arial" w:hAnsi="Arial" w:cs="Arial"/>
          <w:color w:val="4F81BD" w:themeColor="accent1"/>
          <w:sz w:val="24"/>
          <w:szCs w:val="24"/>
        </w:rPr>
        <w:t xml:space="preserve">de </w:t>
      </w:r>
      <w:r w:rsidR="00691693" w:rsidRPr="005A2000">
        <w:rPr>
          <w:rFonts w:ascii="Arial" w:hAnsi="Arial" w:cs="Arial"/>
          <w:color w:val="4F81BD" w:themeColor="accent1"/>
          <w:sz w:val="24"/>
          <w:szCs w:val="24"/>
        </w:rPr>
        <w:t xml:space="preserve">julio </w:t>
      </w:r>
      <w:r w:rsidR="00490BC0" w:rsidRPr="005A2000">
        <w:rPr>
          <w:rFonts w:ascii="Arial" w:hAnsi="Arial" w:cs="Arial"/>
          <w:color w:val="4F81BD" w:themeColor="accent1"/>
          <w:sz w:val="24"/>
          <w:szCs w:val="24"/>
        </w:rPr>
        <w:t>de</w:t>
      </w:r>
      <w:r w:rsidR="00A84974" w:rsidRPr="005A2000">
        <w:rPr>
          <w:rFonts w:ascii="Arial" w:hAnsi="Arial" w:cs="Arial"/>
          <w:color w:val="4F81BD" w:themeColor="accent1"/>
          <w:sz w:val="24"/>
          <w:szCs w:val="24"/>
        </w:rPr>
        <w:t>l año en curso</w:t>
      </w:r>
      <w:r w:rsidR="00490BC0" w:rsidRPr="005A2000">
        <w:rPr>
          <w:rFonts w:ascii="Arial" w:hAnsi="Arial" w:cs="Arial"/>
          <w:color w:val="4F81BD" w:themeColor="accent1"/>
          <w:sz w:val="24"/>
          <w:szCs w:val="24"/>
        </w:rPr>
        <w:t xml:space="preserve">, </w:t>
      </w:r>
      <w:r w:rsidR="00691693" w:rsidRPr="005A2000">
        <w:rPr>
          <w:rFonts w:ascii="Arial" w:hAnsi="Arial" w:cs="Arial"/>
          <w:color w:val="4F81BD" w:themeColor="accent1"/>
          <w:sz w:val="24"/>
          <w:szCs w:val="24"/>
        </w:rPr>
        <w:t xml:space="preserve">junto </w:t>
      </w:r>
      <w:r w:rsidR="00490BC0" w:rsidRPr="005A2000">
        <w:rPr>
          <w:rFonts w:ascii="Arial" w:hAnsi="Arial" w:cs="Arial"/>
          <w:color w:val="4F81BD" w:themeColor="accent1"/>
          <w:sz w:val="24"/>
          <w:szCs w:val="24"/>
        </w:rPr>
        <w:t xml:space="preserve">con </w:t>
      </w:r>
      <w:r w:rsidR="00EC2962" w:rsidRPr="005A2000">
        <w:rPr>
          <w:rFonts w:ascii="Arial" w:hAnsi="Arial" w:cs="Arial"/>
          <w:color w:val="4F81BD" w:themeColor="accent1"/>
          <w:sz w:val="24"/>
          <w:szCs w:val="24"/>
        </w:rPr>
        <w:t>5</w:t>
      </w:r>
      <w:r w:rsidR="00490BC0" w:rsidRPr="005A2000">
        <w:rPr>
          <w:rFonts w:ascii="Arial" w:hAnsi="Arial" w:cs="Arial"/>
          <w:color w:val="4F81BD" w:themeColor="accent1"/>
          <w:sz w:val="24"/>
          <w:szCs w:val="24"/>
        </w:rPr>
        <w:t xml:space="preserve"> anexos, donde informa sobre el cumplimiento al resolutivo en análisis y señala medularmente lo siguiente:</w:t>
      </w:r>
    </w:p>
    <w:p w14:paraId="1E5ADE07" w14:textId="77777777" w:rsidR="00490BC0" w:rsidRPr="005A2000" w:rsidRDefault="00490BC0" w:rsidP="005A2000">
      <w:pPr>
        <w:spacing w:after="0" w:line="360" w:lineRule="auto"/>
        <w:jc w:val="both"/>
        <w:rPr>
          <w:rFonts w:ascii="Arial" w:hAnsi="Arial" w:cs="Arial"/>
          <w:color w:val="4F81BD" w:themeColor="accent1"/>
          <w:sz w:val="24"/>
          <w:szCs w:val="24"/>
        </w:rPr>
      </w:pPr>
    </w:p>
    <w:p w14:paraId="1F046379" w14:textId="5CA8F860" w:rsidR="00490BC0" w:rsidRPr="005A2000" w:rsidRDefault="00AB70B7" w:rsidP="005A2000">
      <w:pPr>
        <w:spacing w:after="0" w:line="360" w:lineRule="auto"/>
        <w:ind w:firstLine="708"/>
        <w:jc w:val="both"/>
        <w:rPr>
          <w:rFonts w:ascii="Arial" w:hAnsi="Arial" w:cs="Arial"/>
          <w:i/>
          <w:color w:val="4F81BD" w:themeColor="accent1"/>
          <w:sz w:val="24"/>
          <w:szCs w:val="24"/>
        </w:rPr>
      </w:pPr>
      <w:r w:rsidRPr="005A2000">
        <w:rPr>
          <w:rFonts w:ascii="Arial" w:hAnsi="Arial" w:cs="Arial"/>
          <w:i/>
          <w:color w:val="4F81BD" w:themeColor="accent1"/>
          <w:sz w:val="24"/>
          <w:szCs w:val="24"/>
        </w:rPr>
        <w:t>“</w:t>
      </w:r>
      <w:r w:rsidR="00490BC0" w:rsidRPr="005A2000">
        <w:rPr>
          <w:rFonts w:ascii="Arial" w:hAnsi="Arial" w:cs="Arial"/>
          <w:i/>
          <w:color w:val="4F81BD" w:themeColor="accent1"/>
          <w:sz w:val="24"/>
          <w:szCs w:val="24"/>
        </w:rPr>
        <w:t xml:space="preserve">[…] </w:t>
      </w:r>
      <w:r w:rsidR="00341CE2" w:rsidRPr="005A2000">
        <w:rPr>
          <w:rFonts w:ascii="Arial" w:hAnsi="Arial" w:cs="Arial"/>
          <w:i/>
          <w:color w:val="4F81BD" w:themeColor="accent1"/>
          <w:sz w:val="24"/>
          <w:szCs w:val="24"/>
        </w:rPr>
        <w:t>A fin de atender dicha resolución, la unidad de Transparencia de esta secretaria de Desarrollo Urbano, Vivienda y Obras Públicas de fecha 17 de julio de 2018, mediante correo electrónico señalado por el quejoso en la plataforma Nacional de Transparencia</w:t>
      </w:r>
      <w:r w:rsidR="00D04422" w:rsidRPr="005A2000">
        <w:rPr>
          <w:rFonts w:ascii="Arial" w:hAnsi="Arial" w:cs="Arial"/>
          <w:i/>
          <w:color w:val="4F81BD" w:themeColor="accent1"/>
          <w:sz w:val="24"/>
          <w:szCs w:val="24"/>
        </w:rPr>
        <w:t>.</w:t>
      </w:r>
      <w:r w:rsidR="00490BC0" w:rsidRPr="005A2000">
        <w:rPr>
          <w:rFonts w:ascii="Arial" w:hAnsi="Arial" w:cs="Arial"/>
          <w:i/>
          <w:color w:val="4F81BD" w:themeColor="accent1"/>
          <w:sz w:val="24"/>
          <w:szCs w:val="24"/>
        </w:rPr>
        <w:t xml:space="preserve"> […].</w:t>
      </w:r>
      <w:r w:rsidRPr="005A2000">
        <w:rPr>
          <w:rFonts w:ascii="Arial" w:hAnsi="Arial" w:cs="Arial"/>
          <w:i/>
          <w:color w:val="4F81BD" w:themeColor="accent1"/>
          <w:sz w:val="24"/>
          <w:szCs w:val="24"/>
        </w:rPr>
        <w:t>”</w:t>
      </w:r>
      <w:r w:rsidR="00E40AEA" w:rsidRPr="005A2000">
        <w:rPr>
          <w:rFonts w:ascii="Arial" w:hAnsi="Arial" w:cs="Arial"/>
          <w:i/>
          <w:color w:val="4F81BD" w:themeColor="accent1"/>
          <w:sz w:val="24"/>
          <w:szCs w:val="24"/>
        </w:rPr>
        <w:t xml:space="preserve"> </w:t>
      </w:r>
    </w:p>
    <w:p w14:paraId="00FB4785" w14:textId="77777777" w:rsidR="00510B8D" w:rsidRPr="005A2000" w:rsidRDefault="00510B8D" w:rsidP="005A2000">
      <w:pPr>
        <w:spacing w:after="0" w:line="360" w:lineRule="auto"/>
        <w:jc w:val="both"/>
        <w:rPr>
          <w:rFonts w:ascii="Arial" w:hAnsi="Arial" w:cs="Arial"/>
          <w:color w:val="4F81BD" w:themeColor="accent1"/>
          <w:sz w:val="24"/>
          <w:szCs w:val="24"/>
          <w:highlight w:val="yellow"/>
        </w:rPr>
      </w:pPr>
    </w:p>
    <w:p w14:paraId="0D5ADD0A" w14:textId="1A693B33" w:rsidR="00823416" w:rsidRPr="005A2000" w:rsidRDefault="00E40AEA" w:rsidP="005A2000">
      <w:pPr>
        <w:pStyle w:val="corte4fondo"/>
        <w:tabs>
          <w:tab w:val="left" w:pos="567"/>
        </w:tabs>
        <w:rPr>
          <w:rFonts w:cs="Arial"/>
          <w:color w:val="4F81BD" w:themeColor="accent1"/>
          <w:sz w:val="24"/>
          <w:szCs w:val="24"/>
        </w:rPr>
      </w:pPr>
      <w:r w:rsidRPr="005A2000">
        <w:rPr>
          <w:rFonts w:cs="Arial"/>
          <w:color w:val="4F81BD" w:themeColor="accent1"/>
          <w:sz w:val="24"/>
          <w:szCs w:val="24"/>
        </w:rPr>
        <w:t xml:space="preserve">Ahora bien, </w:t>
      </w:r>
      <w:r w:rsidR="00AB70B7" w:rsidRPr="005A2000">
        <w:rPr>
          <w:rFonts w:cs="Arial"/>
          <w:color w:val="4F81BD" w:themeColor="accent1"/>
          <w:sz w:val="24"/>
          <w:szCs w:val="24"/>
        </w:rPr>
        <w:t>para efecto del presente estudio es importante revisar</w:t>
      </w:r>
      <w:r w:rsidRPr="005A2000">
        <w:rPr>
          <w:rFonts w:cs="Arial"/>
          <w:color w:val="4F81BD" w:themeColor="accent1"/>
          <w:sz w:val="24"/>
          <w:szCs w:val="24"/>
        </w:rPr>
        <w:t xml:space="preserve"> contenido de los anexos del oficio </w:t>
      </w:r>
      <w:r w:rsidR="00341CE2" w:rsidRPr="005A2000">
        <w:rPr>
          <w:rFonts w:cs="Arial"/>
          <w:color w:val="4F81BD" w:themeColor="accent1"/>
          <w:sz w:val="24"/>
          <w:szCs w:val="24"/>
        </w:rPr>
        <w:t xml:space="preserve">UT-075/2018-1 </w:t>
      </w:r>
      <w:r w:rsidR="00F32441" w:rsidRPr="005A2000">
        <w:rPr>
          <w:rFonts w:cs="Arial"/>
          <w:color w:val="4F81BD" w:themeColor="accent1"/>
          <w:sz w:val="24"/>
          <w:szCs w:val="24"/>
        </w:rPr>
        <w:t xml:space="preserve">(visibles a fojas </w:t>
      </w:r>
      <w:r w:rsidR="00475D82" w:rsidRPr="005A2000">
        <w:rPr>
          <w:rFonts w:cs="Arial"/>
          <w:color w:val="4F81BD" w:themeColor="accent1"/>
          <w:sz w:val="24"/>
          <w:szCs w:val="24"/>
        </w:rPr>
        <w:t>84</w:t>
      </w:r>
      <w:r w:rsidR="00F32441" w:rsidRPr="005A2000">
        <w:rPr>
          <w:rFonts w:cs="Arial"/>
          <w:color w:val="4F81BD" w:themeColor="accent1"/>
          <w:sz w:val="24"/>
          <w:szCs w:val="24"/>
        </w:rPr>
        <w:t xml:space="preserve"> a </w:t>
      </w:r>
      <w:r w:rsidR="00475D82" w:rsidRPr="005A2000">
        <w:rPr>
          <w:rFonts w:cs="Arial"/>
          <w:color w:val="4F81BD" w:themeColor="accent1"/>
          <w:sz w:val="24"/>
          <w:szCs w:val="24"/>
        </w:rPr>
        <w:t>95</w:t>
      </w:r>
      <w:r w:rsidR="00F32441" w:rsidRPr="005A2000">
        <w:rPr>
          <w:rFonts w:cs="Arial"/>
          <w:color w:val="4F81BD" w:themeColor="accent1"/>
          <w:sz w:val="24"/>
          <w:szCs w:val="24"/>
        </w:rPr>
        <w:t xml:space="preserve"> de autos), </w:t>
      </w:r>
      <w:r w:rsidR="00823416" w:rsidRPr="005A2000">
        <w:rPr>
          <w:rFonts w:cs="Arial"/>
          <w:color w:val="4F81BD" w:themeColor="accent1"/>
          <w:sz w:val="24"/>
          <w:szCs w:val="24"/>
        </w:rPr>
        <w:t>mismos que comprenden:</w:t>
      </w:r>
    </w:p>
    <w:p w14:paraId="5210DFF4" w14:textId="2B98B113" w:rsidR="001C2623" w:rsidRPr="005A2000" w:rsidRDefault="001C2623" w:rsidP="005A2000">
      <w:pPr>
        <w:pStyle w:val="corte4fondo"/>
        <w:numPr>
          <w:ilvl w:val="0"/>
          <w:numId w:val="20"/>
        </w:numPr>
        <w:tabs>
          <w:tab w:val="left" w:pos="567"/>
        </w:tabs>
        <w:rPr>
          <w:rFonts w:cs="Arial"/>
          <w:color w:val="4F81BD" w:themeColor="accent1"/>
          <w:sz w:val="24"/>
          <w:szCs w:val="24"/>
        </w:rPr>
      </w:pPr>
      <w:r w:rsidRPr="005A2000">
        <w:rPr>
          <w:rFonts w:cs="Arial"/>
          <w:color w:val="4F81BD" w:themeColor="accent1"/>
          <w:sz w:val="24"/>
          <w:szCs w:val="24"/>
        </w:rPr>
        <w:t>Memorándum UT-299/2018 de fecha de 09 de julio de 2018, signado por la Encargada de la Unidad de Transparencia</w:t>
      </w:r>
      <w:r w:rsidR="00D233A5" w:rsidRPr="005A2000">
        <w:rPr>
          <w:rFonts w:cs="Arial"/>
          <w:color w:val="4F81BD" w:themeColor="accent1"/>
          <w:sz w:val="24"/>
          <w:szCs w:val="24"/>
        </w:rPr>
        <w:t>.</w:t>
      </w:r>
    </w:p>
    <w:p w14:paraId="1BCDF70D" w14:textId="1DBDB89D" w:rsidR="00D233A5" w:rsidRPr="005A2000" w:rsidRDefault="00D233A5" w:rsidP="005A2000">
      <w:pPr>
        <w:pStyle w:val="corte4fondo"/>
        <w:numPr>
          <w:ilvl w:val="0"/>
          <w:numId w:val="20"/>
        </w:numPr>
        <w:tabs>
          <w:tab w:val="left" w:pos="567"/>
        </w:tabs>
        <w:rPr>
          <w:rFonts w:cs="Arial"/>
          <w:color w:val="4F81BD" w:themeColor="accent1"/>
          <w:sz w:val="24"/>
          <w:szCs w:val="24"/>
        </w:rPr>
      </w:pPr>
      <w:r w:rsidRPr="005A2000">
        <w:rPr>
          <w:rFonts w:cs="Arial"/>
          <w:color w:val="4F81BD" w:themeColor="accent1"/>
          <w:sz w:val="24"/>
          <w:szCs w:val="24"/>
        </w:rPr>
        <w:t>Memorándum UT-304/2018 de fecha 12 de julio de 2018, signado por la Encargada de la Unidad de Transparencia.</w:t>
      </w:r>
    </w:p>
    <w:p w14:paraId="12602851" w14:textId="4A4B711A" w:rsidR="00D233A5" w:rsidRPr="005A2000" w:rsidRDefault="00D233A5" w:rsidP="005A2000">
      <w:pPr>
        <w:pStyle w:val="corte4fondo"/>
        <w:numPr>
          <w:ilvl w:val="0"/>
          <w:numId w:val="20"/>
        </w:numPr>
        <w:tabs>
          <w:tab w:val="left" w:pos="567"/>
        </w:tabs>
        <w:rPr>
          <w:rFonts w:cs="Arial"/>
          <w:color w:val="4F81BD" w:themeColor="accent1"/>
          <w:sz w:val="24"/>
          <w:szCs w:val="24"/>
        </w:rPr>
      </w:pPr>
      <w:r w:rsidRPr="005A2000">
        <w:rPr>
          <w:rFonts w:cs="Arial"/>
          <w:color w:val="4F81BD" w:themeColor="accent1"/>
          <w:sz w:val="24"/>
          <w:szCs w:val="24"/>
        </w:rPr>
        <w:t>Memorándum DPCS/0276/2018 de fecha 13 julio de 2018, signado por la Directora de Planeación. Control y Seguimiento.</w:t>
      </w:r>
    </w:p>
    <w:p w14:paraId="4B3ED08E" w14:textId="6698449C" w:rsidR="00D233A5" w:rsidRPr="005A2000" w:rsidRDefault="00D233A5" w:rsidP="005A2000">
      <w:pPr>
        <w:pStyle w:val="corte4fondo"/>
        <w:numPr>
          <w:ilvl w:val="0"/>
          <w:numId w:val="20"/>
        </w:numPr>
        <w:tabs>
          <w:tab w:val="left" w:pos="567"/>
        </w:tabs>
        <w:rPr>
          <w:rFonts w:cs="Arial"/>
          <w:color w:val="4F81BD" w:themeColor="accent1"/>
          <w:sz w:val="24"/>
          <w:szCs w:val="24"/>
        </w:rPr>
      </w:pPr>
      <w:r w:rsidRPr="005A2000">
        <w:rPr>
          <w:rFonts w:cs="Arial"/>
          <w:color w:val="4F81BD" w:themeColor="accent1"/>
          <w:sz w:val="24"/>
          <w:szCs w:val="24"/>
        </w:rPr>
        <w:t>Copia Certificada del Acta de la Décima Tercera Sesión Extraordinaria del Comité de Transparencia de la Secretaria de Desarrollo Urbano, Vivienda y Obras Públicas de Gobierno del Estado de San Luis Potosí.</w:t>
      </w:r>
    </w:p>
    <w:p w14:paraId="7A8D153F" w14:textId="01D65E62" w:rsidR="00D233A5" w:rsidRPr="005A2000" w:rsidRDefault="00D233A5" w:rsidP="005A2000">
      <w:pPr>
        <w:pStyle w:val="corte4fondo"/>
        <w:numPr>
          <w:ilvl w:val="0"/>
          <w:numId w:val="20"/>
        </w:numPr>
        <w:tabs>
          <w:tab w:val="left" w:pos="567"/>
        </w:tabs>
        <w:rPr>
          <w:rFonts w:cs="Arial"/>
          <w:color w:val="4F81BD" w:themeColor="accent1"/>
          <w:sz w:val="24"/>
          <w:szCs w:val="24"/>
        </w:rPr>
      </w:pPr>
      <w:bookmarkStart w:id="1" w:name="_Hlk528582159"/>
      <w:r w:rsidRPr="005A2000">
        <w:rPr>
          <w:rFonts w:cs="Arial"/>
          <w:color w:val="4F81BD" w:themeColor="accent1"/>
          <w:sz w:val="24"/>
          <w:szCs w:val="24"/>
        </w:rPr>
        <w:t>Copia Certificada del correo electrónico enviado al recurrente.</w:t>
      </w:r>
    </w:p>
    <w:bookmarkEnd w:id="1"/>
    <w:p w14:paraId="18434741" w14:textId="77777777" w:rsidR="001C2623" w:rsidRPr="005A2000" w:rsidRDefault="001C2623" w:rsidP="005A2000">
      <w:pPr>
        <w:pStyle w:val="corte4fondo"/>
        <w:tabs>
          <w:tab w:val="left" w:pos="567"/>
        </w:tabs>
        <w:rPr>
          <w:rFonts w:cs="Arial"/>
          <w:color w:val="4F81BD" w:themeColor="accent1"/>
          <w:sz w:val="24"/>
          <w:szCs w:val="24"/>
        </w:rPr>
      </w:pPr>
    </w:p>
    <w:p w14:paraId="0768510D" w14:textId="6CE589E1" w:rsidR="00ED737A" w:rsidRPr="005A2000" w:rsidRDefault="00AB70B7" w:rsidP="005A2000">
      <w:pPr>
        <w:pStyle w:val="corte4fondo"/>
        <w:tabs>
          <w:tab w:val="left" w:pos="567"/>
        </w:tabs>
        <w:rPr>
          <w:rFonts w:cs="Arial"/>
          <w:color w:val="4F81BD" w:themeColor="accent1"/>
          <w:sz w:val="24"/>
          <w:szCs w:val="24"/>
        </w:rPr>
      </w:pPr>
      <w:r w:rsidRPr="005A2000">
        <w:rPr>
          <w:rFonts w:cs="Arial"/>
          <w:color w:val="4F81BD" w:themeColor="accent1"/>
          <w:sz w:val="24"/>
          <w:szCs w:val="24"/>
        </w:rPr>
        <w:t>Con relación a lo anterior</w:t>
      </w:r>
      <w:r w:rsidR="00186635" w:rsidRPr="005A2000">
        <w:rPr>
          <w:rFonts w:cs="Arial"/>
          <w:color w:val="4F81BD" w:themeColor="accent1"/>
          <w:sz w:val="24"/>
          <w:szCs w:val="24"/>
        </w:rPr>
        <w:t xml:space="preserve">, </w:t>
      </w:r>
      <w:r w:rsidRPr="005A2000">
        <w:rPr>
          <w:rFonts w:cs="Arial"/>
          <w:color w:val="4F81BD" w:themeColor="accent1"/>
          <w:sz w:val="24"/>
          <w:szCs w:val="24"/>
        </w:rPr>
        <w:t xml:space="preserve">se advierte </w:t>
      </w:r>
      <w:r w:rsidR="00485D79" w:rsidRPr="005A2000">
        <w:rPr>
          <w:rFonts w:cs="Arial"/>
          <w:color w:val="4F81BD" w:themeColor="accent1"/>
          <w:sz w:val="24"/>
          <w:szCs w:val="24"/>
        </w:rPr>
        <w:t>es</w:t>
      </w:r>
      <w:r w:rsidR="00ED737A" w:rsidRPr="005A2000">
        <w:rPr>
          <w:rFonts w:cs="Arial"/>
          <w:color w:val="4F81BD" w:themeColor="accent1"/>
          <w:sz w:val="24"/>
          <w:szCs w:val="24"/>
        </w:rPr>
        <w:t xml:space="preserve"> la c</w:t>
      </w:r>
      <w:r w:rsidR="00ED737A" w:rsidRPr="005A2000">
        <w:rPr>
          <w:rFonts w:cs="Arial"/>
          <w:color w:val="4F81BD" w:themeColor="accent1"/>
          <w:sz w:val="24"/>
          <w:szCs w:val="24"/>
        </w:rPr>
        <w:t>opia Certificada del correo electrónico</w:t>
      </w:r>
      <w:r w:rsidR="00ED737A" w:rsidRPr="005A2000">
        <w:rPr>
          <w:rFonts w:cs="Arial"/>
          <w:color w:val="4F81BD" w:themeColor="accent1"/>
          <w:sz w:val="24"/>
          <w:szCs w:val="24"/>
        </w:rPr>
        <w:t xml:space="preserve"> y el </w:t>
      </w:r>
      <w:r w:rsidR="00ED737A" w:rsidRPr="005A2000">
        <w:rPr>
          <w:rFonts w:cs="Arial"/>
          <w:color w:val="4F81BD" w:themeColor="accent1"/>
          <w:sz w:val="24"/>
          <w:szCs w:val="24"/>
        </w:rPr>
        <w:t>Acta de la Décima Tercera Sesión Extraordinaria del Comité de Transparencia de la Secretaria de Desarrollo Urbano, Vivienda y Obras Públicas</w:t>
      </w:r>
      <w:r w:rsidR="00ED737A" w:rsidRPr="005A2000">
        <w:rPr>
          <w:rFonts w:cs="Arial"/>
          <w:color w:val="4F81BD" w:themeColor="accent1"/>
          <w:sz w:val="24"/>
          <w:szCs w:val="24"/>
        </w:rPr>
        <w:t xml:space="preserve"> la que</w:t>
      </w:r>
      <w:r w:rsidR="00186635" w:rsidRPr="005A2000">
        <w:rPr>
          <w:rFonts w:cs="Arial"/>
          <w:color w:val="4F81BD" w:themeColor="accent1"/>
          <w:sz w:val="24"/>
          <w:szCs w:val="24"/>
        </w:rPr>
        <w:t xml:space="preserve"> </w:t>
      </w:r>
      <w:r w:rsidRPr="005A2000">
        <w:rPr>
          <w:rFonts w:cs="Arial"/>
          <w:color w:val="4F81BD" w:themeColor="accent1"/>
          <w:sz w:val="24"/>
          <w:szCs w:val="24"/>
        </w:rPr>
        <w:t>contiene</w:t>
      </w:r>
      <w:r w:rsidR="00F874E4" w:rsidRPr="005A2000">
        <w:rPr>
          <w:rFonts w:cs="Arial"/>
          <w:color w:val="4F81BD" w:themeColor="accent1"/>
          <w:sz w:val="24"/>
          <w:szCs w:val="24"/>
        </w:rPr>
        <w:t xml:space="preserve"> </w:t>
      </w:r>
      <w:r w:rsidRPr="005A2000">
        <w:rPr>
          <w:rFonts w:cs="Arial"/>
          <w:color w:val="4F81BD" w:themeColor="accent1"/>
          <w:sz w:val="24"/>
          <w:szCs w:val="24"/>
        </w:rPr>
        <w:t>la respuesta otorgada al recurrente</w:t>
      </w:r>
      <w:r w:rsidR="00ED737A" w:rsidRPr="005A2000">
        <w:rPr>
          <w:rFonts w:cs="Arial"/>
          <w:color w:val="4F81BD" w:themeColor="accent1"/>
          <w:sz w:val="24"/>
          <w:szCs w:val="24"/>
        </w:rPr>
        <w:t>.</w:t>
      </w:r>
    </w:p>
    <w:p w14:paraId="4A0D5950" w14:textId="7D2828AD" w:rsidR="00F874E4" w:rsidRPr="005A2000" w:rsidRDefault="00F874E4" w:rsidP="005A2000">
      <w:pPr>
        <w:pStyle w:val="corte4fondo"/>
        <w:tabs>
          <w:tab w:val="left" w:pos="567"/>
        </w:tabs>
        <w:rPr>
          <w:rFonts w:cs="Arial"/>
          <w:color w:val="4F81BD" w:themeColor="accent1"/>
          <w:sz w:val="24"/>
          <w:szCs w:val="24"/>
          <w:highlight w:val="yellow"/>
        </w:rPr>
      </w:pPr>
    </w:p>
    <w:p w14:paraId="0C9619D6" w14:textId="1ABA96D0" w:rsidR="00AB70B7" w:rsidRPr="005A2000" w:rsidRDefault="00AB70B7" w:rsidP="005A2000">
      <w:pPr>
        <w:pStyle w:val="corte4fondo"/>
        <w:tabs>
          <w:tab w:val="left" w:pos="567"/>
        </w:tabs>
        <w:rPr>
          <w:rFonts w:cs="Arial"/>
          <w:color w:val="4F81BD" w:themeColor="accent1"/>
          <w:sz w:val="24"/>
          <w:szCs w:val="24"/>
        </w:rPr>
      </w:pPr>
      <w:r w:rsidRPr="005A2000">
        <w:rPr>
          <w:rFonts w:cs="Arial"/>
          <w:color w:val="4F81BD" w:themeColor="accent1"/>
          <w:sz w:val="24"/>
          <w:szCs w:val="24"/>
        </w:rPr>
        <w:lastRenderedPageBreak/>
        <w:t xml:space="preserve">En este contexto y al analizar el contenido </w:t>
      </w:r>
      <w:r w:rsidR="00ED737A" w:rsidRPr="005A2000">
        <w:rPr>
          <w:rFonts w:cs="Arial"/>
          <w:color w:val="4F81BD" w:themeColor="accent1"/>
          <w:sz w:val="24"/>
          <w:szCs w:val="24"/>
        </w:rPr>
        <w:t xml:space="preserve">de dicha </w:t>
      </w:r>
      <w:r w:rsidR="002D5F59" w:rsidRPr="005A2000">
        <w:rPr>
          <w:rFonts w:cs="Arial"/>
          <w:color w:val="4F81BD" w:themeColor="accent1"/>
          <w:sz w:val="24"/>
          <w:szCs w:val="24"/>
        </w:rPr>
        <w:t>a</w:t>
      </w:r>
      <w:r w:rsidR="00ED737A" w:rsidRPr="005A2000">
        <w:rPr>
          <w:rFonts w:cs="Arial"/>
          <w:color w:val="4F81BD" w:themeColor="accent1"/>
          <w:sz w:val="24"/>
          <w:szCs w:val="24"/>
        </w:rPr>
        <w:t>cta</w:t>
      </w:r>
      <w:r w:rsidRPr="005A2000">
        <w:rPr>
          <w:rFonts w:cs="Arial"/>
          <w:color w:val="4F81BD" w:themeColor="accent1"/>
          <w:sz w:val="24"/>
          <w:szCs w:val="24"/>
        </w:rPr>
        <w:t>, se aprecia que medularmente su respuesta consistió en:</w:t>
      </w:r>
    </w:p>
    <w:p w14:paraId="08AD7428" w14:textId="1F5EA2BE" w:rsidR="00F874E4" w:rsidRPr="005A2000" w:rsidRDefault="00AB70B7" w:rsidP="005A2000">
      <w:pPr>
        <w:pStyle w:val="corte4fondo"/>
        <w:tabs>
          <w:tab w:val="left" w:pos="567"/>
        </w:tabs>
        <w:rPr>
          <w:rFonts w:cs="Arial"/>
          <w:color w:val="4F81BD" w:themeColor="accent1"/>
          <w:sz w:val="24"/>
          <w:szCs w:val="24"/>
        </w:rPr>
      </w:pPr>
      <w:r w:rsidRPr="005A2000">
        <w:rPr>
          <w:rFonts w:cs="Arial"/>
          <w:color w:val="4F81BD" w:themeColor="accent1"/>
          <w:sz w:val="24"/>
          <w:szCs w:val="24"/>
        </w:rPr>
        <w:t xml:space="preserve"> </w:t>
      </w:r>
    </w:p>
    <w:p w14:paraId="34DD0547" w14:textId="26945DEC" w:rsidR="008228C4" w:rsidRPr="005A2000" w:rsidRDefault="00AB70B7" w:rsidP="005A2000">
      <w:pPr>
        <w:pStyle w:val="corte4fondo"/>
        <w:tabs>
          <w:tab w:val="left" w:pos="567"/>
        </w:tabs>
        <w:rPr>
          <w:rFonts w:cs="Arial"/>
          <w:i/>
          <w:color w:val="4F81BD" w:themeColor="accent1"/>
          <w:sz w:val="24"/>
          <w:szCs w:val="24"/>
        </w:rPr>
      </w:pPr>
      <w:r w:rsidRPr="005A2000">
        <w:rPr>
          <w:rFonts w:cs="Arial"/>
          <w:i/>
          <w:color w:val="4F81BD" w:themeColor="accent1"/>
          <w:sz w:val="24"/>
          <w:szCs w:val="24"/>
        </w:rPr>
        <w:t>“</w:t>
      </w:r>
      <w:r w:rsidR="00787FC1" w:rsidRPr="005A2000">
        <w:rPr>
          <w:rFonts w:cs="Arial"/>
          <w:i/>
          <w:color w:val="4F81BD" w:themeColor="accent1"/>
          <w:sz w:val="24"/>
          <w:szCs w:val="24"/>
        </w:rPr>
        <w:t xml:space="preserve">[…] </w:t>
      </w:r>
      <w:r w:rsidR="00ED737A" w:rsidRPr="005A2000">
        <w:rPr>
          <w:rFonts w:cs="Arial"/>
          <w:i/>
          <w:color w:val="4F81BD" w:themeColor="accent1"/>
          <w:sz w:val="24"/>
          <w:szCs w:val="24"/>
        </w:rPr>
        <w:t xml:space="preserve">DECLARATORIA DE INEXISTENCIA DOCUMENTAL RELATIVA A: </w:t>
      </w:r>
      <w:bookmarkStart w:id="2" w:name="_Hlk528580606"/>
      <w:r w:rsidR="00ED737A" w:rsidRPr="005A2000">
        <w:rPr>
          <w:rFonts w:cs="Arial"/>
          <w:i/>
          <w:color w:val="4F81BD" w:themeColor="accent1"/>
          <w:sz w:val="24"/>
          <w:szCs w:val="24"/>
        </w:rPr>
        <w:t xml:space="preserve">NOTIFICACION DE GOBIERNO DEL ESTADO Y/O SECRETARIA DE HACIENDA Y CREDITO PÚBLICO, EN EL QUE CONSTE QUE LA INFORMACION TECNICA FUE INSUFICIENTE Y COMO CONSECUENCIA NO FUERON ENVIADOS LOS RECURSOS DEL FONDO METROPOLITANO </w:t>
      </w:r>
      <w:bookmarkEnd w:id="2"/>
      <w:r w:rsidR="00ED737A" w:rsidRPr="005A2000">
        <w:rPr>
          <w:rFonts w:cs="Arial"/>
          <w:i/>
          <w:color w:val="4F81BD" w:themeColor="accent1"/>
          <w:sz w:val="24"/>
          <w:szCs w:val="24"/>
        </w:rPr>
        <w:t>[</w:t>
      </w:r>
      <w:r w:rsidR="008228C4" w:rsidRPr="005A2000">
        <w:rPr>
          <w:rFonts w:cs="Arial"/>
          <w:i/>
          <w:color w:val="4F81BD" w:themeColor="accent1"/>
          <w:sz w:val="24"/>
          <w:szCs w:val="24"/>
        </w:rPr>
        <w:t>…]”</w:t>
      </w:r>
    </w:p>
    <w:p w14:paraId="24E3E8E6" w14:textId="566A81F1" w:rsidR="00ED737A" w:rsidRPr="005A2000" w:rsidRDefault="00ED737A" w:rsidP="005A2000">
      <w:pPr>
        <w:pStyle w:val="corte4fondo"/>
        <w:tabs>
          <w:tab w:val="left" w:pos="567"/>
        </w:tabs>
        <w:rPr>
          <w:rFonts w:cs="Arial"/>
          <w:i/>
          <w:color w:val="4F81BD" w:themeColor="accent1"/>
          <w:sz w:val="24"/>
          <w:szCs w:val="24"/>
        </w:rPr>
      </w:pPr>
    </w:p>
    <w:p w14:paraId="7A0A1665" w14:textId="687AA4BD" w:rsidR="00ED737A" w:rsidRPr="005A2000" w:rsidRDefault="00ED737A" w:rsidP="005A2000">
      <w:pPr>
        <w:pStyle w:val="corte4fondo"/>
        <w:tabs>
          <w:tab w:val="left" w:pos="567"/>
        </w:tabs>
        <w:rPr>
          <w:rFonts w:cs="Arial"/>
          <w:i/>
          <w:color w:val="4F81BD" w:themeColor="accent1"/>
          <w:sz w:val="24"/>
          <w:szCs w:val="24"/>
        </w:rPr>
      </w:pPr>
      <w:r w:rsidRPr="005A2000">
        <w:rPr>
          <w:rFonts w:cs="Arial"/>
          <w:i/>
          <w:color w:val="4F81BD" w:themeColor="accent1"/>
          <w:sz w:val="24"/>
          <w:szCs w:val="24"/>
        </w:rPr>
        <w:t>“[…]</w:t>
      </w:r>
      <w:r w:rsidR="002D5F59" w:rsidRPr="005A2000">
        <w:rPr>
          <w:rFonts w:cs="Arial"/>
          <w:i/>
          <w:color w:val="4F81BD" w:themeColor="accent1"/>
          <w:sz w:val="24"/>
          <w:szCs w:val="24"/>
        </w:rPr>
        <w:t>con fundamento en los artículos 19, 20, 160, 161 de la Ley de Transparencia y Acceso a la Información Pública del Estado de San Luis Potosí pone a consideración de este Comité de transparencia</w:t>
      </w:r>
      <w:r w:rsidR="00712D9A" w:rsidRPr="005A2000">
        <w:rPr>
          <w:rFonts w:cs="Arial"/>
          <w:i/>
          <w:color w:val="4F81BD" w:themeColor="accent1"/>
          <w:sz w:val="24"/>
          <w:szCs w:val="24"/>
        </w:rPr>
        <w:t xml:space="preserve">, la solicitud de declaratoria de inexistencia del documento relativo a “ La notificación de gobierno del estado y/o secretaria de hacienda y crédito público, en el que conste que la información técnica fue insuficiente y como consecuencia no fueron enviados los recursos del fondo metropolitano”, por lo que al encontrarse en el supuesto establecido por el artículo 160 fracción II de la Ley de Trasparencia y Acceso a la Información Pública del Estado de San Luis  </w:t>
      </w:r>
      <w:r w:rsidRPr="005A2000">
        <w:rPr>
          <w:rFonts w:cs="Arial"/>
          <w:i/>
          <w:color w:val="4F81BD" w:themeColor="accent1"/>
          <w:sz w:val="24"/>
          <w:szCs w:val="24"/>
        </w:rPr>
        <w:t>[…]”</w:t>
      </w:r>
    </w:p>
    <w:p w14:paraId="440EDFD2" w14:textId="09AD4A1E" w:rsidR="00712D9A" w:rsidRPr="005A2000" w:rsidRDefault="00712D9A" w:rsidP="005A2000">
      <w:pPr>
        <w:pStyle w:val="corte4fondo"/>
        <w:tabs>
          <w:tab w:val="left" w:pos="567"/>
        </w:tabs>
        <w:rPr>
          <w:rFonts w:cs="Arial"/>
          <w:i/>
          <w:color w:val="4F81BD" w:themeColor="accent1"/>
          <w:sz w:val="24"/>
          <w:szCs w:val="24"/>
        </w:rPr>
      </w:pPr>
    </w:p>
    <w:p w14:paraId="3CF5F2DB" w14:textId="6E8B7319" w:rsidR="00712D9A" w:rsidRPr="005A2000" w:rsidRDefault="00712D9A" w:rsidP="005A2000">
      <w:pPr>
        <w:pStyle w:val="corte4fondo"/>
        <w:tabs>
          <w:tab w:val="left" w:pos="567"/>
        </w:tabs>
        <w:rPr>
          <w:rFonts w:cs="Arial"/>
          <w:i/>
          <w:color w:val="4F81BD" w:themeColor="accent1"/>
          <w:sz w:val="24"/>
          <w:szCs w:val="24"/>
        </w:rPr>
      </w:pPr>
      <w:r w:rsidRPr="005A2000">
        <w:rPr>
          <w:rFonts w:cs="Arial"/>
          <w:i/>
          <w:color w:val="4F81BD" w:themeColor="accent1"/>
          <w:sz w:val="24"/>
          <w:szCs w:val="24"/>
        </w:rPr>
        <w:t>“[…]</w:t>
      </w:r>
      <w:r w:rsidR="00FA790C" w:rsidRPr="005A2000">
        <w:rPr>
          <w:rFonts w:cs="Arial"/>
          <w:i/>
          <w:color w:val="4F81BD" w:themeColor="accent1"/>
          <w:sz w:val="24"/>
          <w:szCs w:val="24"/>
        </w:rPr>
        <w:t>una vez que la Dirección de Planeación, Control y Seguimiento acreditó haber llevado a cabo la búsqueda exhaustiva de la documentación, siendo responsabilidad de la Dirección de Planeación, Control y Seguimiento, se resuelve por unanimidad de votos que en virtud del análisis de las manifestaciones antes descritas por la Directora de Planeación, Control y Seguimiento [</w:t>
      </w:r>
      <w:r w:rsidRPr="005A2000">
        <w:rPr>
          <w:rFonts w:cs="Arial"/>
          <w:i/>
          <w:color w:val="4F81BD" w:themeColor="accent1"/>
          <w:sz w:val="24"/>
          <w:szCs w:val="24"/>
        </w:rPr>
        <w:t>…]”</w:t>
      </w:r>
    </w:p>
    <w:p w14:paraId="059F118C" w14:textId="78FF8F6F" w:rsidR="00FA790C" w:rsidRPr="005A2000" w:rsidRDefault="00FA790C" w:rsidP="005A2000">
      <w:pPr>
        <w:pStyle w:val="corte4fondo"/>
        <w:tabs>
          <w:tab w:val="left" w:pos="567"/>
        </w:tabs>
        <w:rPr>
          <w:rFonts w:cs="Arial"/>
          <w:i/>
          <w:color w:val="4F81BD" w:themeColor="accent1"/>
          <w:sz w:val="24"/>
          <w:szCs w:val="24"/>
        </w:rPr>
      </w:pPr>
    </w:p>
    <w:p w14:paraId="7C7EDC39" w14:textId="4675A52C" w:rsidR="00FA790C" w:rsidRPr="005A2000" w:rsidRDefault="00FA790C" w:rsidP="005A2000">
      <w:pPr>
        <w:pStyle w:val="corte4fondo"/>
        <w:tabs>
          <w:tab w:val="left" w:pos="567"/>
        </w:tabs>
        <w:rPr>
          <w:rFonts w:cs="Arial"/>
          <w:i/>
          <w:color w:val="4F81BD" w:themeColor="accent1"/>
          <w:sz w:val="24"/>
          <w:szCs w:val="24"/>
        </w:rPr>
      </w:pPr>
      <w:r w:rsidRPr="005A2000">
        <w:rPr>
          <w:rFonts w:cs="Arial"/>
          <w:i/>
          <w:color w:val="4F81BD" w:themeColor="accent1"/>
          <w:sz w:val="24"/>
          <w:szCs w:val="24"/>
        </w:rPr>
        <w:t>“[…]</w:t>
      </w:r>
      <w:r w:rsidR="002F3B82" w:rsidRPr="005A2000">
        <w:rPr>
          <w:rFonts w:cs="Arial"/>
          <w:i/>
          <w:color w:val="4F81BD" w:themeColor="accent1"/>
          <w:sz w:val="24"/>
          <w:szCs w:val="24"/>
        </w:rPr>
        <w:t>c</w:t>
      </w:r>
      <w:r w:rsidRPr="005A2000">
        <w:rPr>
          <w:rFonts w:cs="Arial"/>
          <w:i/>
          <w:color w:val="4F81BD" w:themeColor="accent1"/>
          <w:sz w:val="24"/>
          <w:szCs w:val="24"/>
        </w:rPr>
        <w:t>on fundamento en los dispuesto</w:t>
      </w:r>
      <w:r w:rsidR="002F3B82" w:rsidRPr="005A2000">
        <w:rPr>
          <w:rFonts w:cs="Arial"/>
          <w:i/>
          <w:color w:val="4F81BD" w:themeColor="accent1"/>
          <w:sz w:val="24"/>
          <w:szCs w:val="24"/>
        </w:rPr>
        <w:t xml:space="preserve"> </w:t>
      </w:r>
      <w:r w:rsidR="002F3B82" w:rsidRPr="005A2000">
        <w:rPr>
          <w:rFonts w:cs="Arial"/>
          <w:i/>
          <w:color w:val="4F81BD" w:themeColor="accent1"/>
          <w:sz w:val="24"/>
          <w:szCs w:val="24"/>
        </w:rPr>
        <w:t>en los artículos 19, 20, 160, 161 de la Ley de Transparencia y Acceso a la Información Pública del Estado de San Luis Potosí</w:t>
      </w:r>
      <w:r w:rsidR="002F3B82" w:rsidRPr="005A2000">
        <w:rPr>
          <w:rFonts w:cs="Arial"/>
          <w:i/>
          <w:color w:val="4F81BD" w:themeColor="accent1"/>
          <w:sz w:val="24"/>
          <w:szCs w:val="24"/>
        </w:rPr>
        <w:t>, y una vez que este comité de Trasparencia de la Secretaria de Desarrollo Urbano, Vivienda de San Luis Potosí, tiene certeza de que la búsqueda exhaustiva que realizó, y se agotaron las circunstancias de tiempo, modo y lugar, declara la INEXISTENCIA de “</w:t>
      </w:r>
      <w:r w:rsidR="002F3B82" w:rsidRPr="005A2000">
        <w:rPr>
          <w:rFonts w:cs="Arial"/>
          <w:i/>
          <w:color w:val="4F81BD" w:themeColor="accent1"/>
          <w:sz w:val="24"/>
          <w:szCs w:val="24"/>
        </w:rPr>
        <w:t>La notificación de gobierno del estado y/o secretaria de hacienda y crédito público, en el que conste que la información técnica fue insuficiente y como consecuencia no fueron enviados los recursos del fondo metropolitano”</w:t>
      </w:r>
      <w:r w:rsidR="002F3B82" w:rsidRPr="005A2000">
        <w:rPr>
          <w:rFonts w:cs="Arial"/>
          <w:i/>
          <w:color w:val="4F81BD" w:themeColor="accent1"/>
          <w:sz w:val="24"/>
          <w:szCs w:val="24"/>
        </w:rPr>
        <w:t xml:space="preserve"> </w:t>
      </w:r>
      <w:r w:rsidRPr="005A2000">
        <w:rPr>
          <w:rFonts w:cs="Arial"/>
          <w:i/>
          <w:color w:val="4F81BD" w:themeColor="accent1"/>
          <w:sz w:val="24"/>
          <w:szCs w:val="24"/>
        </w:rPr>
        <w:t xml:space="preserve"> […]”</w:t>
      </w:r>
    </w:p>
    <w:p w14:paraId="580117AB" w14:textId="77777777" w:rsidR="00712D9A" w:rsidRPr="005A2000" w:rsidRDefault="00712D9A" w:rsidP="005A2000">
      <w:pPr>
        <w:pStyle w:val="corte4fondo"/>
        <w:tabs>
          <w:tab w:val="left" w:pos="567"/>
        </w:tabs>
        <w:rPr>
          <w:rFonts w:cs="Arial"/>
          <w:i/>
          <w:color w:val="4F81BD" w:themeColor="accent1"/>
          <w:sz w:val="24"/>
          <w:szCs w:val="24"/>
        </w:rPr>
      </w:pPr>
    </w:p>
    <w:p w14:paraId="4F07D1D7" w14:textId="6970F057" w:rsidR="00ED737A" w:rsidRPr="005A2000" w:rsidRDefault="002F3B82" w:rsidP="005A2000">
      <w:pPr>
        <w:pStyle w:val="corte4fondo"/>
        <w:tabs>
          <w:tab w:val="left" w:pos="567"/>
        </w:tabs>
        <w:ind w:firstLine="0"/>
        <w:rPr>
          <w:rFonts w:cs="Arial"/>
          <w:color w:val="4F81BD" w:themeColor="accent1"/>
          <w:sz w:val="24"/>
          <w:szCs w:val="24"/>
        </w:rPr>
      </w:pPr>
      <w:r w:rsidRPr="005A2000">
        <w:rPr>
          <w:rFonts w:cs="Arial"/>
          <w:color w:val="4F81BD" w:themeColor="accent1"/>
          <w:sz w:val="24"/>
          <w:szCs w:val="24"/>
        </w:rPr>
        <w:lastRenderedPageBreak/>
        <w:tab/>
        <w:t>Ahora bien, al analizar el contenido de las constancias remitidas por el sujeto obligado se advierte que mediante el acta</w:t>
      </w:r>
      <w:r w:rsidRPr="005A2000">
        <w:rPr>
          <w:rFonts w:cs="Arial"/>
          <w:color w:val="4F81BD" w:themeColor="accent1"/>
          <w:sz w:val="24"/>
          <w:szCs w:val="24"/>
        </w:rPr>
        <w:t xml:space="preserve"> de la Décima Tercera Sesión Extraordinaria del Comité de Transparencia de la Secretaria de Desarrollo Urbano, Vivienda y Obras Públicas de Gobierno del Estado de San Luis Potosí</w:t>
      </w:r>
      <w:r w:rsidRPr="005A2000">
        <w:rPr>
          <w:rFonts w:cs="Arial"/>
          <w:color w:val="4F81BD" w:themeColor="accent1"/>
          <w:sz w:val="24"/>
          <w:szCs w:val="24"/>
        </w:rPr>
        <w:t xml:space="preserve">, </w:t>
      </w:r>
      <w:r w:rsidRPr="005A2000">
        <w:rPr>
          <w:rFonts w:cs="Arial"/>
          <w:color w:val="4F81BD" w:themeColor="accent1"/>
          <w:sz w:val="24"/>
          <w:szCs w:val="24"/>
        </w:rPr>
        <w:t>acreditan en su totalidad el cumplimiento de la resolución dictada en el presente recurso pues</w:t>
      </w:r>
      <w:r w:rsidRPr="005A2000">
        <w:rPr>
          <w:rFonts w:cs="Arial"/>
          <w:color w:val="4F81BD" w:themeColor="accent1"/>
          <w:sz w:val="24"/>
          <w:szCs w:val="24"/>
        </w:rPr>
        <w:t xml:space="preserve"> en ella se declara la inexistencia de l</w:t>
      </w:r>
      <w:r w:rsidRPr="005A2000">
        <w:rPr>
          <w:rFonts w:cs="Arial"/>
          <w:color w:val="4F81BD" w:themeColor="accent1"/>
          <w:sz w:val="24"/>
          <w:szCs w:val="24"/>
        </w:rPr>
        <w:t>a notificación de gobierno del estado y/o secretaria de hacienda y crédito público, en el que conste que la información técnica fue insuficiente y como consecuencia no fueron enviados los recursos del fondo metropolitano</w:t>
      </w:r>
      <w:r w:rsidRPr="005A2000">
        <w:rPr>
          <w:rFonts w:cs="Arial"/>
          <w:color w:val="4F81BD" w:themeColor="accent1"/>
          <w:sz w:val="24"/>
          <w:szCs w:val="24"/>
        </w:rPr>
        <w:t>.</w:t>
      </w:r>
    </w:p>
    <w:p w14:paraId="613B4E09" w14:textId="77777777" w:rsidR="008B4731" w:rsidRPr="005A2000" w:rsidRDefault="008B4731" w:rsidP="005A2000">
      <w:pPr>
        <w:pStyle w:val="corte4fondo"/>
        <w:tabs>
          <w:tab w:val="left" w:pos="567"/>
        </w:tabs>
        <w:ind w:firstLine="0"/>
        <w:rPr>
          <w:rFonts w:cs="Arial"/>
          <w:color w:val="4F81BD" w:themeColor="accent1"/>
          <w:sz w:val="24"/>
          <w:szCs w:val="24"/>
          <w:highlight w:val="yellow"/>
        </w:rPr>
      </w:pPr>
    </w:p>
    <w:p w14:paraId="0DE5B523" w14:textId="2FB90963" w:rsidR="00F574E8" w:rsidRPr="005A2000" w:rsidRDefault="00D21862" w:rsidP="005A2000">
      <w:pPr>
        <w:spacing w:after="0" w:line="360" w:lineRule="auto"/>
        <w:ind w:firstLine="708"/>
        <w:jc w:val="both"/>
        <w:rPr>
          <w:rFonts w:ascii="Arial" w:hAnsi="Arial" w:cs="Arial"/>
          <w:color w:val="4F81BD" w:themeColor="accent1"/>
          <w:sz w:val="24"/>
          <w:szCs w:val="24"/>
        </w:rPr>
      </w:pPr>
      <w:r w:rsidRPr="005A2000">
        <w:rPr>
          <w:rFonts w:ascii="Arial" w:hAnsi="Arial" w:cs="Arial"/>
          <w:color w:val="4F81BD" w:themeColor="accent1"/>
          <w:sz w:val="24"/>
          <w:szCs w:val="24"/>
        </w:rPr>
        <w:t>Así las cosas,</w:t>
      </w:r>
      <w:r w:rsidR="00D11CA5" w:rsidRPr="005A2000">
        <w:rPr>
          <w:rFonts w:ascii="Arial" w:hAnsi="Arial" w:cs="Arial"/>
          <w:color w:val="4F81BD" w:themeColor="accent1"/>
          <w:sz w:val="24"/>
          <w:szCs w:val="24"/>
        </w:rPr>
        <w:t xml:space="preserve"> el sujeto obligado también </w:t>
      </w:r>
      <w:r w:rsidR="006730CB" w:rsidRPr="005A2000">
        <w:rPr>
          <w:rFonts w:ascii="Arial" w:hAnsi="Arial" w:cs="Arial"/>
          <w:color w:val="4F81BD" w:themeColor="accent1"/>
          <w:sz w:val="24"/>
          <w:szCs w:val="24"/>
        </w:rPr>
        <w:t>acompañó</w:t>
      </w:r>
      <w:r w:rsidR="000B7F7D" w:rsidRPr="005A2000">
        <w:rPr>
          <w:rFonts w:ascii="Arial" w:hAnsi="Arial" w:cs="Arial"/>
          <w:color w:val="4F81BD" w:themeColor="accent1"/>
          <w:sz w:val="24"/>
          <w:szCs w:val="24"/>
        </w:rPr>
        <w:t xml:space="preserve"> la constancia </w:t>
      </w:r>
      <w:r w:rsidR="00FE5A4C" w:rsidRPr="005A2000">
        <w:rPr>
          <w:rFonts w:ascii="Arial" w:hAnsi="Arial" w:cs="Arial"/>
          <w:color w:val="4F81BD" w:themeColor="accent1"/>
          <w:sz w:val="24"/>
          <w:szCs w:val="24"/>
        </w:rPr>
        <w:t xml:space="preserve">que acredita que </w:t>
      </w:r>
      <w:r w:rsidR="00F574E8" w:rsidRPr="005A2000">
        <w:rPr>
          <w:rFonts w:ascii="Arial" w:hAnsi="Arial" w:cs="Arial"/>
          <w:color w:val="4F81BD" w:themeColor="accent1"/>
          <w:sz w:val="24"/>
          <w:szCs w:val="24"/>
        </w:rPr>
        <w:t>dichas respuestas fueron notificadas al recurrente, mismas que consisten en</w:t>
      </w:r>
      <w:r w:rsidR="002F3B82" w:rsidRPr="005A2000">
        <w:rPr>
          <w:rFonts w:ascii="Arial" w:hAnsi="Arial" w:cs="Arial"/>
          <w:color w:val="4F81BD" w:themeColor="accent1"/>
          <w:sz w:val="24"/>
          <w:szCs w:val="24"/>
        </w:rPr>
        <w:t xml:space="preserve"> c</w:t>
      </w:r>
      <w:r w:rsidR="002F3B82" w:rsidRPr="005A2000">
        <w:rPr>
          <w:rFonts w:ascii="Arial" w:hAnsi="Arial" w:cs="Arial"/>
          <w:color w:val="4F81BD" w:themeColor="accent1"/>
          <w:sz w:val="24"/>
          <w:szCs w:val="24"/>
        </w:rPr>
        <w:t xml:space="preserve">opia </w:t>
      </w:r>
      <w:r w:rsidR="002F3B82" w:rsidRPr="005A2000">
        <w:rPr>
          <w:rFonts w:ascii="Arial" w:hAnsi="Arial" w:cs="Arial"/>
          <w:color w:val="4F81BD" w:themeColor="accent1"/>
          <w:sz w:val="24"/>
          <w:szCs w:val="24"/>
        </w:rPr>
        <w:t>c</w:t>
      </w:r>
      <w:r w:rsidR="002F3B82" w:rsidRPr="005A2000">
        <w:rPr>
          <w:rFonts w:ascii="Arial" w:hAnsi="Arial" w:cs="Arial"/>
          <w:color w:val="4F81BD" w:themeColor="accent1"/>
          <w:sz w:val="24"/>
          <w:szCs w:val="24"/>
        </w:rPr>
        <w:t xml:space="preserve">ertificada del correo electrónico enviado </w:t>
      </w:r>
      <w:r w:rsidR="002F3B82" w:rsidRPr="005A2000">
        <w:rPr>
          <w:rFonts w:ascii="Arial" w:hAnsi="Arial" w:cs="Arial"/>
          <w:color w:val="4F81BD" w:themeColor="accent1"/>
          <w:sz w:val="24"/>
          <w:szCs w:val="24"/>
        </w:rPr>
        <w:t>a la dirección señalada por el recurrente para recibir notificaciones</w:t>
      </w:r>
      <w:r w:rsidR="00F574E8" w:rsidRPr="005A2000">
        <w:rPr>
          <w:rFonts w:ascii="Arial" w:hAnsi="Arial" w:cs="Arial"/>
          <w:color w:val="4F81BD" w:themeColor="accent1"/>
          <w:sz w:val="24"/>
          <w:szCs w:val="24"/>
        </w:rPr>
        <w:t xml:space="preserve">; constancias que generan la convicción de que la notificación fue efectuada de manera correcta, ya que el recurrente señaló en su escrito de interposición de su recurso de revisión </w:t>
      </w:r>
      <w:r w:rsidR="00061F5D" w:rsidRPr="005A2000">
        <w:rPr>
          <w:rFonts w:ascii="Arial" w:hAnsi="Arial" w:cs="Arial"/>
          <w:color w:val="4F81BD" w:themeColor="accent1"/>
          <w:sz w:val="24"/>
          <w:szCs w:val="24"/>
        </w:rPr>
        <w:t>que</w:t>
      </w:r>
      <w:r w:rsidR="002F3B82" w:rsidRPr="005A2000">
        <w:rPr>
          <w:rFonts w:ascii="Arial" w:hAnsi="Arial" w:cs="Arial"/>
          <w:color w:val="4F81BD" w:themeColor="accent1"/>
          <w:sz w:val="24"/>
          <w:szCs w:val="24"/>
        </w:rPr>
        <w:t xml:space="preserve"> </w:t>
      </w:r>
      <w:r w:rsidR="00061F5D" w:rsidRPr="005A2000">
        <w:rPr>
          <w:rFonts w:ascii="Arial" w:hAnsi="Arial" w:cs="Arial"/>
          <w:color w:val="4F81BD" w:themeColor="accent1"/>
          <w:sz w:val="24"/>
          <w:szCs w:val="24"/>
        </w:rPr>
        <w:t xml:space="preserve"> las notificaciones fueran practicadas por medio de</w:t>
      </w:r>
      <w:r w:rsidR="008D4A30" w:rsidRPr="005A2000">
        <w:rPr>
          <w:rFonts w:ascii="Arial" w:hAnsi="Arial" w:cs="Arial"/>
          <w:color w:val="4F81BD" w:themeColor="accent1"/>
          <w:sz w:val="24"/>
          <w:szCs w:val="24"/>
        </w:rPr>
        <w:t>l correo electrónico.</w:t>
      </w:r>
    </w:p>
    <w:p w14:paraId="68A9E0B9" w14:textId="77777777" w:rsidR="008D4A30" w:rsidRPr="005A2000" w:rsidRDefault="008D4A30" w:rsidP="005A2000">
      <w:pPr>
        <w:spacing w:after="0" w:line="360" w:lineRule="auto"/>
        <w:ind w:firstLine="708"/>
        <w:jc w:val="both"/>
        <w:rPr>
          <w:rFonts w:ascii="Arial" w:hAnsi="Arial" w:cs="Arial"/>
          <w:color w:val="4F81BD" w:themeColor="accent1"/>
          <w:sz w:val="24"/>
          <w:szCs w:val="24"/>
        </w:rPr>
      </w:pPr>
    </w:p>
    <w:p w14:paraId="5F4BBFD2" w14:textId="356EFB7F" w:rsidR="00AA0DE6" w:rsidRPr="005A2000" w:rsidRDefault="00AA0DE6" w:rsidP="005A2000">
      <w:pPr>
        <w:spacing w:after="0" w:line="360" w:lineRule="auto"/>
        <w:ind w:firstLine="708"/>
        <w:jc w:val="both"/>
        <w:rPr>
          <w:rFonts w:ascii="Arial" w:hAnsi="Arial" w:cs="Arial"/>
          <w:color w:val="4F81BD" w:themeColor="accent1"/>
          <w:sz w:val="24"/>
          <w:szCs w:val="24"/>
        </w:rPr>
      </w:pPr>
      <w:r w:rsidRPr="005A2000">
        <w:rPr>
          <w:rFonts w:ascii="Arial" w:hAnsi="Arial" w:cs="Arial"/>
          <w:color w:val="4F81BD" w:themeColor="accent1"/>
          <w:sz w:val="24"/>
          <w:szCs w:val="24"/>
        </w:rPr>
        <w:t>Con relación a lo anterior es de precisarse que la Ley de transparencia señala:</w:t>
      </w:r>
    </w:p>
    <w:p w14:paraId="791C2508" w14:textId="77777777" w:rsidR="00AA0DE6" w:rsidRPr="005A2000" w:rsidRDefault="00AA0DE6" w:rsidP="005A2000">
      <w:pPr>
        <w:spacing w:after="0" w:line="360" w:lineRule="auto"/>
        <w:ind w:firstLine="708"/>
        <w:jc w:val="both"/>
        <w:rPr>
          <w:rFonts w:ascii="Arial" w:hAnsi="Arial" w:cs="Arial"/>
          <w:i/>
          <w:color w:val="4F81BD" w:themeColor="accent1"/>
          <w:sz w:val="24"/>
          <w:szCs w:val="24"/>
        </w:rPr>
      </w:pPr>
      <w:r w:rsidRPr="005A2000">
        <w:rPr>
          <w:rFonts w:ascii="Arial" w:hAnsi="Arial" w:cs="Arial"/>
          <w:b/>
          <w:i/>
          <w:color w:val="4F81BD" w:themeColor="accent1"/>
          <w:sz w:val="24"/>
          <w:szCs w:val="24"/>
        </w:rPr>
        <w:t>“ARTÍCULO 183.</w:t>
      </w:r>
      <w:r w:rsidRPr="005A2000">
        <w:rPr>
          <w:rFonts w:ascii="Arial" w:hAnsi="Arial" w:cs="Arial"/>
          <w:i/>
          <w:color w:val="4F81BD" w:themeColor="accent1"/>
          <w:sz w:val="24"/>
          <w:szCs w:val="24"/>
        </w:rPr>
        <w:t xml:space="preserve"> Los sujetos obligados, a través de la Unidad de Transparencia, darán estricto cumplimiento a las resoluciones de la CEGAIP y deberán informar a estos sobre su cumplimiento.”</w:t>
      </w:r>
    </w:p>
    <w:p w14:paraId="47C58C35" w14:textId="77777777" w:rsidR="00AA0DE6" w:rsidRPr="005A2000" w:rsidRDefault="00AA0DE6" w:rsidP="005A2000">
      <w:pPr>
        <w:spacing w:after="0" w:line="360" w:lineRule="auto"/>
        <w:ind w:firstLine="708"/>
        <w:jc w:val="both"/>
        <w:rPr>
          <w:rFonts w:ascii="Arial" w:hAnsi="Arial" w:cs="Arial"/>
          <w:b/>
          <w:i/>
          <w:color w:val="4F81BD" w:themeColor="accent1"/>
          <w:sz w:val="24"/>
          <w:szCs w:val="24"/>
        </w:rPr>
      </w:pPr>
    </w:p>
    <w:p w14:paraId="00A0A11A" w14:textId="77777777" w:rsidR="00AA0DE6" w:rsidRPr="005A2000" w:rsidRDefault="00AA0DE6" w:rsidP="005A2000">
      <w:pPr>
        <w:spacing w:after="0" w:line="360" w:lineRule="auto"/>
        <w:ind w:firstLine="708"/>
        <w:jc w:val="both"/>
        <w:rPr>
          <w:rFonts w:ascii="Arial" w:hAnsi="Arial" w:cs="Arial"/>
          <w:i/>
          <w:color w:val="4F81BD" w:themeColor="accent1"/>
          <w:sz w:val="24"/>
          <w:szCs w:val="24"/>
        </w:rPr>
      </w:pPr>
      <w:r w:rsidRPr="005A2000">
        <w:rPr>
          <w:rFonts w:ascii="Arial" w:hAnsi="Arial" w:cs="Arial"/>
          <w:b/>
          <w:i/>
          <w:color w:val="4F81BD" w:themeColor="accent1"/>
          <w:sz w:val="24"/>
          <w:szCs w:val="24"/>
        </w:rPr>
        <w:t>“ARTÍCULO 184.</w:t>
      </w:r>
      <w:r w:rsidRPr="005A2000">
        <w:rPr>
          <w:rFonts w:ascii="Arial" w:hAnsi="Arial" w:cs="Arial"/>
          <w:i/>
          <w:color w:val="4F81BD" w:themeColor="accent1"/>
          <w:sz w:val="24"/>
          <w:szCs w:val="24"/>
        </w:rPr>
        <w:t xml:space="preserve"> Transcurrido el plazo señalado en el artículo anterior, el sujeto obligado deberá informar a la CEGAIP sobre el cumplimento de la resolución.</w:t>
      </w:r>
    </w:p>
    <w:p w14:paraId="2D511FBD" w14:textId="77777777" w:rsidR="00AA0DE6" w:rsidRPr="005A2000" w:rsidRDefault="00AA0DE6" w:rsidP="005A2000">
      <w:pPr>
        <w:spacing w:after="0" w:line="360" w:lineRule="auto"/>
        <w:ind w:firstLine="708"/>
        <w:jc w:val="both"/>
        <w:rPr>
          <w:rFonts w:ascii="Arial" w:hAnsi="Arial" w:cs="Arial"/>
          <w:i/>
          <w:color w:val="4F81BD" w:themeColor="accent1"/>
          <w:sz w:val="24"/>
          <w:szCs w:val="24"/>
        </w:rPr>
      </w:pPr>
      <w:r w:rsidRPr="005A2000">
        <w:rPr>
          <w:rFonts w:ascii="Arial" w:hAnsi="Arial" w:cs="Arial"/>
          <w:i/>
          <w:color w:val="4F81BD" w:themeColor="accent1"/>
          <w:sz w:val="24"/>
          <w:szCs w:val="24"/>
        </w:rPr>
        <w:t>La CEGAIP verificará de oficio la calidad de la información y, a más tardar al día siguiente de recibir el informe, dará vista al recurrente para que, dentro de los cinco días siguientes, manifieste lo que a su derecho convenga. Si dentro del plazo señalado el recurrente manifiesta que el cumplimiento no corresponde a lo ordenado por la CEGAIP, deberá expresar las causas específicas por las cuales así lo considera.”</w:t>
      </w:r>
    </w:p>
    <w:p w14:paraId="7DB313D2" w14:textId="77777777" w:rsidR="00AA0DE6" w:rsidRPr="005A2000" w:rsidRDefault="00AA0DE6" w:rsidP="005A2000">
      <w:pPr>
        <w:spacing w:after="0" w:line="360" w:lineRule="auto"/>
        <w:ind w:firstLine="708"/>
        <w:jc w:val="both"/>
        <w:rPr>
          <w:rFonts w:ascii="Arial" w:hAnsi="Arial" w:cs="Arial"/>
          <w:color w:val="4F81BD" w:themeColor="accent1"/>
          <w:sz w:val="24"/>
          <w:szCs w:val="24"/>
        </w:rPr>
      </w:pPr>
    </w:p>
    <w:p w14:paraId="6ADAB216" w14:textId="77777777" w:rsidR="00ED737A" w:rsidRPr="005A2000" w:rsidRDefault="00ED737A" w:rsidP="005A2000">
      <w:pPr>
        <w:spacing w:after="0" w:line="360" w:lineRule="auto"/>
        <w:jc w:val="both"/>
        <w:rPr>
          <w:rFonts w:ascii="Arial" w:hAnsi="Arial" w:cs="Arial"/>
          <w:color w:val="4F81BD" w:themeColor="accent1"/>
          <w:sz w:val="24"/>
          <w:szCs w:val="24"/>
        </w:rPr>
      </w:pPr>
      <w:r w:rsidRPr="005A2000">
        <w:rPr>
          <w:rFonts w:ascii="Arial" w:hAnsi="Arial" w:cs="Arial"/>
          <w:color w:val="4F81BD" w:themeColor="accent1"/>
          <w:sz w:val="24"/>
          <w:szCs w:val="24"/>
        </w:rPr>
        <w:t xml:space="preserve">Circunstancia que en el caso aconteció ya que la respuesta del sujeto obligado consta del soporte documental suficiente para dar certeza al particular de las respuestas en cumplimiento que generó el sujeto obligado. </w:t>
      </w:r>
    </w:p>
    <w:p w14:paraId="62EEDA0F" w14:textId="77777777" w:rsidR="00ED737A" w:rsidRPr="005A2000" w:rsidRDefault="00ED737A" w:rsidP="005A2000">
      <w:pPr>
        <w:spacing w:after="0" w:line="360" w:lineRule="auto"/>
        <w:jc w:val="both"/>
        <w:rPr>
          <w:rFonts w:ascii="Arial" w:hAnsi="Arial" w:cs="Arial"/>
          <w:color w:val="4F81BD" w:themeColor="accent1"/>
          <w:sz w:val="24"/>
          <w:szCs w:val="24"/>
        </w:rPr>
      </w:pPr>
    </w:p>
    <w:p w14:paraId="00304E70" w14:textId="1693523E" w:rsidR="00ED737A" w:rsidRPr="005A2000" w:rsidRDefault="00ED737A" w:rsidP="005A2000">
      <w:pPr>
        <w:spacing w:after="0" w:line="360" w:lineRule="auto"/>
        <w:jc w:val="both"/>
        <w:rPr>
          <w:rFonts w:ascii="Arial" w:hAnsi="Arial" w:cs="Arial"/>
          <w:color w:val="4F81BD" w:themeColor="accent1"/>
          <w:sz w:val="24"/>
          <w:szCs w:val="24"/>
        </w:rPr>
      </w:pPr>
      <w:r w:rsidRPr="005A2000">
        <w:rPr>
          <w:rFonts w:ascii="Arial" w:hAnsi="Arial" w:cs="Arial"/>
          <w:color w:val="4F81BD" w:themeColor="accent1"/>
          <w:sz w:val="24"/>
          <w:szCs w:val="24"/>
        </w:rPr>
        <w:t xml:space="preserve">Aunado a lo anterior, el sujeto obligado también adjuntó las constancias que acreditan la notificación al recurrente, las cuales se encuentran visibles a fojas </w:t>
      </w:r>
      <w:r w:rsidR="008D4A30" w:rsidRPr="005A2000">
        <w:rPr>
          <w:rFonts w:ascii="Arial" w:hAnsi="Arial" w:cs="Arial"/>
          <w:color w:val="4F81BD" w:themeColor="accent1"/>
          <w:sz w:val="24"/>
          <w:szCs w:val="24"/>
        </w:rPr>
        <w:t>87 y 88</w:t>
      </w:r>
      <w:r w:rsidRPr="005A2000">
        <w:rPr>
          <w:rFonts w:ascii="Arial" w:hAnsi="Arial" w:cs="Arial"/>
          <w:color w:val="4F81BD" w:themeColor="accent1"/>
          <w:sz w:val="24"/>
          <w:szCs w:val="24"/>
        </w:rPr>
        <w:t xml:space="preserve"> de autos.</w:t>
      </w:r>
    </w:p>
    <w:p w14:paraId="583DE21F" w14:textId="77777777" w:rsidR="00ED737A" w:rsidRPr="005A2000" w:rsidRDefault="00ED737A" w:rsidP="005A2000">
      <w:pPr>
        <w:spacing w:after="0" w:line="360" w:lineRule="auto"/>
        <w:jc w:val="both"/>
        <w:rPr>
          <w:rFonts w:ascii="Arial" w:hAnsi="Arial" w:cs="Arial"/>
          <w:color w:val="4F81BD" w:themeColor="accent1"/>
          <w:sz w:val="24"/>
          <w:szCs w:val="24"/>
        </w:rPr>
      </w:pPr>
    </w:p>
    <w:p w14:paraId="5918AB62" w14:textId="71011CEE" w:rsidR="00ED737A" w:rsidRPr="005A2000" w:rsidRDefault="00ED737A" w:rsidP="005A2000">
      <w:pPr>
        <w:spacing w:after="0" w:line="360" w:lineRule="auto"/>
        <w:jc w:val="both"/>
        <w:rPr>
          <w:rFonts w:ascii="Arial" w:hAnsi="Arial" w:cs="Arial"/>
          <w:i/>
          <w:color w:val="4F81BD" w:themeColor="accent1"/>
          <w:sz w:val="24"/>
          <w:szCs w:val="24"/>
        </w:rPr>
      </w:pPr>
      <w:r w:rsidRPr="005A2000">
        <w:rPr>
          <w:rFonts w:ascii="Arial" w:hAnsi="Arial" w:cs="Arial"/>
          <w:color w:val="4F81BD" w:themeColor="accent1"/>
          <w:sz w:val="24"/>
          <w:szCs w:val="24"/>
        </w:rPr>
        <w:t xml:space="preserve">De tal suerte, se tiene que las documentales remitidas por el sujeto obligado son suficientes para colmar los extremos fijados en la resolución de mérito y por </w:t>
      </w:r>
      <w:r w:rsidR="008D4A30" w:rsidRPr="005A2000">
        <w:rPr>
          <w:rFonts w:ascii="Arial" w:hAnsi="Arial" w:cs="Arial"/>
          <w:color w:val="4F81BD" w:themeColor="accent1"/>
          <w:sz w:val="24"/>
          <w:szCs w:val="24"/>
        </w:rPr>
        <w:t>tanto ésta</w:t>
      </w:r>
      <w:r w:rsidRPr="005A2000">
        <w:rPr>
          <w:rFonts w:ascii="Arial" w:hAnsi="Arial" w:cs="Arial"/>
          <w:color w:val="4F81BD" w:themeColor="accent1"/>
          <w:sz w:val="24"/>
          <w:szCs w:val="24"/>
        </w:rPr>
        <w:t xml:space="preserve"> se encuentra cumplida.</w:t>
      </w:r>
    </w:p>
    <w:p w14:paraId="2273BAF3" w14:textId="77777777" w:rsidR="00ED737A" w:rsidRPr="005A2000" w:rsidRDefault="00ED737A" w:rsidP="005A2000">
      <w:pPr>
        <w:spacing w:after="0" w:line="360" w:lineRule="auto"/>
        <w:ind w:firstLine="709"/>
        <w:jc w:val="both"/>
        <w:rPr>
          <w:rFonts w:ascii="Arial" w:hAnsi="Arial" w:cs="Arial"/>
          <w:color w:val="4F81BD" w:themeColor="accent1"/>
          <w:sz w:val="24"/>
          <w:szCs w:val="24"/>
        </w:rPr>
      </w:pPr>
    </w:p>
    <w:p w14:paraId="4CD7C8C7" w14:textId="670C7339" w:rsidR="00ED737A" w:rsidRPr="005A2000" w:rsidRDefault="00ED737A" w:rsidP="005A2000">
      <w:pPr>
        <w:spacing w:after="0" w:line="360" w:lineRule="auto"/>
        <w:jc w:val="both"/>
        <w:rPr>
          <w:rFonts w:ascii="Arial" w:hAnsi="Arial" w:cs="Arial"/>
          <w:color w:val="4F81BD" w:themeColor="accent1"/>
          <w:sz w:val="24"/>
          <w:szCs w:val="24"/>
        </w:rPr>
      </w:pPr>
      <w:r w:rsidRPr="005A2000">
        <w:rPr>
          <w:rFonts w:ascii="Arial" w:hAnsi="Arial" w:cs="Arial"/>
          <w:color w:val="4F81BD" w:themeColor="accent1"/>
          <w:sz w:val="24"/>
          <w:szCs w:val="24"/>
        </w:rPr>
        <w:t xml:space="preserve">Por otro lado, esta Comisión por medio de proveído de fecha </w:t>
      </w:r>
      <w:r w:rsidR="008D4A30" w:rsidRPr="005A2000">
        <w:rPr>
          <w:rFonts w:ascii="Arial" w:hAnsi="Arial" w:cs="Arial"/>
          <w:color w:val="4F81BD" w:themeColor="accent1"/>
          <w:sz w:val="24"/>
          <w:szCs w:val="24"/>
        </w:rPr>
        <w:t>10 diez</w:t>
      </w:r>
      <w:r w:rsidRPr="005A2000">
        <w:rPr>
          <w:rFonts w:ascii="Arial" w:hAnsi="Arial" w:cs="Arial"/>
          <w:color w:val="4F81BD" w:themeColor="accent1"/>
          <w:sz w:val="24"/>
          <w:szCs w:val="24"/>
        </w:rPr>
        <w:t xml:space="preserve"> de agosto de dos mil dieciocho, dio vista a la parte recurrente con las constancias remitidas por el sujeto obligado, para el efecto de que realizara las manifestaciones que a sus intereses conviniera, sin que hubiera realizado manifestación alguna al respecto, aun cuando fue debidamente notificado como se desprende de las constancias de notificación visibles a fojas </w:t>
      </w:r>
      <w:r w:rsidR="008D4A30" w:rsidRPr="005A2000">
        <w:rPr>
          <w:rFonts w:ascii="Arial" w:hAnsi="Arial" w:cs="Arial"/>
          <w:color w:val="4F81BD" w:themeColor="accent1"/>
          <w:sz w:val="24"/>
          <w:szCs w:val="24"/>
        </w:rPr>
        <w:t>97 y 98</w:t>
      </w:r>
      <w:r w:rsidRPr="005A2000">
        <w:rPr>
          <w:rFonts w:ascii="Arial" w:hAnsi="Arial" w:cs="Arial"/>
          <w:color w:val="4F81BD" w:themeColor="accent1"/>
          <w:sz w:val="24"/>
          <w:szCs w:val="24"/>
        </w:rPr>
        <w:t xml:space="preserve"> de autos.</w:t>
      </w:r>
    </w:p>
    <w:p w14:paraId="0D3E6598" w14:textId="77777777" w:rsidR="00ED737A" w:rsidRPr="005A2000" w:rsidRDefault="00ED737A" w:rsidP="005A2000">
      <w:pPr>
        <w:spacing w:after="0" w:line="360" w:lineRule="auto"/>
        <w:jc w:val="both"/>
        <w:rPr>
          <w:rFonts w:ascii="Arial" w:hAnsi="Arial" w:cs="Arial"/>
          <w:color w:val="4F81BD" w:themeColor="accent1"/>
          <w:sz w:val="24"/>
          <w:szCs w:val="24"/>
        </w:rPr>
      </w:pPr>
    </w:p>
    <w:p w14:paraId="2DCC2FE4" w14:textId="77777777" w:rsidR="00ED737A" w:rsidRPr="005A2000" w:rsidRDefault="00ED737A" w:rsidP="005A2000">
      <w:pPr>
        <w:spacing w:after="0" w:line="360" w:lineRule="auto"/>
        <w:jc w:val="both"/>
        <w:rPr>
          <w:rFonts w:ascii="Arial" w:hAnsi="Arial" w:cs="Arial"/>
          <w:color w:val="4F81BD" w:themeColor="accent1"/>
          <w:sz w:val="24"/>
          <w:szCs w:val="24"/>
        </w:rPr>
      </w:pPr>
      <w:r w:rsidRPr="005A2000">
        <w:rPr>
          <w:rFonts w:ascii="Arial" w:hAnsi="Arial" w:cs="Arial"/>
          <w:color w:val="4F81BD" w:themeColor="accent1"/>
          <w:sz w:val="24"/>
          <w:szCs w:val="24"/>
        </w:rPr>
        <w:t xml:space="preserve">En ese sentido, es dable asentar que no existe constancia alguna agregada a los autos que contravenga las documentales remitidas por el sujeto obligado para acreditar el cumplimiento de la resolución. </w:t>
      </w:r>
    </w:p>
    <w:p w14:paraId="0D561619" w14:textId="77777777" w:rsidR="00ED737A" w:rsidRPr="005A2000" w:rsidRDefault="00ED737A" w:rsidP="005A2000">
      <w:pPr>
        <w:spacing w:after="0" w:line="360" w:lineRule="auto"/>
        <w:ind w:firstLine="709"/>
        <w:jc w:val="both"/>
        <w:rPr>
          <w:rFonts w:ascii="Arial" w:hAnsi="Arial" w:cs="Arial"/>
          <w:color w:val="4F81BD" w:themeColor="accent1"/>
          <w:sz w:val="24"/>
          <w:szCs w:val="24"/>
        </w:rPr>
      </w:pPr>
    </w:p>
    <w:p w14:paraId="3A9A6F82" w14:textId="72D822CA" w:rsidR="00ED737A" w:rsidRPr="005A2000" w:rsidRDefault="00ED737A" w:rsidP="005A2000">
      <w:pPr>
        <w:spacing w:after="0" w:line="360" w:lineRule="auto"/>
        <w:jc w:val="both"/>
        <w:rPr>
          <w:rFonts w:ascii="Arial" w:hAnsi="Arial" w:cs="Arial"/>
          <w:b/>
          <w:color w:val="4F81BD" w:themeColor="accent1"/>
          <w:sz w:val="24"/>
          <w:szCs w:val="24"/>
        </w:rPr>
      </w:pPr>
      <w:r w:rsidRPr="005A2000">
        <w:rPr>
          <w:rFonts w:ascii="Arial" w:hAnsi="Arial" w:cs="Arial"/>
          <w:color w:val="4F81BD" w:themeColor="accent1"/>
          <w:sz w:val="24"/>
          <w:szCs w:val="24"/>
        </w:rPr>
        <w:t xml:space="preserve">En consecuencia, por lo anteriormente expuesto y con fundamento en los artículos 27° primer párrafo y 185 de la Ley de Transparencia y Acceso a la Información Pública del Estado, </w:t>
      </w:r>
      <w:r w:rsidRPr="005A2000">
        <w:rPr>
          <w:rFonts w:ascii="Arial" w:hAnsi="Arial" w:cs="Arial"/>
          <w:b/>
          <w:color w:val="4F81BD" w:themeColor="accent1"/>
          <w:sz w:val="24"/>
          <w:szCs w:val="24"/>
        </w:rPr>
        <w:t>se tiene por cumplida la resolución, dictada en el recurso de revisión RR-3</w:t>
      </w:r>
      <w:r w:rsidR="008D4A30" w:rsidRPr="005A2000">
        <w:rPr>
          <w:rFonts w:ascii="Arial" w:hAnsi="Arial" w:cs="Arial"/>
          <w:b/>
          <w:color w:val="4F81BD" w:themeColor="accent1"/>
          <w:sz w:val="24"/>
          <w:szCs w:val="24"/>
        </w:rPr>
        <w:t>01</w:t>
      </w:r>
      <w:r w:rsidRPr="005A2000">
        <w:rPr>
          <w:rFonts w:ascii="Arial" w:hAnsi="Arial" w:cs="Arial"/>
          <w:b/>
          <w:color w:val="4F81BD" w:themeColor="accent1"/>
          <w:sz w:val="24"/>
          <w:szCs w:val="24"/>
        </w:rPr>
        <w:t>/2018-1 PLATAFORMA.</w:t>
      </w:r>
    </w:p>
    <w:p w14:paraId="51B4B16E" w14:textId="77777777" w:rsidR="00ED737A" w:rsidRPr="005A2000" w:rsidRDefault="00ED737A" w:rsidP="005A2000">
      <w:pPr>
        <w:spacing w:after="0" w:line="360" w:lineRule="auto"/>
        <w:ind w:firstLine="709"/>
        <w:jc w:val="both"/>
        <w:rPr>
          <w:rFonts w:ascii="Arial" w:hAnsi="Arial" w:cs="Arial"/>
          <w:b/>
          <w:color w:val="4F81BD" w:themeColor="accent1"/>
          <w:sz w:val="24"/>
          <w:szCs w:val="24"/>
        </w:rPr>
      </w:pPr>
    </w:p>
    <w:p w14:paraId="1C07B5AF" w14:textId="77777777" w:rsidR="00ED737A" w:rsidRPr="005A2000" w:rsidRDefault="00ED737A" w:rsidP="005A2000">
      <w:pPr>
        <w:spacing w:after="0" w:line="360" w:lineRule="auto"/>
        <w:ind w:firstLine="709"/>
        <w:jc w:val="both"/>
        <w:rPr>
          <w:rFonts w:ascii="Arial" w:hAnsi="Arial" w:cs="Arial"/>
          <w:color w:val="4F81BD" w:themeColor="accent1"/>
          <w:sz w:val="24"/>
          <w:szCs w:val="24"/>
        </w:rPr>
      </w:pPr>
      <w:r w:rsidRPr="005A2000">
        <w:rPr>
          <w:rFonts w:ascii="Arial" w:hAnsi="Arial" w:cs="Arial"/>
          <w:color w:val="4F81BD" w:themeColor="accent1"/>
          <w:sz w:val="24"/>
          <w:szCs w:val="24"/>
        </w:rPr>
        <w:t xml:space="preserve"> Por último, archívese en su oportunidad este expediente como asunto totalmente concluido. </w:t>
      </w:r>
      <w:r w:rsidRPr="005A2000">
        <w:rPr>
          <w:rFonts w:ascii="Arial" w:hAnsi="Arial" w:cs="Arial"/>
          <w:b/>
          <w:color w:val="4F81BD" w:themeColor="accent1"/>
          <w:sz w:val="24"/>
          <w:szCs w:val="24"/>
        </w:rPr>
        <w:t>Notifíquese por lista y personalmente a las partes.</w:t>
      </w:r>
    </w:p>
    <w:p w14:paraId="6ED1C38D" w14:textId="77777777" w:rsidR="00ED737A" w:rsidRPr="005A2000" w:rsidRDefault="00ED737A" w:rsidP="005A2000">
      <w:pPr>
        <w:tabs>
          <w:tab w:val="left" w:pos="3795"/>
        </w:tabs>
        <w:spacing w:after="0" w:line="360" w:lineRule="auto"/>
        <w:jc w:val="both"/>
        <w:rPr>
          <w:rFonts w:ascii="Arial" w:eastAsia="Batang" w:hAnsi="Arial" w:cs="Arial"/>
          <w:color w:val="4F81BD" w:themeColor="accent1"/>
          <w:sz w:val="24"/>
          <w:szCs w:val="24"/>
        </w:rPr>
      </w:pPr>
      <w:r w:rsidRPr="005A2000">
        <w:rPr>
          <w:rFonts w:ascii="Arial" w:eastAsia="Batang" w:hAnsi="Arial" w:cs="Arial"/>
          <w:color w:val="4F81BD" w:themeColor="accent1"/>
          <w:sz w:val="24"/>
          <w:szCs w:val="24"/>
        </w:rPr>
        <w:tab/>
      </w:r>
    </w:p>
    <w:p w14:paraId="0047F548" w14:textId="77777777" w:rsidR="00ED737A" w:rsidRPr="005A2000" w:rsidRDefault="00ED737A" w:rsidP="005A2000">
      <w:pPr>
        <w:spacing w:after="0" w:line="360" w:lineRule="auto"/>
        <w:ind w:firstLine="709"/>
        <w:jc w:val="both"/>
        <w:rPr>
          <w:rFonts w:ascii="Arial" w:hAnsi="Arial" w:cs="Arial"/>
          <w:color w:val="4F81BD" w:themeColor="accent1"/>
          <w:sz w:val="24"/>
          <w:szCs w:val="24"/>
        </w:rPr>
      </w:pPr>
      <w:r w:rsidRPr="005A2000">
        <w:rPr>
          <w:rFonts w:ascii="Arial" w:hAnsi="Arial" w:cs="Arial"/>
          <w:color w:val="4F81BD" w:themeColor="accent1"/>
          <w:sz w:val="24"/>
          <w:szCs w:val="24"/>
        </w:rPr>
        <w:t xml:space="preserve"> Así lo proveyó y firma el Comisionado ponente de la Comisión Estatal de Garantía de Acceso a la Información Pública Alejandro Lafuente Torres, que actúa con Rosa María Motilla García, Secretaria de Pleno que da fe.</w:t>
      </w:r>
    </w:p>
    <w:p w14:paraId="639984C6" w14:textId="77777777" w:rsidR="00ED737A" w:rsidRPr="005A2000" w:rsidRDefault="00ED737A" w:rsidP="005A2000">
      <w:pPr>
        <w:spacing w:after="0" w:line="360" w:lineRule="auto"/>
        <w:jc w:val="both"/>
        <w:rPr>
          <w:rFonts w:ascii="Arial" w:hAnsi="Arial" w:cs="Arial"/>
          <w:b/>
          <w:color w:val="4F81BD" w:themeColor="accent1"/>
          <w:sz w:val="24"/>
          <w:szCs w:val="24"/>
        </w:rPr>
      </w:pPr>
    </w:p>
    <w:p w14:paraId="138793EC" w14:textId="77777777" w:rsidR="00ED737A" w:rsidRPr="005A2000" w:rsidRDefault="00ED737A" w:rsidP="005A2000">
      <w:pPr>
        <w:spacing w:after="0" w:line="360" w:lineRule="auto"/>
        <w:jc w:val="both"/>
        <w:rPr>
          <w:rFonts w:ascii="Arial" w:hAnsi="Arial" w:cs="Arial"/>
          <w:b/>
          <w:color w:val="4F81BD" w:themeColor="accent1"/>
          <w:sz w:val="24"/>
          <w:szCs w:val="24"/>
        </w:rPr>
      </w:pPr>
    </w:p>
    <w:p w14:paraId="53428D7D" w14:textId="77777777" w:rsidR="00ED737A" w:rsidRPr="005A2000" w:rsidRDefault="00ED737A" w:rsidP="005A2000">
      <w:pPr>
        <w:spacing w:after="0" w:line="360" w:lineRule="auto"/>
        <w:ind w:firstLine="709"/>
        <w:jc w:val="both"/>
        <w:rPr>
          <w:rFonts w:ascii="Arial" w:hAnsi="Arial" w:cs="Arial"/>
          <w:b/>
          <w:color w:val="4F81BD" w:themeColor="accent1"/>
          <w:sz w:val="24"/>
          <w:szCs w:val="24"/>
        </w:rPr>
      </w:pPr>
    </w:p>
    <w:p w14:paraId="3B3ADC90" w14:textId="77777777" w:rsidR="00ED737A" w:rsidRPr="005A2000" w:rsidRDefault="00ED737A" w:rsidP="005A2000">
      <w:pPr>
        <w:spacing w:after="0" w:line="360" w:lineRule="auto"/>
        <w:ind w:firstLine="709"/>
        <w:jc w:val="both"/>
        <w:rPr>
          <w:rFonts w:ascii="Arial" w:hAnsi="Arial" w:cs="Arial"/>
          <w:b/>
          <w:color w:val="4F81BD" w:themeColor="accent1"/>
          <w:sz w:val="24"/>
          <w:szCs w:val="24"/>
        </w:rPr>
      </w:pPr>
      <w:r w:rsidRPr="005A2000">
        <w:rPr>
          <w:rFonts w:ascii="Arial" w:hAnsi="Arial" w:cs="Arial"/>
          <w:b/>
          <w:color w:val="4F81BD" w:themeColor="accent1"/>
          <w:sz w:val="24"/>
          <w:szCs w:val="24"/>
        </w:rPr>
        <w:t xml:space="preserve">           Alejandro Lafuente Torres</w:t>
      </w:r>
      <w:r w:rsidRPr="005A2000">
        <w:rPr>
          <w:rFonts w:ascii="Arial" w:hAnsi="Arial" w:cs="Arial"/>
          <w:color w:val="4F81BD" w:themeColor="accent1"/>
          <w:sz w:val="24"/>
          <w:szCs w:val="24"/>
        </w:rPr>
        <w:t xml:space="preserve"> </w:t>
      </w:r>
      <w:r w:rsidRPr="005A2000">
        <w:rPr>
          <w:rFonts w:ascii="Arial" w:hAnsi="Arial" w:cs="Arial"/>
          <w:b/>
          <w:color w:val="4F81BD" w:themeColor="accent1"/>
          <w:sz w:val="24"/>
          <w:szCs w:val="24"/>
          <w:lang w:val="es-ES"/>
        </w:rPr>
        <w:t xml:space="preserve">          Rosa María Motilla García</w:t>
      </w:r>
      <w:r w:rsidRPr="005A2000">
        <w:rPr>
          <w:rFonts w:ascii="Arial" w:hAnsi="Arial" w:cs="Arial"/>
          <w:b/>
          <w:color w:val="4F81BD" w:themeColor="accent1"/>
          <w:sz w:val="24"/>
          <w:szCs w:val="24"/>
        </w:rPr>
        <w:t xml:space="preserve">        </w:t>
      </w:r>
    </w:p>
    <w:p w14:paraId="5C2C4638" w14:textId="77777777" w:rsidR="00ED737A" w:rsidRPr="005A2000" w:rsidRDefault="00ED737A" w:rsidP="005A2000">
      <w:pPr>
        <w:spacing w:after="0" w:line="360" w:lineRule="auto"/>
        <w:ind w:firstLine="709"/>
        <w:jc w:val="both"/>
        <w:rPr>
          <w:rFonts w:ascii="Arial" w:hAnsi="Arial" w:cs="Arial"/>
          <w:b/>
          <w:color w:val="4F81BD" w:themeColor="accent1"/>
          <w:sz w:val="24"/>
          <w:szCs w:val="24"/>
          <w:lang w:val="es-ES"/>
        </w:rPr>
      </w:pPr>
      <w:r w:rsidRPr="005A2000">
        <w:rPr>
          <w:rFonts w:ascii="Arial" w:hAnsi="Arial" w:cs="Arial"/>
          <w:b/>
          <w:color w:val="4F81BD" w:themeColor="accent1"/>
          <w:sz w:val="24"/>
          <w:szCs w:val="24"/>
        </w:rPr>
        <w:t xml:space="preserve">           Comisionado Ponente                      Secretaria de Pleno</w:t>
      </w:r>
    </w:p>
    <w:p w14:paraId="434578B2" w14:textId="77777777" w:rsidR="00056D68" w:rsidRPr="005A2000" w:rsidRDefault="00056D68" w:rsidP="005A2000">
      <w:pPr>
        <w:spacing w:line="360" w:lineRule="auto"/>
        <w:jc w:val="center"/>
        <w:rPr>
          <w:rFonts w:ascii="Arial" w:hAnsi="Arial" w:cs="Arial"/>
          <w:b/>
          <w:color w:val="4F81BD" w:themeColor="accent1"/>
          <w:sz w:val="24"/>
          <w:szCs w:val="24"/>
        </w:rPr>
      </w:pPr>
    </w:p>
    <w:sectPr w:rsidR="00056D68" w:rsidRPr="005A2000" w:rsidSect="00FF56CF">
      <w:headerReference w:type="default" r:id="rId8"/>
      <w:footerReference w:type="default" r:id="rId9"/>
      <w:pgSz w:w="12240" w:h="20160" w:code="5"/>
      <w:pgMar w:top="2694" w:right="851" w:bottom="2268"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FBA25F" w14:textId="77777777" w:rsidR="00597CA3" w:rsidRDefault="00597CA3" w:rsidP="00A04BCB">
      <w:pPr>
        <w:spacing w:after="0" w:line="240" w:lineRule="auto"/>
      </w:pPr>
      <w:r>
        <w:separator/>
      </w:r>
    </w:p>
  </w:endnote>
  <w:endnote w:type="continuationSeparator" w:id="0">
    <w:p w14:paraId="472CBBB6" w14:textId="77777777" w:rsidR="00597CA3" w:rsidRDefault="00597CA3" w:rsidP="00A04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2A7C47" w14:textId="77777777" w:rsidR="00791265" w:rsidRDefault="00791265">
    <w:pPr>
      <w:pStyle w:val="Piedepgina"/>
    </w:pPr>
  </w:p>
  <w:p w14:paraId="1CEEADC0" w14:textId="77777777" w:rsidR="00A45785" w:rsidRDefault="00A4578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677A95" w14:textId="77777777" w:rsidR="00597CA3" w:rsidRDefault="00597CA3" w:rsidP="00A04BCB">
      <w:pPr>
        <w:spacing w:after="0" w:line="240" w:lineRule="auto"/>
      </w:pPr>
      <w:r>
        <w:separator/>
      </w:r>
    </w:p>
  </w:footnote>
  <w:footnote w:type="continuationSeparator" w:id="0">
    <w:p w14:paraId="402005EF" w14:textId="77777777" w:rsidR="00597CA3" w:rsidRDefault="00597CA3" w:rsidP="00A04B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1A8D6E" w14:textId="198F63B0" w:rsidR="00A04BCB" w:rsidRDefault="00624ED9" w:rsidP="005D7E54">
    <w:pPr>
      <w:pStyle w:val="Encabezado"/>
      <w:jc w:val="right"/>
    </w:pPr>
    <w:r>
      <w:rPr>
        <w:rFonts w:ascii="Arial" w:hAnsi="Arial" w:cs="Arial"/>
        <w:b/>
      </w:rPr>
      <w:t>RR-</w:t>
    </w:r>
    <w:r w:rsidR="00DF1C44">
      <w:rPr>
        <w:rFonts w:ascii="Arial" w:hAnsi="Arial" w:cs="Arial"/>
        <w:b/>
      </w:rPr>
      <w:t>301</w:t>
    </w:r>
    <w:r w:rsidR="002414D8">
      <w:rPr>
        <w:rFonts w:ascii="Arial" w:hAnsi="Arial" w:cs="Arial"/>
        <w:b/>
      </w:rPr>
      <w:t>/201</w:t>
    </w:r>
    <w:r w:rsidR="00763AC0">
      <w:rPr>
        <w:rFonts w:ascii="Arial" w:hAnsi="Arial" w:cs="Arial"/>
        <w:b/>
      </w:rPr>
      <w:t>8</w:t>
    </w:r>
    <w:r w:rsidR="002526F3">
      <w:rPr>
        <w:rFonts w:ascii="Arial" w:hAnsi="Arial" w:cs="Arial"/>
        <w:b/>
      </w:rPr>
      <w:t>-</w:t>
    </w:r>
    <w:r w:rsidR="001F7935">
      <w:rPr>
        <w:rFonts w:ascii="Arial" w:hAnsi="Arial" w:cs="Arial"/>
        <w:b/>
      </w:rPr>
      <w:t>1</w:t>
    </w:r>
    <w:r w:rsidR="00FC2F02">
      <w:rPr>
        <w:rFonts w:ascii="Arial" w:hAnsi="Arial" w:cs="Arial"/>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43D98"/>
    <w:multiLevelType w:val="hybridMultilevel"/>
    <w:tmpl w:val="87DEF50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 w15:restartNumberingAfterBreak="0">
    <w:nsid w:val="09FC422D"/>
    <w:multiLevelType w:val="hybridMultilevel"/>
    <w:tmpl w:val="CF301644"/>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 w15:restartNumberingAfterBreak="0">
    <w:nsid w:val="0B9E5202"/>
    <w:multiLevelType w:val="hybridMultilevel"/>
    <w:tmpl w:val="D020EFEA"/>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 w15:restartNumberingAfterBreak="0">
    <w:nsid w:val="0E1E3FA2"/>
    <w:multiLevelType w:val="hybridMultilevel"/>
    <w:tmpl w:val="DD0CBE1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4" w15:restartNumberingAfterBreak="0">
    <w:nsid w:val="0EE51D7B"/>
    <w:multiLevelType w:val="hybridMultilevel"/>
    <w:tmpl w:val="B868181A"/>
    <w:lvl w:ilvl="0" w:tplc="080A0015">
      <w:start w:val="9"/>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F30C7D"/>
    <w:multiLevelType w:val="hybridMultilevel"/>
    <w:tmpl w:val="3F282C80"/>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31D75FB"/>
    <w:multiLevelType w:val="hybridMultilevel"/>
    <w:tmpl w:val="E7C89218"/>
    <w:lvl w:ilvl="0" w:tplc="080A0001">
      <w:start w:val="1"/>
      <w:numFmt w:val="bullet"/>
      <w:lvlText w:val=""/>
      <w:lvlJc w:val="left"/>
      <w:pPr>
        <w:ind w:left="1429" w:hanging="360"/>
      </w:pPr>
      <w:rPr>
        <w:rFonts w:ascii="Symbol" w:hAnsi="Symbol" w:hint="default"/>
      </w:rPr>
    </w:lvl>
    <w:lvl w:ilvl="1" w:tplc="080A0003">
      <w:start w:val="1"/>
      <w:numFmt w:val="bullet"/>
      <w:lvlText w:val="o"/>
      <w:lvlJc w:val="left"/>
      <w:pPr>
        <w:ind w:left="2149" w:hanging="360"/>
      </w:pPr>
      <w:rPr>
        <w:rFonts w:ascii="Courier New" w:hAnsi="Courier New" w:cs="Courier New" w:hint="default"/>
      </w:rPr>
    </w:lvl>
    <w:lvl w:ilvl="2" w:tplc="080A0005">
      <w:start w:val="1"/>
      <w:numFmt w:val="bullet"/>
      <w:lvlText w:val=""/>
      <w:lvlJc w:val="left"/>
      <w:pPr>
        <w:ind w:left="2869" w:hanging="360"/>
      </w:pPr>
      <w:rPr>
        <w:rFonts w:ascii="Wingdings" w:hAnsi="Wingdings" w:hint="default"/>
      </w:rPr>
    </w:lvl>
    <w:lvl w:ilvl="3" w:tplc="080A0001">
      <w:start w:val="1"/>
      <w:numFmt w:val="bullet"/>
      <w:lvlText w:val=""/>
      <w:lvlJc w:val="left"/>
      <w:pPr>
        <w:ind w:left="3589" w:hanging="360"/>
      </w:pPr>
      <w:rPr>
        <w:rFonts w:ascii="Symbol" w:hAnsi="Symbol" w:hint="default"/>
      </w:rPr>
    </w:lvl>
    <w:lvl w:ilvl="4" w:tplc="080A0003">
      <w:start w:val="1"/>
      <w:numFmt w:val="bullet"/>
      <w:lvlText w:val="o"/>
      <w:lvlJc w:val="left"/>
      <w:pPr>
        <w:ind w:left="4309" w:hanging="360"/>
      </w:pPr>
      <w:rPr>
        <w:rFonts w:ascii="Courier New" w:hAnsi="Courier New" w:cs="Courier New" w:hint="default"/>
      </w:rPr>
    </w:lvl>
    <w:lvl w:ilvl="5" w:tplc="080A0005">
      <w:start w:val="1"/>
      <w:numFmt w:val="bullet"/>
      <w:lvlText w:val=""/>
      <w:lvlJc w:val="left"/>
      <w:pPr>
        <w:ind w:left="5029" w:hanging="360"/>
      </w:pPr>
      <w:rPr>
        <w:rFonts w:ascii="Wingdings" w:hAnsi="Wingdings" w:hint="default"/>
      </w:rPr>
    </w:lvl>
    <w:lvl w:ilvl="6" w:tplc="080A0001">
      <w:start w:val="1"/>
      <w:numFmt w:val="bullet"/>
      <w:lvlText w:val=""/>
      <w:lvlJc w:val="left"/>
      <w:pPr>
        <w:ind w:left="5749" w:hanging="360"/>
      </w:pPr>
      <w:rPr>
        <w:rFonts w:ascii="Symbol" w:hAnsi="Symbol" w:hint="default"/>
      </w:rPr>
    </w:lvl>
    <w:lvl w:ilvl="7" w:tplc="080A0003">
      <w:start w:val="1"/>
      <w:numFmt w:val="bullet"/>
      <w:lvlText w:val="o"/>
      <w:lvlJc w:val="left"/>
      <w:pPr>
        <w:ind w:left="6469" w:hanging="360"/>
      </w:pPr>
      <w:rPr>
        <w:rFonts w:ascii="Courier New" w:hAnsi="Courier New" w:cs="Courier New" w:hint="default"/>
      </w:rPr>
    </w:lvl>
    <w:lvl w:ilvl="8" w:tplc="080A0005">
      <w:start w:val="1"/>
      <w:numFmt w:val="bullet"/>
      <w:lvlText w:val=""/>
      <w:lvlJc w:val="left"/>
      <w:pPr>
        <w:ind w:left="7189" w:hanging="360"/>
      </w:pPr>
      <w:rPr>
        <w:rFonts w:ascii="Wingdings" w:hAnsi="Wingdings" w:hint="default"/>
      </w:rPr>
    </w:lvl>
  </w:abstractNum>
  <w:abstractNum w:abstractNumId="7" w15:restartNumberingAfterBreak="0">
    <w:nsid w:val="17CB0AA4"/>
    <w:multiLevelType w:val="hybridMultilevel"/>
    <w:tmpl w:val="ED6286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1F1D55E2"/>
    <w:multiLevelType w:val="hybridMultilevel"/>
    <w:tmpl w:val="EC249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9" w15:restartNumberingAfterBreak="0">
    <w:nsid w:val="2771664B"/>
    <w:multiLevelType w:val="hybridMultilevel"/>
    <w:tmpl w:val="5EA20BC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2DF122E6"/>
    <w:multiLevelType w:val="hybridMultilevel"/>
    <w:tmpl w:val="2B4C46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8F977A7"/>
    <w:multiLevelType w:val="hybridMultilevel"/>
    <w:tmpl w:val="1DDA9D80"/>
    <w:lvl w:ilvl="0" w:tplc="080A0001">
      <w:start w:val="1"/>
      <w:numFmt w:val="bullet"/>
      <w:lvlText w:val=""/>
      <w:lvlJc w:val="left"/>
      <w:pPr>
        <w:ind w:left="1560" w:hanging="360"/>
      </w:pPr>
      <w:rPr>
        <w:rFonts w:ascii="Symbol" w:hAnsi="Symbol" w:hint="default"/>
      </w:rPr>
    </w:lvl>
    <w:lvl w:ilvl="1" w:tplc="080A0003" w:tentative="1">
      <w:start w:val="1"/>
      <w:numFmt w:val="bullet"/>
      <w:lvlText w:val="o"/>
      <w:lvlJc w:val="left"/>
      <w:pPr>
        <w:ind w:left="2280" w:hanging="360"/>
      </w:pPr>
      <w:rPr>
        <w:rFonts w:ascii="Courier New" w:hAnsi="Courier New" w:cs="Courier New" w:hint="default"/>
      </w:rPr>
    </w:lvl>
    <w:lvl w:ilvl="2" w:tplc="080A0005" w:tentative="1">
      <w:start w:val="1"/>
      <w:numFmt w:val="bullet"/>
      <w:lvlText w:val=""/>
      <w:lvlJc w:val="left"/>
      <w:pPr>
        <w:ind w:left="3000" w:hanging="360"/>
      </w:pPr>
      <w:rPr>
        <w:rFonts w:ascii="Wingdings" w:hAnsi="Wingdings" w:hint="default"/>
      </w:rPr>
    </w:lvl>
    <w:lvl w:ilvl="3" w:tplc="080A0001" w:tentative="1">
      <w:start w:val="1"/>
      <w:numFmt w:val="bullet"/>
      <w:lvlText w:val=""/>
      <w:lvlJc w:val="left"/>
      <w:pPr>
        <w:ind w:left="3720" w:hanging="360"/>
      </w:pPr>
      <w:rPr>
        <w:rFonts w:ascii="Symbol" w:hAnsi="Symbol" w:hint="default"/>
      </w:rPr>
    </w:lvl>
    <w:lvl w:ilvl="4" w:tplc="080A0003" w:tentative="1">
      <w:start w:val="1"/>
      <w:numFmt w:val="bullet"/>
      <w:lvlText w:val="o"/>
      <w:lvlJc w:val="left"/>
      <w:pPr>
        <w:ind w:left="4440" w:hanging="360"/>
      </w:pPr>
      <w:rPr>
        <w:rFonts w:ascii="Courier New" w:hAnsi="Courier New" w:cs="Courier New" w:hint="default"/>
      </w:rPr>
    </w:lvl>
    <w:lvl w:ilvl="5" w:tplc="080A0005" w:tentative="1">
      <w:start w:val="1"/>
      <w:numFmt w:val="bullet"/>
      <w:lvlText w:val=""/>
      <w:lvlJc w:val="left"/>
      <w:pPr>
        <w:ind w:left="5160" w:hanging="360"/>
      </w:pPr>
      <w:rPr>
        <w:rFonts w:ascii="Wingdings" w:hAnsi="Wingdings" w:hint="default"/>
      </w:rPr>
    </w:lvl>
    <w:lvl w:ilvl="6" w:tplc="080A0001" w:tentative="1">
      <w:start w:val="1"/>
      <w:numFmt w:val="bullet"/>
      <w:lvlText w:val=""/>
      <w:lvlJc w:val="left"/>
      <w:pPr>
        <w:ind w:left="5880" w:hanging="360"/>
      </w:pPr>
      <w:rPr>
        <w:rFonts w:ascii="Symbol" w:hAnsi="Symbol" w:hint="default"/>
      </w:rPr>
    </w:lvl>
    <w:lvl w:ilvl="7" w:tplc="080A0003" w:tentative="1">
      <w:start w:val="1"/>
      <w:numFmt w:val="bullet"/>
      <w:lvlText w:val="o"/>
      <w:lvlJc w:val="left"/>
      <w:pPr>
        <w:ind w:left="6600" w:hanging="360"/>
      </w:pPr>
      <w:rPr>
        <w:rFonts w:ascii="Courier New" w:hAnsi="Courier New" w:cs="Courier New" w:hint="default"/>
      </w:rPr>
    </w:lvl>
    <w:lvl w:ilvl="8" w:tplc="080A0005" w:tentative="1">
      <w:start w:val="1"/>
      <w:numFmt w:val="bullet"/>
      <w:lvlText w:val=""/>
      <w:lvlJc w:val="left"/>
      <w:pPr>
        <w:ind w:left="7320" w:hanging="360"/>
      </w:pPr>
      <w:rPr>
        <w:rFonts w:ascii="Wingdings" w:hAnsi="Wingdings" w:hint="default"/>
      </w:rPr>
    </w:lvl>
  </w:abstractNum>
  <w:abstractNum w:abstractNumId="12" w15:restartNumberingAfterBreak="0">
    <w:nsid w:val="39E8385A"/>
    <w:multiLevelType w:val="hybridMultilevel"/>
    <w:tmpl w:val="038E9682"/>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3" w15:restartNumberingAfterBreak="0">
    <w:nsid w:val="3B6D71E3"/>
    <w:multiLevelType w:val="hybridMultilevel"/>
    <w:tmpl w:val="E6F0416A"/>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4" w15:restartNumberingAfterBreak="0">
    <w:nsid w:val="43BA6838"/>
    <w:multiLevelType w:val="hybridMultilevel"/>
    <w:tmpl w:val="F5D44BA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5" w15:restartNumberingAfterBreak="0">
    <w:nsid w:val="4D2123B5"/>
    <w:multiLevelType w:val="hybridMultilevel"/>
    <w:tmpl w:val="18A020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6" w15:restartNumberingAfterBreak="0">
    <w:nsid w:val="520E1821"/>
    <w:multiLevelType w:val="hybridMultilevel"/>
    <w:tmpl w:val="B28E9EE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7" w15:restartNumberingAfterBreak="0">
    <w:nsid w:val="564A2D33"/>
    <w:multiLevelType w:val="hybridMultilevel"/>
    <w:tmpl w:val="8E747B3A"/>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8" w15:restartNumberingAfterBreak="0">
    <w:nsid w:val="70426373"/>
    <w:multiLevelType w:val="hybridMultilevel"/>
    <w:tmpl w:val="96E6908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75B6089B"/>
    <w:multiLevelType w:val="hybridMultilevel"/>
    <w:tmpl w:val="B83A06F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5"/>
  </w:num>
  <w:num w:numId="2">
    <w:abstractNumId w:val="4"/>
  </w:num>
  <w:num w:numId="3">
    <w:abstractNumId w:val="9"/>
  </w:num>
  <w:num w:numId="4">
    <w:abstractNumId w:val="19"/>
  </w:num>
  <w:num w:numId="5">
    <w:abstractNumId w:val="15"/>
  </w:num>
  <w:num w:numId="6">
    <w:abstractNumId w:val="12"/>
  </w:num>
  <w:num w:numId="7">
    <w:abstractNumId w:val="3"/>
  </w:num>
  <w:num w:numId="8">
    <w:abstractNumId w:val="17"/>
  </w:num>
  <w:num w:numId="9">
    <w:abstractNumId w:val="8"/>
  </w:num>
  <w:num w:numId="10">
    <w:abstractNumId w:val="1"/>
  </w:num>
  <w:num w:numId="11">
    <w:abstractNumId w:val="11"/>
  </w:num>
  <w:num w:numId="12">
    <w:abstractNumId w:val="16"/>
  </w:num>
  <w:num w:numId="13">
    <w:abstractNumId w:val="14"/>
  </w:num>
  <w:num w:numId="14">
    <w:abstractNumId w:val="10"/>
  </w:num>
  <w:num w:numId="15">
    <w:abstractNumId w:val="0"/>
  </w:num>
  <w:num w:numId="16">
    <w:abstractNumId w:val="6"/>
  </w:num>
  <w:num w:numId="17">
    <w:abstractNumId w:val="13"/>
  </w:num>
  <w:num w:numId="18">
    <w:abstractNumId w:val="18"/>
  </w:num>
  <w:num w:numId="19">
    <w:abstractNumId w:val="7"/>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BCB"/>
    <w:rsid w:val="00001AD9"/>
    <w:rsid w:val="000054C8"/>
    <w:rsid w:val="00011E94"/>
    <w:rsid w:val="00022AD6"/>
    <w:rsid w:val="000274AD"/>
    <w:rsid w:val="0003028A"/>
    <w:rsid w:val="00054206"/>
    <w:rsid w:val="00056D68"/>
    <w:rsid w:val="00061F5D"/>
    <w:rsid w:val="000655AB"/>
    <w:rsid w:val="000718D6"/>
    <w:rsid w:val="00080247"/>
    <w:rsid w:val="00090FF9"/>
    <w:rsid w:val="00093F23"/>
    <w:rsid w:val="000A4472"/>
    <w:rsid w:val="000A4C73"/>
    <w:rsid w:val="000A4F5D"/>
    <w:rsid w:val="000B62C2"/>
    <w:rsid w:val="000B7F7D"/>
    <w:rsid w:val="000C40C1"/>
    <w:rsid w:val="000D6BBE"/>
    <w:rsid w:val="000D71A1"/>
    <w:rsid w:val="000F05B6"/>
    <w:rsid w:val="000F3254"/>
    <w:rsid w:val="000F3F6E"/>
    <w:rsid w:val="00107646"/>
    <w:rsid w:val="00107F8A"/>
    <w:rsid w:val="00124985"/>
    <w:rsid w:val="00131EBD"/>
    <w:rsid w:val="00157759"/>
    <w:rsid w:val="00162EC6"/>
    <w:rsid w:val="001819E9"/>
    <w:rsid w:val="00184E79"/>
    <w:rsid w:val="00186635"/>
    <w:rsid w:val="00196123"/>
    <w:rsid w:val="001A14C5"/>
    <w:rsid w:val="001A3205"/>
    <w:rsid w:val="001B2AEF"/>
    <w:rsid w:val="001C0739"/>
    <w:rsid w:val="001C2623"/>
    <w:rsid w:val="001C3373"/>
    <w:rsid w:val="001C5951"/>
    <w:rsid w:val="001C77AA"/>
    <w:rsid w:val="001D0198"/>
    <w:rsid w:val="001D03CA"/>
    <w:rsid w:val="001D0CD3"/>
    <w:rsid w:val="001D16C6"/>
    <w:rsid w:val="001D662A"/>
    <w:rsid w:val="001E317B"/>
    <w:rsid w:val="001E6128"/>
    <w:rsid w:val="001F0337"/>
    <w:rsid w:val="001F1B92"/>
    <w:rsid w:val="001F7935"/>
    <w:rsid w:val="00214DBA"/>
    <w:rsid w:val="00226860"/>
    <w:rsid w:val="00232F24"/>
    <w:rsid w:val="00234400"/>
    <w:rsid w:val="002414D8"/>
    <w:rsid w:val="0024310C"/>
    <w:rsid w:val="002477AF"/>
    <w:rsid w:val="002526F3"/>
    <w:rsid w:val="00260481"/>
    <w:rsid w:val="00264CBC"/>
    <w:rsid w:val="00266ADC"/>
    <w:rsid w:val="002778EA"/>
    <w:rsid w:val="00286EF5"/>
    <w:rsid w:val="002A288D"/>
    <w:rsid w:val="002A6A30"/>
    <w:rsid w:val="002B40C2"/>
    <w:rsid w:val="002C38D0"/>
    <w:rsid w:val="002C5252"/>
    <w:rsid w:val="002D0070"/>
    <w:rsid w:val="002D371A"/>
    <w:rsid w:val="002D5F59"/>
    <w:rsid w:val="002E4736"/>
    <w:rsid w:val="002F176F"/>
    <w:rsid w:val="002F30EF"/>
    <w:rsid w:val="002F3B82"/>
    <w:rsid w:val="003032F5"/>
    <w:rsid w:val="00306D94"/>
    <w:rsid w:val="00320820"/>
    <w:rsid w:val="00322003"/>
    <w:rsid w:val="003249BE"/>
    <w:rsid w:val="00331B9E"/>
    <w:rsid w:val="003332F1"/>
    <w:rsid w:val="00341CE2"/>
    <w:rsid w:val="00352A7B"/>
    <w:rsid w:val="00360ABE"/>
    <w:rsid w:val="0037061E"/>
    <w:rsid w:val="00372881"/>
    <w:rsid w:val="0038176B"/>
    <w:rsid w:val="00381A32"/>
    <w:rsid w:val="00381D60"/>
    <w:rsid w:val="00383735"/>
    <w:rsid w:val="0038592D"/>
    <w:rsid w:val="003A0A70"/>
    <w:rsid w:val="003A16B0"/>
    <w:rsid w:val="003C636D"/>
    <w:rsid w:val="003E3238"/>
    <w:rsid w:val="00402BE9"/>
    <w:rsid w:val="00404705"/>
    <w:rsid w:val="0041021C"/>
    <w:rsid w:val="00426890"/>
    <w:rsid w:val="0043028C"/>
    <w:rsid w:val="004302FC"/>
    <w:rsid w:val="0044226A"/>
    <w:rsid w:val="004528ED"/>
    <w:rsid w:val="00453A8D"/>
    <w:rsid w:val="00455100"/>
    <w:rsid w:val="004659BD"/>
    <w:rsid w:val="004676F8"/>
    <w:rsid w:val="00467AA8"/>
    <w:rsid w:val="00471468"/>
    <w:rsid w:val="00472502"/>
    <w:rsid w:val="0047371E"/>
    <w:rsid w:val="004738F4"/>
    <w:rsid w:val="004739C4"/>
    <w:rsid w:val="00475D82"/>
    <w:rsid w:val="004846F9"/>
    <w:rsid w:val="00485806"/>
    <w:rsid w:val="00485D79"/>
    <w:rsid w:val="00490BC0"/>
    <w:rsid w:val="00491923"/>
    <w:rsid w:val="004935E2"/>
    <w:rsid w:val="0049533B"/>
    <w:rsid w:val="004C415C"/>
    <w:rsid w:val="004D0F1C"/>
    <w:rsid w:val="004D511E"/>
    <w:rsid w:val="004E386C"/>
    <w:rsid w:val="004F08DC"/>
    <w:rsid w:val="004F5CDC"/>
    <w:rsid w:val="00500854"/>
    <w:rsid w:val="0050235D"/>
    <w:rsid w:val="00510B8D"/>
    <w:rsid w:val="00515C6F"/>
    <w:rsid w:val="005179C1"/>
    <w:rsid w:val="00535AA8"/>
    <w:rsid w:val="0054206B"/>
    <w:rsid w:val="00552902"/>
    <w:rsid w:val="0055402B"/>
    <w:rsid w:val="00555BEA"/>
    <w:rsid w:val="00557692"/>
    <w:rsid w:val="00570D95"/>
    <w:rsid w:val="00580B07"/>
    <w:rsid w:val="0059567A"/>
    <w:rsid w:val="00597CA3"/>
    <w:rsid w:val="005A2000"/>
    <w:rsid w:val="005A2395"/>
    <w:rsid w:val="005A774A"/>
    <w:rsid w:val="005D2986"/>
    <w:rsid w:val="005D32BF"/>
    <w:rsid w:val="005D4C53"/>
    <w:rsid w:val="005D7E54"/>
    <w:rsid w:val="005E15B2"/>
    <w:rsid w:val="005E7069"/>
    <w:rsid w:val="00605A77"/>
    <w:rsid w:val="00606D6E"/>
    <w:rsid w:val="00615017"/>
    <w:rsid w:val="00616A62"/>
    <w:rsid w:val="00616C0D"/>
    <w:rsid w:val="00624699"/>
    <w:rsid w:val="00624ED9"/>
    <w:rsid w:val="00625D1B"/>
    <w:rsid w:val="00636618"/>
    <w:rsid w:val="00644F6C"/>
    <w:rsid w:val="006569DD"/>
    <w:rsid w:val="00657554"/>
    <w:rsid w:val="00661411"/>
    <w:rsid w:val="0066177E"/>
    <w:rsid w:val="006653FC"/>
    <w:rsid w:val="00672BEE"/>
    <w:rsid w:val="006730CB"/>
    <w:rsid w:val="00690DE0"/>
    <w:rsid w:val="00691693"/>
    <w:rsid w:val="00695310"/>
    <w:rsid w:val="006A4610"/>
    <w:rsid w:val="006B263A"/>
    <w:rsid w:val="006B6741"/>
    <w:rsid w:val="006B688E"/>
    <w:rsid w:val="006B76AD"/>
    <w:rsid w:val="006C78BB"/>
    <w:rsid w:val="006D050F"/>
    <w:rsid w:val="006D3BF1"/>
    <w:rsid w:val="006D4FCA"/>
    <w:rsid w:val="006E2236"/>
    <w:rsid w:val="006E478E"/>
    <w:rsid w:val="006F222A"/>
    <w:rsid w:val="006F5A3A"/>
    <w:rsid w:val="00702152"/>
    <w:rsid w:val="007121D0"/>
    <w:rsid w:val="00712D9A"/>
    <w:rsid w:val="00717B3D"/>
    <w:rsid w:val="00721663"/>
    <w:rsid w:val="00744113"/>
    <w:rsid w:val="007558D7"/>
    <w:rsid w:val="00763AC0"/>
    <w:rsid w:val="00763E45"/>
    <w:rsid w:val="00771755"/>
    <w:rsid w:val="00772104"/>
    <w:rsid w:val="00774BC8"/>
    <w:rsid w:val="00780A83"/>
    <w:rsid w:val="00787FC1"/>
    <w:rsid w:val="00791265"/>
    <w:rsid w:val="007A67C2"/>
    <w:rsid w:val="007A68AD"/>
    <w:rsid w:val="007A777C"/>
    <w:rsid w:val="007B1813"/>
    <w:rsid w:val="007B30A9"/>
    <w:rsid w:val="007B520C"/>
    <w:rsid w:val="007C2127"/>
    <w:rsid w:val="007C70EC"/>
    <w:rsid w:val="007E7A46"/>
    <w:rsid w:val="007F34A5"/>
    <w:rsid w:val="008024C9"/>
    <w:rsid w:val="00803BF0"/>
    <w:rsid w:val="00810456"/>
    <w:rsid w:val="0082057A"/>
    <w:rsid w:val="008228C4"/>
    <w:rsid w:val="00823416"/>
    <w:rsid w:val="008334F5"/>
    <w:rsid w:val="00835B88"/>
    <w:rsid w:val="00845E58"/>
    <w:rsid w:val="00852028"/>
    <w:rsid w:val="0085470E"/>
    <w:rsid w:val="00874C83"/>
    <w:rsid w:val="0088125B"/>
    <w:rsid w:val="00897B0C"/>
    <w:rsid w:val="008A6B41"/>
    <w:rsid w:val="008A6D99"/>
    <w:rsid w:val="008B15BA"/>
    <w:rsid w:val="008B4731"/>
    <w:rsid w:val="008C22E2"/>
    <w:rsid w:val="008D0A3C"/>
    <w:rsid w:val="008D4A30"/>
    <w:rsid w:val="008F388A"/>
    <w:rsid w:val="008F4987"/>
    <w:rsid w:val="008F6149"/>
    <w:rsid w:val="009039C8"/>
    <w:rsid w:val="00904B22"/>
    <w:rsid w:val="00906B75"/>
    <w:rsid w:val="009124C4"/>
    <w:rsid w:val="0092572B"/>
    <w:rsid w:val="0093506C"/>
    <w:rsid w:val="00943FA9"/>
    <w:rsid w:val="0094536F"/>
    <w:rsid w:val="00977800"/>
    <w:rsid w:val="0098511D"/>
    <w:rsid w:val="00986E56"/>
    <w:rsid w:val="00991E8F"/>
    <w:rsid w:val="009B23C6"/>
    <w:rsid w:val="009B7254"/>
    <w:rsid w:val="009C034C"/>
    <w:rsid w:val="009C2B81"/>
    <w:rsid w:val="009C4466"/>
    <w:rsid w:val="009D0019"/>
    <w:rsid w:val="009D2BB8"/>
    <w:rsid w:val="009D3602"/>
    <w:rsid w:val="009D7E22"/>
    <w:rsid w:val="009E456E"/>
    <w:rsid w:val="009F00AF"/>
    <w:rsid w:val="00A03CE0"/>
    <w:rsid w:val="00A04BCB"/>
    <w:rsid w:val="00A050F1"/>
    <w:rsid w:val="00A06A4A"/>
    <w:rsid w:val="00A24594"/>
    <w:rsid w:val="00A24906"/>
    <w:rsid w:val="00A45239"/>
    <w:rsid w:val="00A45785"/>
    <w:rsid w:val="00A61517"/>
    <w:rsid w:val="00A62F8D"/>
    <w:rsid w:val="00A630A6"/>
    <w:rsid w:val="00A7066C"/>
    <w:rsid w:val="00A7214D"/>
    <w:rsid w:val="00A75DA0"/>
    <w:rsid w:val="00A832AB"/>
    <w:rsid w:val="00A8436E"/>
    <w:rsid w:val="00A8474D"/>
    <w:rsid w:val="00A84974"/>
    <w:rsid w:val="00A85094"/>
    <w:rsid w:val="00A94565"/>
    <w:rsid w:val="00A96592"/>
    <w:rsid w:val="00AA0DE6"/>
    <w:rsid w:val="00AA5027"/>
    <w:rsid w:val="00AB0C8A"/>
    <w:rsid w:val="00AB70B7"/>
    <w:rsid w:val="00AC1795"/>
    <w:rsid w:val="00AC1F24"/>
    <w:rsid w:val="00AC335A"/>
    <w:rsid w:val="00AC3F5E"/>
    <w:rsid w:val="00AD691E"/>
    <w:rsid w:val="00AE702D"/>
    <w:rsid w:val="00B01F57"/>
    <w:rsid w:val="00B06769"/>
    <w:rsid w:val="00B0797C"/>
    <w:rsid w:val="00B10F22"/>
    <w:rsid w:val="00B11A7E"/>
    <w:rsid w:val="00B14364"/>
    <w:rsid w:val="00B22D95"/>
    <w:rsid w:val="00B2607A"/>
    <w:rsid w:val="00B4486D"/>
    <w:rsid w:val="00B4587C"/>
    <w:rsid w:val="00B54825"/>
    <w:rsid w:val="00B55F7C"/>
    <w:rsid w:val="00B63E0B"/>
    <w:rsid w:val="00B71D1E"/>
    <w:rsid w:val="00B7246B"/>
    <w:rsid w:val="00B73016"/>
    <w:rsid w:val="00B84B92"/>
    <w:rsid w:val="00B93B22"/>
    <w:rsid w:val="00B941DB"/>
    <w:rsid w:val="00B977AB"/>
    <w:rsid w:val="00B97928"/>
    <w:rsid w:val="00BA2344"/>
    <w:rsid w:val="00BA55C4"/>
    <w:rsid w:val="00BB031B"/>
    <w:rsid w:val="00BE6900"/>
    <w:rsid w:val="00BE6AF8"/>
    <w:rsid w:val="00C0019F"/>
    <w:rsid w:val="00C0023E"/>
    <w:rsid w:val="00C003C0"/>
    <w:rsid w:val="00C1156A"/>
    <w:rsid w:val="00C16EC4"/>
    <w:rsid w:val="00C23535"/>
    <w:rsid w:val="00C257BC"/>
    <w:rsid w:val="00C37176"/>
    <w:rsid w:val="00C42933"/>
    <w:rsid w:val="00C66E3D"/>
    <w:rsid w:val="00C70A3F"/>
    <w:rsid w:val="00C73D19"/>
    <w:rsid w:val="00C7664A"/>
    <w:rsid w:val="00C96DC3"/>
    <w:rsid w:val="00CA5BA0"/>
    <w:rsid w:val="00CC57CD"/>
    <w:rsid w:val="00CC65CD"/>
    <w:rsid w:val="00CD2AF9"/>
    <w:rsid w:val="00CE6391"/>
    <w:rsid w:val="00D00F35"/>
    <w:rsid w:val="00D04422"/>
    <w:rsid w:val="00D05A2B"/>
    <w:rsid w:val="00D11CA5"/>
    <w:rsid w:val="00D13645"/>
    <w:rsid w:val="00D21862"/>
    <w:rsid w:val="00D233A5"/>
    <w:rsid w:val="00D46DBB"/>
    <w:rsid w:val="00D550D5"/>
    <w:rsid w:val="00D60511"/>
    <w:rsid w:val="00D71D05"/>
    <w:rsid w:val="00D7336A"/>
    <w:rsid w:val="00DA09AD"/>
    <w:rsid w:val="00DB05F1"/>
    <w:rsid w:val="00DB5F2A"/>
    <w:rsid w:val="00DB65D6"/>
    <w:rsid w:val="00DC105A"/>
    <w:rsid w:val="00DC55EF"/>
    <w:rsid w:val="00DD1315"/>
    <w:rsid w:val="00DE25E6"/>
    <w:rsid w:val="00DE5A5C"/>
    <w:rsid w:val="00DE6AB5"/>
    <w:rsid w:val="00DF1C44"/>
    <w:rsid w:val="00DF5E66"/>
    <w:rsid w:val="00DF74E7"/>
    <w:rsid w:val="00E0126B"/>
    <w:rsid w:val="00E12808"/>
    <w:rsid w:val="00E135D9"/>
    <w:rsid w:val="00E15E88"/>
    <w:rsid w:val="00E32AE9"/>
    <w:rsid w:val="00E40AEA"/>
    <w:rsid w:val="00E43715"/>
    <w:rsid w:val="00E4433C"/>
    <w:rsid w:val="00E44B4D"/>
    <w:rsid w:val="00E4590E"/>
    <w:rsid w:val="00E51C51"/>
    <w:rsid w:val="00E66DB6"/>
    <w:rsid w:val="00E828C8"/>
    <w:rsid w:val="00E92E74"/>
    <w:rsid w:val="00E94C22"/>
    <w:rsid w:val="00E95910"/>
    <w:rsid w:val="00EA3D66"/>
    <w:rsid w:val="00EB06E0"/>
    <w:rsid w:val="00EC2962"/>
    <w:rsid w:val="00EC4BDD"/>
    <w:rsid w:val="00ED0CD6"/>
    <w:rsid w:val="00ED7190"/>
    <w:rsid w:val="00ED737A"/>
    <w:rsid w:val="00EE1009"/>
    <w:rsid w:val="00EE4D47"/>
    <w:rsid w:val="00EF7E50"/>
    <w:rsid w:val="00F0766A"/>
    <w:rsid w:val="00F14988"/>
    <w:rsid w:val="00F2256E"/>
    <w:rsid w:val="00F30115"/>
    <w:rsid w:val="00F31196"/>
    <w:rsid w:val="00F3148D"/>
    <w:rsid w:val="00F32220"/>
    <w:rsid w:val="00F32441"/>
    <w:rsid w:val="00F35188"/>
    <w:rsid w:val="00F509C9"/>
    <w:rsid w:val="00F573CF"/>
    <w:rsid w:val="00F574E8"/>
    <w:rsid w:val="00F64485"/>
    <w:rsid w:val="00F74948"/>
    <w:rsid w:val="00F750F7"/>
    <w:rsid w:val="00F853EE"/>
    <w:rsid w:val="00F85FDA"/>
    <w:rsid w:val="00F874E4"/>
    <w:rsid w:val="00F96385"/>
    <w:rsid w:val="00F96D81"/>
    <w:rsid w:val="00FA5CF8"/>
    <w:rsid w:val="00FA790C"/>
    <w:rsid w:val="00FC2F02"/>
    <w:rsid w:val="00FC417C"/>
    <w:rsid w:val="00FE5A4C"/>
    <w:rsid w:val="00FF0E16"/>
    <w:rsid w:val="00FF56C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B9688"/>
  <w15:docId w15:val="{AEC8FE78-07C3-435C-8EE8-CE9A5A779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04BCB"/>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04BC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04BCB"/>
    <w:rPr>
      <w:rFonts w:ascii="Calibri" w:eastAsia="Calibri" w:hAnsi="Calibri" w:cs="Times New Roman"/>
    </w:rPr>
  </w:style>
  <w:style w:type="paragraph" w:styleId="Piedepgina">
    <w:name w:val="footer"/>
    <w:basedOn w:val="Normal"/>
    <w:link w:val="PiedepginaCar"/>
    <w:uiPriority w:val="99"/>
    <w:unhideWhenUsed/>
    <w:rsid w:val="00A04BC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04BCB"/>
    <w:rPr>
      <w:rFonts w:ascii="Calibri" w:eastAsia="Calibri" w:hAnsi="Calibri" w:cs="Times New Roman"/>
    </w:rPr>
  </w:style>
  <w:style w:type="paragraph" w:styleId="Textodeglobo">
    <w:name w:val="Balloon Text"/>
    <w:basedOn w:val="Normal"/>
    <w:link w:val="TextodegloboCar"/>
    <w:uiPriority w:val="99"/>
    <w:semiHidden/>
    <w:unhideWhenUsed/>
    <w:rsid w:val="00A04BC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04BCB"/>
    <w:rPr>
      <w:rFonts w:ascii="Tahoma" w:eastAsia="Calibri" w:hAnsi="Tahoma" w:cs="Tahoma"/>
      <w:sz w:val="16"/>
      <w:szCs w:val="16"/>
    </w:rPr>
  </w:style>
  <w:style w:type="character" w:styleId="Hipervnculo">
    <w:name w:val="Hyperlink"/>
    <w:basedOn w:val="Fuentedeprrafopredeter"/>
    <w:uiPriority w:val="99"/>
    <w:unhideWhenUsed/>
    <w:rsid w:val="001D16C6"/>
    <w:rPr>
      <w:color w:val="0000FF"/>
      <w:u w:val="single"/>
    </w:rPr>
  </w:style>
  <w:style w:type="paragraph" w:styleId="Textonotapie">
    <w:name w:val="footnote text"/>
    <w:basedOn w:val="Normal"/>
    <w:link w:val="TextonotapieCar"/>
    <w:uiPriority w:val="99"/>
    <w:semiHidden/>
    <w:unhideWhenUsed/>
    <w:rsid w:val="001C5951"/>
    <w:pPr>
      <w:spacing w:after="0" w:line="240" w:lineRule="auto"/>
    </w:pPr>
    <w:rPr>
      <w:rFonts w:asciiTheme="minorHAnsi" w:eastAsiaTheme="minorHAnsi" w:hAnsiTheme="minorHAnsi" w:cstheme="minorBidi"/>
      <w:sz w:val="20"/>
      <w:szCs w:val="20"/>
    </w:rPr>
  </w:style>
  <w:style w:type="character" w:customStyle="1" w:styleId="TextonotapieCar">
    <w:name w:val="Texto nota pie Car"/>
    <w:basedOn w:val="Fuentedeprrafopredeter"/>
    <w:link w:val="Textonotapie"/>
    <w:uiPriority w:val="99"/>
    <w:semiHidden/>
    <w:rsid w:val="001C5951"/>
    <w:rPr>
      <w:sz w:val="20"/>
      <w:szCs w:val="20"/>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
    <w:basedOn w:val="Fuentedeprrafopredeter"/>
    <w:uiPriority w:val="99"/>
    <w:unhideWhenUsed/>
    <w:rsid w:val="001C5951"/>
    <w:rPr>
      <w:vertAlign w:val="superscript"/>
    </w:rPr>
  </w:style>
  <w:style w:type="paragraph" w:styleId="Prrafodelista">
    <w:name w:val="List Paragraph"/>
    <w:basedOn w:val="Normal"/>
    <w:uiPriority w:val="34"/>
    <w:qFormat/>
    <w:rsid w:val="001C5951"/>
    <w:pPr>
      <w:spacing w:after="160" w:line="259" w:lineRule="auto"/>
      <w:ind w:left="720"/>
      <w:contextualSpacing/>
    </w:pPr>
    <w:rPr>
      <w:rFonts w:asciiTheme="minorHAnsi" w:eastAsiaTheme="minorHAnsi" w:hAnsiTheme="minorHAnsi" w:cstheme="minorBidi"/>
    </w:rPr>
  </w:style>
  <w:style w:type="character" w:customStyle="1" w:styleId="Mencionar1">
    <w:name w:val="Mencionar1"/>
    <w:basedOn w:val="Fuentedeprrafopredeter"/>
    <w:uiPriority w:val="99"/>
    <w:semiHidden/>
    <w:unhideWhenUsed/>
    <w:rsid w:val="007C70EC"/>
    <w:rPr>
      <w:color w:val="2B579A"/>
      <w:shd w:val="clear" w:color="auto" w:fill="E6E6E6"/>
    </w:rPr>
  </w:style>
  <w:style w:type="paragraph" w:customStyle="1" w:styleId="corte4fondo">
    <w:name w:val="corte4 fondo"/>
    <w:basedOn w:val="Normal"/>
    <w:link w:val="corte4fondoCar1"/>
    <w:qFormat/>
    <w:rsid w:val="00E94C22"/>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E94C22"/>
    <w:rPr>
      <w:rFonts w:ascii="Arial" w:eastAsia="Times New Roman" w:hAnsi="Arial" w:cs="Times New Roman"/>
      <w:sz w:val="30"/>
      <w:szCs w:val="20"/>
      <w:lang w:eastAsia="es-MX"/>
    </w:rPr>
  </w:style>
  <w:style w:type="paragraph" w:styleId="NormalWeb">
    <w:name w:val="Normal (Web)"/>
    <w:basedOn w:val="Normal"/>
    <w:uiPriority w:val="99"/>
    <w:rsid w:val="00352A7B"/>
    <w:pPr>
      <w:spacing w:before="100" w:beforeAutospacing="1" w:after="100" w:afterAutospacing="1" w:line="240" w:lineRule="auto"/>
    </w:pPr>
    <w:rPr>
      <w:rFonts w:ascii="Times New Roman" w:eastAsia="Times New Roman" w:hAnsi="Times New Roman"/>
      <w:sz w:val="24"/>
      <w:szCs w:val="24"/>
      <w:lang w:val="es-ES" w:eastAsia="es-ES"/>
    </w:rPr>
  </w:style>
  <w:style w:type="character" w:styleId="Mencinsinresolver">
    <w:name w:val="Unresolved Mention"/>
    <w:basedOn w:val="Fuentedeprrafopredeter"/>
    <w:uiPriority w:val="99"/>
    <w:semiHidden/>
    <w:unhideWhenUsed/>
    <w:rsid w:val="00943FA9"/>
    <w:rPr>
      <w:color w:val="808080"/>
      <w:shd w:val="clear" w:color="auto" w:fill="E6E6E6"/>
    </w:rPr>
  </w:style>
  <w:style w:type="table" w:styleId="Tablaconcuadrcula">
    <w:name w:val="Table Grid"/>
    <w:basedOn w:val="Tablanormal"/>
    <w:uiPriority w:val="59"/>
    <w:rsid w:val="00381D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566285">
      <w:bodyDiv w:val="1"/>
      <w:marLeft w:val="0"/>
      <w:marRight w:val="0"/>
      <w:marTop w:val="0"/>
      <w:marBottom w:val="0"/>
      <w:divBdr>
        <w:top w:val="none" w:sz="0" w:space="0" w:color="auto"/>
        <w:left w:val="none" w:sz="0" w:space="0" w:color="auto"/>
        <w:bottom w:val="none" w:sz="0" w:space="0" w:color="auto"/>
        <w:right w:val="none" w:sz="0" w:space="0" w:color="auto"/>
      </w:divBdr>
    </w:div>
    <w:div w:id="600572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9C2695-4EF2-4012-8B59-4A2925A7E7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5</Pages>
  <Words>1610</Words>
  <Characters>8858</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10448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dc:creator>
  <cp:lastModifiedBy>CEGAIP SLP</cp:lastModifiedBy>
  <cp:revision>7</cp:revision>
  <cp:lastPrinted>2018-02-07T18:35:00Z</cp:lastPrinted>
  <dcterms:created xsi:type="dcterms:W3CDTF">2018-10-22T16:27:00Z</dcterms:created>
  <dcterms:modified xsi:type="dcterms:W3CDTF">2018-10-29T19:19:00Z</dcterms:modified>
</cp:coreProperties>
</file>