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0D15" w:rsidRPr="00D61397" w:rsidRDefault="00EE0D15" w:rsidP="00A24C95">
      <w:pPr>
        <w:tabs>
          <w:tab w:val="left" w:pos="4820"/>
        </w:tabs>
        <w:spacing w:after="0" w:line="276" w:lineRule="auto"/>
        <w:ind w:left="2552"/>
        <w:jc w:val="right"/>
        <w:rPr>
          <w:rFonts w:ascii="Arial" w:eastAsia="Times New Roman" w:hAnsi="Arial" w:cs="Arial"/>
          <w:b/>
          <w:caps/>
          <w:color w:val="2E74B5" w:themeColor="accent1" w:themeShade="BF"/>
          <w:sz w:val="24"/>
          <w:szCs w:val="24"/>
          <w:lang w:eastAsia="es-MX"/>
        </w:rPr>
      </w:pPr>
      <w:r w:rsidRPr="00D61397">
        <w:rPr>
          <w:rFonts w:ascii="Arial" w:eastAsia="Times New Roman" w:hAnsi="Arial" w:cs="Arial"/>
          <w:b/>
          <w:color w:val="2E74B5" w:themeColor="accent1" w:themeShade="BF"/>
          <w:sz w:val="24"/>
          <w:szCs w:val="24"/>
          <w:lang w:eastAsia="es-MX"/>
        </w:rPr>
        <w:t xml:space="preserve">RECURSO DE REVISIÓN  524/2018-2   </w:t>
      </w:r>
    </w:p>
    <w:p w:rsidR="00EE0D15" w:rsidRPr="00D61397" w:rsidRDefault="00EE0D15" w:rsidP="00A24C95">
      <w:pPr>
        <w:spacing w:after="0" w:line="276" w:lineRule="auto"/>
        <w:ind w:left="2552"/>
        <w:jc w:val="both"/>
        <w:rPr>
          <w:rFonts w:ascii="Arial" w:eastAsia="Times New Roman" w:hAnsi="Arial" w:cs="Arial"/>
          <w:b/>
          <w:caps/>
          <w:color w:val="2E74B5" w:themeColor="accent1" w:themeShade="BF"/>
          <w:sz w:val="24"/>
          <w:szCs w:val="24"/>
          <w:lang w:eastAsia="es-MX"/>
        </w:rPr>
      </w:pPr>
    </w:p>
    <w:p w:rsidR="00EE0D15" w:rsidRPr="00D61397" w:rsidRDefault="00EE0D15" w:rsidP="00A24C95">
      <w:pPr>
        <w:spacing w:after="0" w:line="276" w:lineRule="auto"/>
        <w:ind w:left="2552"/>
        <w:jc w:val="both"/>
        <w:rPr>
          <w:rFonts w:ascii="Arial" w:eastAsia="Times New Roman" w:hAnsi="Arial" w:cs="Arial"/>
          <w:b/>
          <w:caps/>
          <w:color w:val="2E74B5" w:themeColor="accent1" w:themeShade="BF"/>
          <w:sz w:val="24"/>
          <w:szCs w:val="24"/>
          <w:lang w:eastAsia="es-MX"/>
        </w:rPr>
      </w:pPr>
    </w:p>
    <w:p w:rsidR="00EE0D15" w:rsidRPr="00D61397" w:rsidRDefault="00EE0D15" w:rsidP="00A24C95">
      <w:pPr>
        <w:spacing w:after="0" w:line="276" w:lineRule="auto"/>
        <w:jc w:val="right"/>
        <w:rPr>
          <w:rFonts w:ascii="Arial" w:eastAsia="Times New Roman" w:hAnsi="Arial" w:cs="Arial"/>
          <w:b/>
          <w:caps/>
          <w:color w:val="2E74B5" w:themeColor="accent1" w:themeShade="BF"/>
          <w:sz w:val="24"/>
          <w:szCs w:val="24"/>
          <w:lang w:eastAsia="es-MX"/>
        </w:rPr>
      </w:pPr>
      <w:r w:rsidRPr="00D61397">
        <w:rPr>
          <w:rFonts w:ascii="Arial" w:eastAsia="Times New Roman" w:hAnsi="Arial" w:cs="Arial"/>
          <w:b/>
          <w:color w:val="2E74B5" w:themeColor="accent1" w:themeShade="BF"/>
          <w:sz w:val="24"/>
          <w:szCs w:val="24"/>
          <w:lang w:eastAsia="es-MX"/>
        </w:rPr>
        <w:t xml:space="preserve">COMISIONADO PONENTE: </w:t>
      </w:r>
    </w:p>
    <w:p w:rsidR="00EE0D15" w:rsidRPr="00D61397" w:rsidRDefault="00EE0D15" w:rsidP="00A24C95">
      <w:pPr>
        <w:spacing w:after="0" w:line="276" w:lineRule="auto"/>
        <w:jc w:val="right"/>
        <w:rPr>
          <w:rFonts w:ascii="Arial" w:eastAsia="Times New Roman" w:hAnsi="Arial" w:cs="Arial"/>
          <w:b/>
          <w:caps/>
          <w:color w:val="2E74B5" w:themeColor="accent1" w:themeShade="BF"/>
          <w:sz w:val="24"/>
          <w:szCs w:val="24"/>
          <w:lang w:eastAsia="es-MX"/>
        </w:rPr>
      </w:pPr>
      <w:r w:rsidRPr="00D61397">
        <w:rPr>
          <w:rFonts w:ascii="Arial" w:eastAsia="Times New Roman" w:hAnsi="Arial" w:cs="Arial"/>
          <w:b/>
          <w:color w:val="2E74B5" w:themeColor="accent1" w:themeShade="BF"/>
          <w:sz w:val="24"/>
          <w:szCs w:val="24"/>
          <w:lang w:eastAsia="es-MX"/>
        </w:rPr>
        <w:t xml:space="preserve">PAULINA SÁNCHEZ PÉREZ DEL POZO </w:t>
      </w:r>
    </w:p>
    <w:p w:rsidR="00EE0D15" w:rsidRPr="00D61397" w:rsidRDefault="00EE0D15" w:rsidP="00A24C95">
      <w:pPr>
        <w:spacing w:after="0" w:line="276" w:lineRule="auto"/>
        <w:jc w:val="right"/>
        <w:rPr>
          <w:rFonts w:ascii="Arial" w:eastAsia="Times New Roman" w:hAnsi="Arial" w:cs="Arial"/>
          <w:b/>
          <w:caps/>
          <w:color w:val="2E74B5" w:themeColor="accent1" w:themeShade="BF"/>
          <w:sz w:val="24"/>
          <w:szCs w:val="24"/>
          <w:lang w:eastAsia="es-MX"/>
        </w:rPr>
      </w:pPr>
    </w:p>
    <w:p w:rsidR="00EE0D15" w:rsidRPr="00D61397" w:rsidRDefault="00EE0D15" w:rsidP="00A24C95">
      <w:pPr>
        <w:spacing w:after="0" w:line="276" w:lineRule="auto"/>
        <w:jc w:val="right"/>
        <w:rPr>
          <w:rFonts w:ascii="Arial" w:eastAsia="Times New Roman" w:hAnsi="Arial" w:cs="Arial"/>
          <w:b/>
          <w:caps/>
          <w:color w:val="2E74B5" w:themeColor="accent1" w:themeShade="BF"/>
          <w:sz w:val="24"/>
          <w:szCs w:val="24"/>
          <w:lang w:eastAsia="es-MX"/>
        </w:rPr>
      </w:pPr>
      <w:r w:rsidRPr="00D61397">
        <w:rPr>
          <w:rFonts w:ascii="Arial" w:eastAsia="Times New Roman" w:hAnsi="Arial" w:cs="Arial"/>
          <w:b/>
          <w:color w:val="2E74B5" w:themeColor="accent1" w:themeShade="BF"/>
          <w:sz w:val="24"/>
          <w:szCs w:val="24"/>
          <w:lang w:eastAsia="es-MX"/>
        </w:rPr>
        <w:t>MATERIA:</w:t>
      </w:r>
    </w:p>
    <w:p w:rsidR="00EE0D15" w:rsidRPr="00D61397" w:rsidRDefault="00EE0D15" w:rsidP="00A24C95">
      <w:pPr>
        <w:spacing w:after="0" w:line="276" w:lineRule="auto"/>
        <w:jc w:val="right"/>
        <w:rPr>
          <w:rFonts w:ascii="Arial" w:eastAsia="Times New Roman" w:hAnsi="Arial" w:cs="Arial"/>
          <w:b/>
          <w:caps/>
          <w:color w:val="2E74B5" w:themeColor="accent1" w:themeShade="BF"/>
          <w:sz w:val="24"/>
          <w:szCs w:val="24"/>
          <w:lang w:eastAsia="es-MX"/>
        </w:rPr>
      </w:pPr>
      <w:r w:rsidRPr="00D61397">
        <w:rPr>
          <w:rFonts w:ascii="Arial" w:eastAsia="Times New Roman" w:hAnsi="Arial" w:cs="Arial"/>
          <w:b/>
          <w:color w:val="2E74B5" w:themeColor="accent1" w:themeShade="BF"/>
          <w:sz w:val="24"/>
          <w:szCs w:val="24"/>
          <w:lang w:eastAsia="es-MX"/>
        </w:rPr>
        <w:t>ACCESO A LA INFORMACIÓN PÚBLICA</w:t>
      </w:r>
    </w:p>
    <w:p w:rsidR="00EE0D15" w:rsidRPr="00D61397" w:rsidRDefault="00EE0D15" w:rsidP="00A24C95">
      <w:pPr>
        <w:spacing w:after="0" w:line="276" w:lineRule="auto"/>
        <w:jc w:val="right"/>
        <w:rPr>
          <w:rFonts w:ascii="Arial" w:eastAsia="Times New Roman" w:hAnsi="Arial" w:cs="Arial"/>
          <w:b/>
          <w:caps/>
          <w:color w:val="2E74B5" w:themeColor="accent1" w:themeShade="BF"/>
          <w:sz w:val="24"/>
          <w:szCs w:val="24"/>
          <w:lang w:eastAsia="es-MX"/>
        </w:rPr>
      </w:pPr>
    </w:p>
    <w:p w:rsidR="00EE0D15" w:rsidRPr="00D61397" w:rsidRDefault="00EE0D15" w:rsidP="00A24C95">
      <w:pPr>
        <w:spacing w:after="0" w:line="276" w:lineRule="auto"/>
        <w:jc w:val="right"/>
        <w:rPr>
          <w:rFonts w:ascii="Arial" w:eastAsia="Times New Roman" w:hAnsi="Arial" w:cs="Arial"/>
          <w:b/>
          <w:caps/>
          <w:color w:val="2E74B5" w:themeColor="accent1" w:themeShade="BF"/>
          <w:sz w:val="24"/>
          <w:szCs w:val="24"/>
          <w:lang w:eastAsia="es-MX"/>
        </w:rPr>
      </w:pPr>
      <w:r w:rsidRPr="00D61397">
        <w:rPr>
          <w:rFonts w:ascii="Arial" w:eastAsia="Times New Roman" w:hAnsi="Arial" w:cs="Arial"/>
          <w:b/>
          <w:color w:val="2E74B5" w:themeColor="accent1" w:themeShade="BF"/>
          <w:sz w:val="24"/>
          <w:szCs w:val="24"/>
          <w:lang w:eastAsia="es-MX"/>
        </w:rPr>
        <w:t>SUJETO OBLIGADO:</w:t>
      </w:r>
    </w:p>
    <w:p w:rsidR="00EE0D15" w:rsidRPr="00D61397" w:rsidRDefault="00EE0D15" w:rsidP="00A24C95">
      <w:pPr>
        <w:spacing w:after="0" w:line="276" w:lineRule="auto"/>
        <w:jc w:val="right"/>
        <w:rPr>
          <w:rFonts w:ascii="Arial" w:eastAsia="Times New Roman" w:hAnsi="Arial" w:cs="Arial"/>
          <w:b/>
          <w:caps/>
          <w:color w:val="2E74B5" w:themeColor="accent1" w:themeShade="BF"/>
          <w:sz w:val="24"/>
          <w:szCs w:val="24"/>
          <w:lang w:eastAsia="es-MX"/>
        </w:rPr>
      </w:pPr>
      <w:r w:rsidRPr="00D61397">
        <w:rPr>
          <w:rFonts w:ascii="Arial" w:eastAsia="Times New Roman" w:hAnsi="Arial" w:cs="Arial"/>
          <w:b/>
          <w:color w:val="2E74B5" w:themeColor="accent1" w:themeShade="BF"/>
          <w:sz w:val="24"/>
          <w:szCs w:val="24"/>
          <w:lang w:eastAsia="es-MX"/>
        </w:rPr>
        <w:t>COMISIÓN ESTATAL DE GARANTÍA DE ACCESO A LA INFORMACIÓN PÚBLICA</w:t>
      </w:r>
    </w:p>
    <w:p w:rsidR="00EE0D15" w:rsidRPr="00D61397" w:rsidRDefault="00EE0D15" w:rsidP="00A24C95">
      <w:pPr>
        <w:spacing w:after="0" w:line="276" w:lineRule="auto"/>
        <w:rPr>
          <w:rFonts w:ascii="Arial" w:eastAsia="Times New Roman" w:hAnsi="Arial" w:cs="Arial"/>
          <w:b/>
          <w:caps/>
          <w:color w:val="2E74B5" w:themeColor="accent1" w:themeShade="BF"/>
          <w:sz w:val="24"/>
          <w:szCs w:val="24"/>
          <w:lang w:eastAsia="es-MX"/>
        </w:rPr>
      </w:pPr>
    </w:p>
    <w:p w:rsidR="00EE0D15" w:rsidRPr="00D61397" w:rsidRDefault="00EE0D15" w:rsidP="00A24C95">
      <w:pPr>
        <w:spacing w:after="0" w:line="276" w:lineRule="auto"/>
        <w:jc w:val="both"/>
        <w:rPr>
          <w:rFonts w:ascii="Arial" w:eastAsia="Times New Roman" w:hAnsi="Arial" w:cs="Arial"/>
          <w:b/>
          <w:color w:val="2E74B5" w:themeColor="accent1" w:themeShade="BF"/>
          <w:sz w:val="24"/>
          <w:szCs w:val="24"/>
          <w:vertAlign w:val="subscript"/>
          <w:lang w:eastAsia="es-MX"/>
        </w:rPr>
      </w:pPr>
      <w:r w:rsidRPr="00D61397">
        <w:rPr>
          <w:rFonts w:ascii="Arial" w:eastAsia="Times New Roman" w:hAnsi="Arial" w:cs="Arial"/>
          <w:color w:val="2E74B5" w:themeColor="accent1" w:themeShade="BF"/>
          <w:sz w:val="24"/>
          <w:szCs w:val="24"/>
          <w:lang w:eastAsia="es-MX"/>
        </w:rPr>
        <w:tab/>
        <w:t>San Luis Potosí, San Luis Potosí. Acuerdo del Pleno de la Comisión Estatal de Garantía de Acceso a la Información Pública, correspondiente a la sesión del 12 doce de septiembre de 2018 dos mil dieciocho.</w:t>
      </w:r>
      <w:r w:rsidRPr="00D61397">
        <w:rPr>
          <w:rFonts w:ascii="Arial" w:eastAsia="Times New Roman" w:hAnsi="Arial" w:cs="Arial"/>
          <w:b/>
          <w:color w:val="2E74B5" w:themeColor="accent1" w:themeShade="BF"/>
          <w:sz w:val="24"/>
          <w:szCs w:val="24"/>
          <w:vertAlign w:val="subscript"/>
          <w:lang w:eastAsia="es-MX"/>
        </w:rPr>
        <w:t xml:space="preserve"> </w:t>
      </w:r>
    </w:p>
    <w:p w:rsidR="00EE0D15" w:rsidRPr="00D61397" w:rsidRDefault="00EE0D15" w:rsidP="00A24C95">
      <w:pPr>
        <w:spacing w:after="0" w:line="276" w:lineRule="auto"/>
        <w:jc w:val="both"/>
        <w:rPr>
          <w:rFonts w:ascii="Arial" w:eastAsia="Times New Roman" w:hAnsi="Arial" w:cs="Arial"/>
          <w:b/>
          <w:color w:val="2E74B5" w:themeColor="accent1" w:themeShade="BF"/>
          <w:sz w:val="24"/>
          <w:szCs w:val="24"/>
          <w:lang w:eastAsia="es-MX"/>
        </w:rPr>
      </w:pP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b/>
          <w:color w:val="2E74B5" w:themeColor="accent1" w:themeShade="BF"/>
          <w:sz w:val="24"/>
          <w:szCs w:val="24"/>
          <w:lang w:eastAsia="es-MX"/>
        </w:rPr>
        <w:t>VISTOS</w:t>
      </w:r>
      <w:r w:rsidRPr="00D61397">
        <w:rPr>
          <w:rFonts w:ascii="Arial" w:eastAsia="Times New Roman" w:hAnsi="Arial" w:cs="Arial"/>
          <w:color w:val="2E74B5" w:themeColor="accent1" w:themeShade="BF"/>
          <w:sz w:val="24"/>
          <w:szCs w:val="24"/>
          <w:lang w:eastAsia="es-MX"/>
        </w:rPr>
        <w:t>, para resolver, los autos del recurso de revisión identificado al rubro; y</w:t>
      </w: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p>
    <w:p w:rsidR="00EE0D15" w:rsidRPr="00D61397" w:rsidRDefault="00EE0D15" w:rsidP="00A24C95">
      <w:pPr>
        <w:spacing w:after="0" w:line="276" w:lineRule="auto"/>
        <w:ind w:firstLine="709"/>
        <w:jc w:val="center"/>
        <w:rPr>
          <w:rFonts w:ascii="Arial" w:eastAsia="Times New Roman" w:hAnsi="Arial" w:cs="Arial"/>
          <w:color w:val="2E74B5" w:themeColor="accent1" w:themeShade="BF"/>
          <w:sz w:val="24"/>
          <w:szCs w:val="24"/>
          <w:lang w:eastAsia="es-MX"/>
        </w:rPr>
      </w:pPr>
      <w:r w:rsidRPr="00D61397">
        <w:rPr>
          <w:rFonts w:ascii="Arial" w:eastAsia="Times New Roman" w:hAnsi="Arial" w:cs="Arial"/>
          <w:b/>
          <w:color w:val="2E74B5" w:themeColor="accent1" w:themeShade="BF"/>
          <w:sz w:val="24"/>
          <w:szCs w:val="24"/>
          <w:lang w:eastAsia="es-MX"/>
        </w:rPr>
        <w:t>RESULTANDO</w:t>
      </w:r>
      <w:r w:rsidRPr="00D61397">
        <w:rPr>
          <w:rFonts w:ascii="Arial" w:eastAsia="Times New Roman" w:hAnsi="Arial" w:cs="Arial"/>
          <w:color w:val="2E74B5" w:themeColor="accent1" w:themeShade="BF"/>
          <w:sz w:val="24"/>
          <w:szCs w:val="24"/>
          <w:lang w:eastAsia="es-MX"/>
        </w:rPr>
        <w:t>:</w:t>
      </w:r>
    </w:p>
    <w:p w:rsidR="00EE0D15" w:rsidRPr="00D61397" w:rsidRDefault="00EE0D15" w:rsidP="00A24C95">
      <w:pPr>
        <w:spacing w:after="0" w:line="276" w:lineRule="auto"/>
        <w:ind w:firstLine="709"/>
        <w:jc w:val="center"/>
        <w:rPr>
          <w:rFonts w:ascii="Arial" w:eastAsia="Times New Roman" w:hAnsi="Arial" w:cs="Arial"/>
          <w:color w:val="2E74B5" w:themeColor="accent1" w:themeShade="BF"/>
          <w:sz w:val="24"/>
          <w:szCs w:val="24"/>
          <w:lang w:eastAsia="es-MX"/>
        </w:rPr>
      </w:pP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b/>
          <w:color w:val="2E74B5" w:themeColor="accent1" w:themeShade="BF"/>
          <w:sz w:val="24"/>
          <w:szCs w:val="24"/>
          <w:lang w:eastAsia="es-MX"/>
        </w:rPr>
        <w:t xml:space="preserve">PRIMERO. Solicitud de acceso a la información pública. </w:t>
      </w:r>
      <w:r w:rsidRPr="00D61397">
        <w:rPr>
          <w:rFonts w:ascii="Arial" w:eastAsia="Times New Roman" w:hAnsi="Arial" w:cs="Arial"/>
          <w:color w:val="2E74B5" w:themeColor="accent1" w:themeShade="BF"/>
          <w:sz w:val="24"/>
          <w:szCs w:val="24"/>
          <w:lang w:eastAsia="es-MX"/>
        </w:rPr>
        <w:t xml:space="preserve">Según consta en la Plataforma Nacional de Transparencia en el folio </w:t>
      </w:r>
      <w:r w:rsidRPr="00D61397">
        <w:rPr>
          <w:rFonts w:ascii="Arial" w:eastAsia="Times New Roman" w:hAnsi="Arial" w:cs="Arial"/>
          <w:b/>
          <w:color w:val="2E74B5" w:themeColor="accent1" w:themeShade="BF"/>
          <w:sz w:val="24"/>
          <w:szCs w:val="24"/>
          <w:lang w:eastAsia="es-MX"/>
        </w:rPr>
        <w:t>00402318</w:t>
      </w:r>
      <w:r w:rsidRPr="00D61397">
        <w:rPr>
          <w:rFonts w:ascii="Arial" w:eastAsia="Times New Roman" w:hAnsi="Arial" w:cs="Arial"/>
          <w:color w:val="2E74B5" w:themeColor="accent1" w:themeShade="BF"/>
          <w:sz w:val="24"/>
          <w:szCs w:val="24"/>
          <w:lang w:eastAsia="es-MX"/>
        </w:rPr>
        <w:t xml:space="preserve"> cero, cero, cuatrocientos dos mil  trescientos dieciocho, el 31 treinta y uno de mayo de 2018 dos mil dieciocho la</w:t>
      </w:r>
      <w:r w:rsidRPr="00D61397">
        <w:rPr>
          <w:rFonts w:ascii="Arial" w:eastAsia="Times New Roman" w:hAnsi="Arial" w:cs="Arial"/>
          <w:b/>
          <w:color w:val="2E74B5" w:themeColor="accent1" w:themeShade="BF"/>
          <w:sz w:val="24"/>
          <w:szCs w:val="24"/>
          <w:lang w:eastAsia="es-MX"/>
        </w:rPr>
        <w:t xml:space="preserve"> Comisión Estatal de Garantía de Acceso a la Información Pública </w:t>
      </w:r>
      <w:r w:rsidRPr="00D61397">
        <w:rPr>
          <w:rFonts w:ascii="Arial" w:eastAsia="Times New Roman" w:hAnsi="Arial" w:cs="Arial"/>
          <w:color w:val="2E74B5" w:themeColor="accent1" w:themeShade="BF"/>
          <w:sz w:val="24"/>
          <w:szCs w:val="24"/>
          <w:lang w:eastAsia="es-MX"/>
        </w:rPr>
        <w:t>recibió una solicitud de acceso a la información pública en donde se le pidió la información siguiente</w:t>
      </w:r>
      <w:r w:rsidRPr="00D61397">
        <w:rPr>
          <w:rFonts w:ascii="Arial" w:eastAsia="Times New Roman" w:hAnsi="Arial" w:cs="Arial"/>
          <w:color w:val="2E74B5" w:themeColor="accent1" w:themeShade="BF"/>
          <w:sz w:val="24"/>
          <w:szCs w:val="24"/>
          <w:vertAlign w:val="superscript"/>
          <w:lang w:eastAsia="es-MX"/>
        </w:rPr>
        <w:footnoteReference w:id="1"/>
      </w:r>
      <w:r w:rsidRPr="00D61397">
        <w:rPr>
          <w:rFonts w:ascii="Arial" w:eastAsia="Times New Roman" w:hAnsi="Arial" w:cs="Arial"/>
          <w:color w:val="2E74B5" w:themeColor="accent1" w:themeShade="BF"/>
          <w:sz w:val="24"/>
          <w:szCs w:val="24"/>
          <w:lang w:eastAsia="es-MX"/>
        </w:rPr>
        <w:t>:</w:t>
      </w: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color w:val="2E74B5" w:themeColor="accent1" w:themeShade="BF"/>
          <w:sz w:val="24"/>
          <w:szCs w:val="24"/>
          <w:lang w:eastAsia="es-MX"/>
        </w:rPr>
        <w:t xml:space="preserve"> </w:t>
      </w:r>
    </w:p>
    <w:p w:rsidR="00EE0D15" w:rsidRPr="00D61397" w:rsidRDefault="00EE0D15" w:rsidP="00A24C95">
      <w:pPr>
        <w:spacing w:after="0" w:line="276" w:lineRule="auto"/>
        <w:jc w:val="center"/>
        <w:rPr>
          <w:rFonts w:ascii="Arial" w:eastAsia="Times New Roman" w:hAnsi="Arial" w:cs="Arial"/>
          <w:color w:val="2E74B5" w:themeColor="accent1" w:themeShade="BF"/>
          <w:sz w:val="24"/>
          <w:szCs w:val="24"/>
          <w:lang w:eastAsia="es-MX"/>
        </w:rPr>
      </w:pPr>
      <w:r w:rsidRPr="00D61397">
        <w:rPr>
          <w:rFonts w:ascii="Arial" w:eastAsia="Times New Roman" w:hAnsi="Arial" w:cs="Arial"/>
          <w:noProof/>
          <w:color w:val="2E74B5" w:themeColor="accent1" w:themeShade="BF"/>
          <w:sz w:val="24"/>
          <w:szCs w:val="24"/>
          <w:lang w:eastAsia="es-MX"/>
        </w:rPr>
        <w:drawing>
          <wp:inline distT="0" distB="0" distL="0" distR="0" wp14:anchorId="09912974" wp14:editId="20F006C2">
            <wp:extent cx="5603240" cy="16383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03240" cy="1638300"/>
                    </a:xfrm>
                    <a:prstGeom prst="rect">
                      <a:avLst/>
                    </a:prstGeom>
                    <a:noFill/>
                    <a:ln>
                      <a:noFill/>
                    </a:ln>
                  </pic:spPr>
                </pic:pic>
              </a:graphicData>
            </a:graphic>
          </wp:inline>
        </w:drawing>
      </w:r>
    </w:p>
    <w:p w:rsidR="00EE0D15" w:rsidRPr="00D61397" w:rsidRDefault="00EE0D15" w:rsidP="00A24C95">
      <w:pPr>
        <w:spacing w:after="0" w:line="276" w:lineRule="auto"/>
        <w:jc w:val="center"/>
        <w:rPr>
          <w:rFonts w:ascii="Arial" w:eastAsia="Times New Roman" w:hAnsi="Arial" w:cs="Arial"/>
          <w:color w:val="2E74B5" w:themeColor="accent1" w:themeShade="BF"/>
          <w:sz w:val="24"/>
          <w:szCs w:val="24"/>
          <w:lang w:eastAsia="es-MX"/>
        </w:rPr>
      </w:pPr>
    </w:p>
    <w:p w:rsidR="00EE0D15" w:rsidRPr="00D61397" w:rsidRDefault="00EE0D15" w:rsidP="00A24C95">
      <w:pPr>
        <w:spacing w:after="0" w:line="276" w:lineRule="auto"/>
        <w:ind w:firstLine="709"/>
        <w:jc w:val="both"/>
        <w:rPr>
          <w:rFonts w:ascii="Arial" w:eastAsia="Times New Roman" w:hAnsi="Arial" w:cs="Arial"/>
          <w:i/>
          <w:color w:val="2E74B5" w:themeColor="accent1" w:themeShade="BF"/>
          <w:sz w:val="20"/>
          <w:szCs w:val="20"/>
          <w:lang w:eastAsia="es-MX"/>
        </w:rPr>
      </w:pPr>
      <w:r w:rsidRPr="00D61397">
        <w:rPr>
          <w:rFonts w:ascii="Arial" w:eastAsia="Times New Roman" w:hAnsi="Arial" w:cs="Arial"/>
          <w:i/>
          <w:color w:val="2E74B5" w:themeColor="accent1" w:themeShade="BF"/>
          <w:sz w:val="20"/>
          <w:szCs w:val="20"/>
          <w:lang w:eastAsia="es-MX"/>
        </w:rPr>
        <w:t xml:space="preserve">“…SOLICITO EL OFICIO QUE LE FUE ENVIADO Y CON EL QUE DA RESPUESTA LA UNIDAD DE VERIFICACIÓN AL REQUERIMIENTO REALIZADO DENTRO DEL EXPEDIENTE CEGAIP-DEIOT-024/2018 REQUIERO LOS OFICIOS CON SELLOS DE RECIBIDO…” </w:t>
      </w:r>
      <w:r w:rsidRPr="00D61397">
        <w:rPr>
          <w:rFonts w:ascii="Arial" w:hAnsi="Arial" w:cs="Arial"/>
          <w:i/>
          <w:color w:val="2E74B5" w:themeColor="accent1" w:themeShade="BF"/>
          <w:sz w:val="20"/>
          <w:szCs w:val="20"/>
        </w:rPr>
        <w:t>(sic).</w:t>
      </w:r>
    </w:p>
    <w:p w:rsidR="00EE0D15" w:rsidRPr="00D61397" w:rsidRDefault="00EE0D15" w:rsidP="00A24C95">
      <w:pPr>
        <w:spacing w:after="0" w:line="276" w:lineRule="auto"/>
        <w:ind w:firstLine="709"/>
        <w:jc w:val="both"/>
        <w:rPr>
          <w:rFonts w:ascii="Arial" w:eastAsia="Times New Roman" w:hAnsi="Arial" w:cs="Arial"/>
          <w:i/>
          <w:color w:val="2E74B5" w:themeColor="accent1" w:themeShade="BF"/>
          <w:sz w:val="20"/>
          <w:szCs w:val="20"/>
          <w:lang w:eastAsia="es-MX"/>
        </w:rPr>
      </w:pP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b/>
          <w:color w:val="2E74B5" w:themeColor="accent1" w:themeShade="BF"/>
          <w:sz w:val="24"/>
          <w:szCs w:val="24"/>
          <w:lang w:eastAsia="es-MX"/>
        </w:rPr>
        <w:t xml:space="preserve">SEGUNDO. Respuesta a la solicitud de acceso a la información pública. </w:t>
      </w:r>
      <w:r w:rsidRPr="00D61397">
        <w:rPr>
          <w:rFonts w:ascii="Arial" w:eastAsia="Times New Roman" w:hAnsi="Arial" w:cs="Arial"/>
          <w:color w:val="2E74B5" w:themeColor="accent1" w:themeShade="BF"/>
          <w:sz w:val="24"/>
          <w:szCs w:val="24"/>
          <w:lang w:eastAsia="es-MX"/>
        </w:rPr>
        <w:t>El 13 trece de junio dos mil dieciocho el sujeto obligado</w:t>
      </w:r>
      <w:r w:rsidRPr="00D61397">
        <w:rPr>
          <w:rFonts w:ascii="Arial" w:eastAsia="Times New Roman" w:hAnsi="Arial" w:cs="Arial"/>
          <w:b/>
          <w:color w:val="2E74B5" w:themeColor="accent1" w:themeShade="BF"/>
          <w:sz w:val="24"/>
          <w:szCs w:val="24"/>
          <w:lang w:eastAsia="es-MX"/>
        </w:rPr>
        <w:t xml:space="preserve"> </w:t>
      </w:r>
      <w:r w:rsidRPr="00D61397">
        <w:rPr>
          <w:rFonts w:ascii="Arial" w:eastAsia="Times New Roman" w:hAnsi="Arial" w:cs="Arial"/>
          <w:color w:val="2E74B5" w:themeColor="accent1" w:themeShade="BF"/>
          <w:sz w:val="24"/>
          <w:szCs w:val="24"/>
          <w:lang w:eastAsia="es-MX"/>
        </w:rPr>
        <w:t>notificó al solicitante, por el mismo medio electrónico, la respuesta a la solicitud de acceso a la información pública, misma que es como sigue</w:t>
      </w:r>
      <w:r w:rsidRPr="00D61397">
        <w:rPr>
          <w:rFonts w:ascii="Arial" w:eastAsia="Times New Roman" w:hAnsi="Arial" w:cs="Arial"/>
          <w:color w:val="2E74B5" w:themeColor="accent1" w:themeShade="BF"/>
          <w:sz w:val="24"/>
          <w:szCs w:val="24"/>
          <w:vertAlign w:val="superscript"/>
          <w:lang w:eastAsia="es-MX"/>
        </w:rPr>
        <w:footnoteReference w:id="2"/>
      </w:r>
      <w:r w:rsidRPr="00D61397">
        <w:rPr>
          <w:rFonts w:ascii="Arial" w:eastAsia="Times New Roman" w:hAnsi="Arial" w:cs="Arial"/>
          <w:color w:val="2E74B5" w:themeColor="accent1" w:themeShade="BF"/>
          <w:sz w:val="24"/>
          <w:szCs w:val="24"/>
          <w:lang w:eastAsia="es-MX"/>
        </w:rPr>
        <w:t>:</w:t>
      </w: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p>
    <w:p w:rsidR="00EE0D15" w:rsidRPr="00D61397" w:rsidRDefault="00EE0D15" w:rsidP="00A24C95">
      <w:pPr>
        <w:spacing w:after="0" w:line="276" w:lineRule="auto"/>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noProof/>
          <w:color w:val="2E74B5" w:themeColor="accent1" w:themeShade="BF"/>
          <w:sz w:val="24"/>
          <w:szCs w:val="24"/>
          <w:lang w:eastAsia="es-MX"/>
        </w:rPr>
        <w:drawing>
          <wp:inline distT="0" distB="0" distL="0" distR="0" wp14:anchorId="333FFC1F" wp14:editId="38B7FB37">
            <wp:extent cx="5603240" cy="1594485"/>
            <wp:effectExtent l="0" t="0" r="0" b="571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03240" cy="1594485"/>
                    </a:xfrm>
                    <a:prstGeom prst="rect">
                      <a:avLst/>
                    </a:prstGeom>
                    <a:noFill/>
                    <a:ln>
                      <a:noFill/>
                    </a:ln>
                  </pic:spPr>
                </pic:pic>
              </a:graphicData>
            </a:graphic>
          </wp:inline>
        </w:drawing>
      </w:r>
    </w:p>
    <w:p w:rsidR="00EE0D15" w:rsidRPr="00D61397" w:rsidRDefault="00EE0D15" w:rsidP="00A24C95">
      <w:pPr>
        <w:spacing w:after="0" w:line="276" w:lineRule="auto"/>
        <w:jc w:val="both"/>
        <w:rPr>
          <w:rFonts w:ascii="Arial" w:eastAsia="Times New Roman" w:hAnsi="Arial" w:cs="Arial"/>
          <w:color w:val="2E74B5" w:themeColor="accent1" w:themeShade="BF"/>
          <w:sz w:val="20"/>
          <w:szCs w:val="20"/>
          <w:lang w:eastAsia="es-MX"/>
        </w:rPr>
      </w:pP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b/>
          <w:color w:val="2E74B5" w:themeColor="accent1" w:themeShade="BF"/>
          <w:sz w:val="24"/>
          <w:szCs w:val="24"/>
          <w:lang w:eastAsia="es-MX"/>
        </w:rPr>
        <w:t xml:space="preserve">TERCERO. Interposición del recurso. </w:t>
      </w:r>
      <w:r w:rsidRPr="00D61397">
        <w:rPr>
          <w:rFonts w:ascii="Arial" w:eastAsia="Times New Roman" w:hAnsi="Arial" w:cs="Arial"/>
          <w:color w:val="2E74B5" w:themeColor="accent1" w:themeShade="BF"/>
          <w:sz w:val="24"/>
          <w:szCs w:val="24"/>
          <w:lang w:eastAsia="es-MX"/>
        </w:rPr>
        <w:t xml:space="preserve">el 19 diecinueve de junio de 2018 dos mil dieciocho, mediante registro RR00025018 en la Plataforma Nacional de Transparencia, el solicitante de la información interpuso recurso de revisión contra de la respuesta mencionada en el punto anterior, mismo que ese día quedó presentado ante la Oficialía de Partes de esta Comisión Estatal de Garantía de Acceso a la Información Pública. </w:t>
      </w: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b/>
          <w:color w:val="2E74B5" w:themeColor="accent1" w:themeShade="BF"/>
          <w:sz w:val="24"/>
          <w:szCs w:val="24"/>
          <w:lang w:eastAsia="es-MX"/>
        </w:rPr>
        <w:t xml:space="preserve">CUARTO. Trámite del recurso de revisión ante esta Comisión Estatal de Garantía de Acceso a la Información Pública. </w:t>
      </w:r>
      <w:r w:rsidRPr="00D61397">
        <w:rPr>
          <w:rFonts w:ascii="Arial" w:eastAsia="Times New Roman" w:hAnsi="Arial" w:cs="Arial"/>
          <w:color w:val="2E74B5" w:themeColor="accent1" w:themeShade="BF"/>
          <w:sz w:val="24"/>
          <w:szCs w:val="24"/>
          <w:lang w:eastAsia="es-MX"/>
        </w:rPr>
        <w:t>Mediante auto del 20 veinte de junio 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b/>
          <w:color w:val="2E74B5" w:themeColor="accent1" w:themeShade="BF"/>
          <w:sz w:val="24"/>
          <w:szCs w:val="24"/>
          <w:lang w:eastAsia="es-MX"/>
        </w:rPr>
        <w:t xml:space="preserve">QUINTO. Auto de admisión y trámite. </w:t>
      </w:r>
      <w:r w:rsidRPr="00D61397">
        <w:rPr>
          <w:rFonts w:ascii="Arial" w:eastAsia="Times New Roman" w:hAnsi="Arial" w:cs="Arial"/>
          <w:color w:val="2E74B5" w:themeColor="accent1" w:themeShade="BF"/>
          <w:sz w:val="24"/>
          <w:szCs w:val="24"/>
          <w:lang w:eastAsia="es-MX"/>
        </w:rPr>
        <w:t>Por proveído del 22 veintidós de junio de 2018 dos mil dieciocho la Comisionado Ponente:</w:t>
      </w: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p>
    <w:p w:rsidR="00EE0D15" w:rsidRPr="00D61397" w:rsidRDefault="00EE0D15" w:rsidP="00A24C95">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color w:val="2E74B5" w:themeColor="accent1" w:themeShade="BF"/>
          <w:sz w:val="24"/>
          <w:szCs w:val="24"/>
          <w:lang w:eastAsia="es-MX"/>
        </w:rPr>
        <w:t>Registró en el Libro de Gobierno el presente expediente como RR-524/2018-2 PLATAFORMA.</w:t>
      </w:r>
    </w:p>
    <w:p w:rsidR="00EE0D15" w:rsidRPr="00D61397" w:rsidRDefault="00EE0D15" w:rsidP="00A24C95">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color w:val="2E74B5" w:themeColor="accent1" w:themeShade="BF"/>
          <w:sz w:val="24"/>
          <w:szCs w:val="24"/>
          <w:lang w:eastAsia="es-MX"/>
        </w:rPr>
        <w:t>Admitió a trámite el presente recurso de revisión.</w:t>
      </w:r>
    </w:p>
    <w:p w:rsidR="00EE0D15" w:rsidRPr="00D61397" w:rsidRDefault="00EE0D15" w:rsidP="00A24C95">
      <w:pPr>
        <w:numPr>
          <w:ilvl w:val="0"/>
          <w:numId w:val="2"/>
        </w:numPr>
        <w:spacing w:after="0" w:line="276" w:lineRule="auto"/>
        <w:jc w:val="both"/>
        <w:rPr>
          <w:rFonts w:ascii="Arial" w:eastAsia="Times New Roman" w:hAnsi="Arial" w:cs="Arial"/>
          <w:b/>
          <w:color w:val="2E74B5" w:themeColor="accent1" w:themeShade="BF"/>
          <w:sz w:val="24"/>
          <w:szCs w:val="24"/>
          <w:lang w:eastAsia="es-MX"/>
        </w:rPr>
      </w:pPr>
      <w:r w:rsidRPr="00D61397">
        <w:rPr>
          <w:rFonts w:ascii="Arial" w:eastAsia="Times New Roman" w:hAnsi="Arial" w:cs="Arial"/>
          <w:color w:val="2E74B5" w:themeColor="accent1" w:themeShade="BF"/>
          <w:sz w:val="24"/>
          <w:szCs w:val="24"/>
          <w:lang w:eastAsia="es-MX"/>
        </w:rPr>
        <w:t xml:space="preserve">Tuvo como sujeto obligado a la </w:t>
      </w:r>
      <w:r w:rsidR="007843EA" w:rsidRPr="00D61397">
        <w:rPr>
          <w:rFonts w:ascii="Arial" w:eastAsia="Arial Unicode MS" w:hAnsi="Arial" w:cs="Arial"/>
          <w:b/>
          <w:color w:val="2E74B5" w:themeColor="accent1" w:themeShade="BF"/>
          <w:sz w:val="24"/>
          <w:szCs w:val="24"/>
        </w:rPr>
        <w:t>COMISIÓN ESTATAL DE GARANTÍA DE ACCESO A LA INFORMACIÓN PÚBLICA DEL ESTADO DE SAN LUIS POTOSÍ, POR CONDUCTO DE SU PRESIDENTE A TRAVÉS DEL TITULAR DE LA UNIDAD DE TRANSPARENCIA Y DEL TITULAR DE LA UNIDAD DE ATENCIÓN A DENUNCIAS</w:t>
      </w:r>
      <w:r w:rsidR="007843EA" w:rsidRPr="00D61397">
        <w:rPr>
          <w:rFonts w:ascii="Arial" w:eastAsia="Times New Roman" w:hAnsi="Arial" w:cs="Arial"/>
          <w:b/>
          <w:color w:val="2E74B5" w:themeColor="accent1" w:themeShade="BF"/>
          <w:sz w:val="24"/>
          <w:szCs w:val="24"/>
          <w:lang w:eastAsia="es-MX"/>
        </w:rPr>
        <w:t>.</w:t>
      </w:r>
    </w:p>
    <w:p w:rsidR="00EE0D15" w:rsidRPr="00D61397" w:rsidRDefault="00EE0D15" w:rsidP="00A24C95">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color w:val="2E74B5" w:themeColor="accent1" w:themeShade="BF"/>
          <w:sz w:val="24"/>
          <w:szCs w:val="24"/>
          <w:lang w:eastAsia="es-MX"/>
        </w:rPr>
        <w:t>Se le tuvo al recurrente por señalada dirección electrónica para oír notificaciones.</w:t>
      </w:r>
    </w:p>
    <w:p w:rsidR="00EE0D15" w:rsidRPr="00D61397" w:rsidRDefault="00EE0D15" w:rsidP="00A24C95">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color w:val="2E74B5" w:themeColor="accent1" w:themeShade="BF"/>
          <w:sz w:val="24"/>
          <w:szCs w:val="24"/>
          <w:lang w:eastAsia="es-MX"/>
        </w:rPr>
        <w:t xml:space="preserve">Se puso a disposición de las partes el expediente para que en un plazo máximo de 7 siete días manifestaran lo que a su derecho conviniera –ofrecer pruebas y alegar–.  </w:t>
      </w: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color w:val="2E74B5" w:themeColor="accent1" w:themeShade="BF"/>
          <w:sz w:val="24"/>
          <w:szCs w:val="24"/>
          <w:lang w:eastAsia="es-MX"/>
        </w:rPr>
        <w:t>Asimismo, en ese auto la ponente expresó que el sujeto obligado debería informar a esta Comisión de Transparencia si la información que le fue solicitada:</w:t>
      </w: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p>
    <w:p w:rsidR="00EE0D15" w:rsidRPr="00D61397" w:rsidRDefault="00EE0D15" w:rsidP="00A24C95">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color w:val="2E74B5" w:themeColor="accent1" w:themeShade="BF"/>
          <w:sz w:val="24"/>
          <w:szCs w:val="24"/>
          <w:lang w:eastAsia="es-MX"/>
        </w:rPr>
        <w:t>Se encontraba en sus archivos.</w:t>
      </w:r>
    </w:p>
    <w:p w:rsidR="00EE0D15" w:rsidRPr="00D61397" w:rsidRDefault="00EE0D15" w:rsidP="00A24C95">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color w:val="2E74B5" w:themeColor="accent1" w:themeShade="BF"/>
          <w:sz w:val="24"/>
          <w:szCs w:val="24"/>
          <w:lang w:eastAsia="es-MX"/>
        </w:rPr>
        <w:lastRenderedPageBreak/>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EE0D15" w:rsidRPr="00D61397" w:rsidRDefault="00EE0D15" w:rsidP="00A24C95">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color w:val="2E74B5" w:themeColor="accent1" w:themeShade="BF"/>
          <w:sz w:val="24"/>
          <w:szCs w:val="24"/>
          <w:lang w:eastAsia="es-MX"/>
        </w:rPr>
        <w:t xml:space="preserve">Se encontraba en una de las excepciones del derecho de acceso a la información como impedimento legal para su entrega –cuando se trate de información reservada o confidencial–. </w:t>
      </w: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color w:val="2E74B5" w:themeColor="accent1" w:themeShade="BF"/>
          <w:sz w:val="24"/>
          <w:szCs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EE0D15" w:rsidRPr="00D61397" w:rsidRDefault="00EE0D15" w:rsidP="00A24C95">
      <w:pPr>
        <w:spacing w:after="0" w:line="276" w:lineRule="auto"/>
        <w:ind w:firstLine="567"/>
        <w:jc w:val="both"/>
        <w:rPr>
          <w:rFonts w:ascii="Arial" w:eastAsia="Times New Roman" w:hAnsi="Arial" w:cs="Arial"/>
          <w:b/>
          <w:color w:val="2E74B5" w:themeColor="accent1" w:themeShade="BF"/>
          <w:sz w:val="24"/>
          <w:szCs w:val="24"/>
          <w:lang w:eastAsia="es-MX"/>
        </w:rPr>
      </w:pPr>
    </w:p>
    <w:p w:rsidR="00EE0D15" w:rsidRPr="00D61397" w:rsidRDefault="00EE0D15" w:rsidP="00A24C95">
      <w:pPr>
        <w:spacing w:after="0" w:line="276" w:lineRule="auto"/>
        <w:ind w:firstLine="567"/>
        <w:jc w:val="both"/>
        <w:rPr>
          <w:rFonts w:ascii="Arial" w:eastAsia="Times New Roman" w:hAnsi="Arial" w:cs="Arial"/>
          <w:b/>
          <w:color w:val="2E74B5" w:themeColor="accent1" w:themeShade="BF"/>
          <w:sz w:val="24"/>
          <w:szCs w:val="24"/>
          <w:lang w:eastAsia="es-MX"/>
        </w:rPr>
      </w:pPr>
      <w:r w:rsidRPr="00D61397">
        <w:rPr>
          <w:rFonts w:ascii="Arial" w:eastAsia="Times New Roman" w:hAnsi="Arial" w:cs="Arial"/>
          <w:b/>
          <w:color w:val="2E74B5" w:themeColor="accent1" w:themeShade="BF"/>
          <w:sz w:val="24"/>
          <w:szCs w:val="24"/>
          <w:lang w:eastAsia="es-MX"/>
        </w:rPr>
        <w:t>SEXTO. Informe de los sujetos obligados</w:t>
      </w:r>
      <w:r w:rsidRPr="00D61397">
        <w:rPr>
          <w:rFonts w:ascii="Arial" w:eastAsia="Times New Roman" w:hAnsi="Arial" w:cs="Arial"/>
          <w:color w:val="2E74B5" w:themeColor="accent1" w:themeShade="BF"/>
          <w:sz w:val="24"/>
          <w:szCs w:val="24"/>
          <w:lang w:eastAsia="es-MX"/>
        </w:rPr>
        <w:t>. Por proveído del 12 de julio de 2018 dos mil dieciocho la ponente del presente asunto tuvo:</w:t>
      </w:r>
    </w:p>
    <w:p w:rsidR="00EE0D15" w:rsidRPr="00D61397" w:rsidRDefault="00EE0D15" w:rsidP="00A24C95">
      <w:pPr>
        <w:spacing w:after="0" w:line="276" w:lineRule="auto"/>
        <w:ind w:left="1510"/>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color w:val="2E74B5" w:themeColor="accent1" w:themeShade="BF"/>
          <w:sz w:val="24"/>
          <w:szCs w:val="24"/>
          <w:lang w:eastAsia="es-MX"/>
        </w:rPr>
        <w:t xml:space="preserve"> </w:t>
      </w:r>
    </w:p>
    <w:p w:rsidR="00EE0D15" w:rsidRPr="00D61397" w:rsidRDefault="00EE0D15" w:rsidP="00A24C95">
      <w:pPr>
        <w:pStyle w:val="corte4fondo"/>
        <w:numPr>
          <w:ilvl w:val="0"/>
          <w:numId w:val="4"/>
        </w:numPr>
        <w:spacing w:line="276" w:lineRule="auto"/>
        <w:rPr>
          <w:rFonts w:cs="Arial"/>
          <w:color w:val="2E74B5" w:themeColor="accent1" w:themeShade="BF"/>
          <w:sz w:val="24"/>
          <w:szCs w:val="24"/>
          <w:lang w:val="es-MX"/>
        </w:rPr>
      </w:pPr>
      <w:r w:rsidRPr="00D61397">
        <w:rPr>
          <w:rFonts w:cs="Arial"/>
          <w:color w:val="2E74B5" w:themeColor="accent1" w:themeShade="BF"/>
          <w:sz w:val="24"/>
          <w:szCs w:val="24"/>
          <w:lang w:val="es-MX"/>
        </w:rPr>
        <w:t>Tuvo por recibidos dos oficios Cegaip-R-UT-133/2018 y el segundo sin número firmados por la Titular de la Unidad de Transparencia y por la Unidad de Atención a Denuncias del sujeto obligado.</w:t>
      </w:r>
    </w:p>
    <w:p w:rsidR="00EE0D15" w:rsidRPr="00D61397" w:rsidRDefault="00EE0D15" w:rsidP="00A24C95">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color w:val="2E74B5" w:themeColor="accent1" w:themeShade="BF"/>
          <w:sz w:val="24"/>
          <w:szCs w:val="24"/>
          <w:lang w:eastAsia="es-MX"/>
        </w:rPr>
        <w:t>Por rendido en tiempo y forma el informe solicitado.</w:t>
      </w:r>
    </w:p>
    <w:p w:rsidR="00EE0D15" w:rsidRPr="00D61397" w:rsidRDefault="00EE0D15" w:rsidP="00A24C95">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color w:val="2E74B5" w:themeColor="accent1" w:themeShade="BF"/>
          <w:sz w:val="24"/>
          <w:szCs w:val="24"/>
          <w:lang w:eastAsia="es-MX"/>
        </w:rPr>
        <w:t>Por expresados los argumentos relacionados con el presente asunto.</w:t>
      </w:r>
    </w:p>
    <w:p w:rsidR="008437AC" w:rsidRPr="00D61397" w:rsidRDefault="008437AC" w:rsidP="00A24C95">
      <w:pPr>
        <w:pStyle w:val="corte4fondo"/>
        <w:numPr>
          <w:ilvl w:val="0"/>
          <w:numId w:val="4"/>
        </w:numPr>
        <w:rPr>
          <w:rFonts w:cs="Arial"/>
          <w:color w:val="2E74B5" w:themeColor="accent1" w:themeShade="BF"/>
          <w:sz w:val="24"/>
          <w:szCs w:val="24"/>
          <w:lang w:val="es-MX"/>
        </w:rPr>
      </w:pPr>
      <w:r w:rsidRPr="00D61397">
        <w:rPr>
          <w:rFonts w:cs="Arial"/>
          <w:color w:val="2E74B5" w:themeColor="accent1" w:themeShade="BF"/>
          <w:sz w:val="24"/>
          <w:szCs w:val="24"/>
          <w:lang w:val="es-MX"/>
        </w:rPr>
        <w:t>Por ofrecidas las pruebas quienes así lo hicieron.</w:t>
      </w:r>
    </w:p>
    <w:p w:rsidR="00EE0D15" w:rsidRPr="00D61397" w:rsidRDefault="00EE0D15" w:rsidP="00A24C95">
      <w:pPr>
        <w:spacing w:after="0" w:line="276" w:lineRule="auto"/>
        <w:ind w:left="1510"/>
        <w:jc w:val="both"/>
        <w:rPr>
          <w:rFonts w:ascii="Arial" w:eastAsia="Times New Roman" w:hAnsi="Arial" w:cs="Arial"/>
          <w:color w:val="2E74B5" w:themeColor="accent1" w:themeShade="BF"/>
          <w:sz w:val="24"/>
          <w:szCs w:val="24"/>
          <w:lang w:eastAsia="es-MX"/>
        </w:rPr>
      </w:pPr>
    </w:p>
    <w:p w:rsidR="00EE0D15" w:rsidRPr="00D61397" w:rsidRDefault="00EE0D15" w:rsidP="00A24C95">
      <w:pPr>
        <w:spacing w:after="0" w:line="276" w:lineRule="auto"/>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color w:val="2E74B5" w:themeColor="accent1" w:themeShade="BF"/>
          <w:sz w:val="24"/>
          <w:szCs w:val="24"/>
          <w:lang w:eastAsia="es-MX"/>
        </w:rPr>
        <w:tab/>
        <w:t>Respecto de la parte recurrente, esta Comisión advirtió que no compareció a realizar las manifestaciones que a su derecho conviniera - ofrecer pruebas y alegar.</w:t>
      </w:r>
    </w:p>
    <w:p w:rsidR="008437AC" w:rsidRPr="00D61397" w:rsidRDefault="008437AC" w:rsidP="00A24C95">
      <w:pPr>
        <w:pStyle w:val="corte4fondo"/>
        <w:spacing w:line="276" w:lineRule="auto"/>
        <w:rPr>
          <w:rFonts w:cs="Arial"/>
          <w:color w:val="2E74B5" w:themeColor="accent1" w:themeShade="BF"/>
          <w:sz w:val="24"/>
          <w:szCs w:val="24"/>
          <w:lang w:val="es-ES"/>
        </w:rPr>
      </w:pPr>
    </w:p>
    <w:p w:rsidR="00EE0D15" w:rsidRPr="00D61397" w:rsidRDefault="008437AC" w:rsidP="00A24C95">
      <w:pPr>
        <w:pStyle w:val="corte4fondo"/>
        <w:spacing w:line="276" w:lineRule="auto"/>
        <w:rPr>
          <w:rFonts w:cs="Arial"/>
          <w:color w:val="2E74B5" w:themeColor="accent1" w:themeShade="BF"/>
          <w:sz w:val="24"/>
          <w:szCs w:val="24"/>
          <w:lang w:val="es-ES"/>
        </w:rPr>
      </w:pPr>
      <w:r w:rsidRPr="00D61397">
        <w:rPr>
          <w:rFonts w:cs="Arial"/>
          <w:b/>
          <w:color w:val="2E74B5" w:themeColor="accent1" w:themeShade="BF"/>
          <w:sz w:val="24"/>
          <w:szCs w:val="24"/>
          <w:lang w:val="es-ES"/>
        </w:rPr>
        <w:t>SÉPTIMO</w:t>
      </w:r>
      <w:r w:rsidRPr="00D61397">
        <w:rPr>
          <w:rFonts w:cs="Arial"/>
          <w:color w:val="2E74B5" w:themeColor="accent1" w:themeShade="BF"/>
          <w:sz w:val="24"/>
          <w:szCs w:val="24"/>
          <w:lang w:val="es-ES"/>
        </w:rPr>
        <w:t xml:space="preserve">. </w:t>
      </w:r>
      <w:r w:rsidRPr="00D61397">
        <w:rPr>
          <w:rFonts w:cs="Arial"/>
          <w:b/>
          <w:color w:val="2E74B5" w:themeColor="accent1" w:themeShade="BF"/>
          <w:sz w:val="24"/>
          <w:szCs w:val="24"/>
        </w:rPr>
        <w:t xml:space="preserve">Ampliación del plazo para resolver. </w:t>
      </w:r>
      <w:r w:rsidRPr="00D61397">
        <w:rPr>
          <w:rFonts w:cs="Arial"/>
          <w:color w:val="2E74B5" w:themeColor="accent1" w:themeShade="BF"/>
          <w:sz w:val="24"/>
          <w:szCs w:val="24"/>
        </w:rPr>
        <w:t>Por auto de 15 quince de agosto de 2018 dos mil dieciocho la ponente decretó la ampliación del plazo para resolver el presente asunto</w:t>
      </w:r>
      <w:r w:rsidRPr="00D61397">
        <w:rPr>
          <w:rFonts w:cs="Arial"/>
          <w:color w:val="2E74B5" w:themeColor="accent1" w:themeShade="BF"/>
          <w:sz w:val="24"/>
          <w:szCs w:val="24"/>
          <w:lang w:val="es-ES"/>
        </w:rPr>
        <w:t xml:space="preserve">, ello </w:t>
      </w:r>
      <w:r w:rsidRPr="00D61397">
        <w:rPr>
          <w:rFonts w:cs="Arial"/>
          <w:color w:val="2E74B5" w:themeColor="accent1" w:themeShade="BF"/>
          <w:sz w:val="24"/>
          <w:szCs w:val="24"/>
        </w:rPr>
        <w:t>de conformidad con el Lineamiento Décimo Noveno de los Lineamientos para la Recepción, Sustanciación, Resolución</w:t>
      </w:r>
      <w:r w:rsidRPr="00D61397">
        <w:rPr>
          <w:rFonts w:cs="Arial"/>
          <w:color w:val="2E74B5" w:themeColor="accent1" w:themeShade="BF"/>
          <w:spacing w:val="2"/>
          <w:sz w:val="24"/>
          <w:szCs w:val="24"/>
        </w:rPr>
        <w:t xml:space="preserve"> y Cumplimiento de los Recursos de Revisión promovidos ante la CEGAIP, emitidos en la Sesión de Pleno Ordinaria de Consejo celebrada el 07 siete de noviembre de 2017 dos mil diecisiete, y publicados en el Periódico Oficial del Gobierno del Estado el 15 de febrero de 2018 dos mil dieciocho. </w:t>
      </w:r>
      <w:r w:rsidRPr="00D61397">
        <w:rPr>
          <w:rFonts w:cs="Arial"/>
          <w:color w:val="2E74B5" w:themeColor="accent1" w:themeShade="BF"/>
          <w:sz w:val="24"/>
          <w:szCs w:val="24"/>
        </w:rPr>
        <w:t xml:space="preserve"> </w:t>
      </w:r>
    </w:p>
    <w:p w:rsidR="008437AC" w:rsidRPr="00D61397" w:rsidRDefault="008437AC" w:rsidP="00A24C95">
      <w:pPr>
        <w:pStyle w:val="corte4fondo"/>
        <w:spacing w:line="276" w:lineRule="auto"/>
        <w:rPr>
          <w:rFonts w:cs="Arial"/>
          <w:color w:val="2E74B5" w:themeColor="accent1" w:themeShade="BF"/>
          <w:sz w:val="24"/>
          <w:szCs w:val="24"/>
          <w:lang w:val="es-ES"/>
        </w:rPr>
      </w:pPr>
    </w:p>
    <w:p w:rsidR="00EE0D15" w:rsidRPr="00D61397" w:rsidRDefault="00EE0D15" w:rsidP="00A24C95">
      <w:pPr>
        <w:pStyle w:val="corte4fondo"/>
        <w:spacing w:line="276" w:lineRule="auto"/>
        <w:rPr>
          <w:rFonts w:cs="Arial"/>
          <w:color w:val="2E74B5" w:themeColor="accent1" w:themeShade="BF"/>
          <w:sz w:val="24"/>
          <w:szCs w:val="24"/>
        </w:rPr>
      </w:pPr>
      <w:r w:rsidRPr="00D61397">
        <w:rPr>
          <w:rFonts w:cs="Arial"/>
          <w:color w:val="2E74B5" w:themeColor="accent1" w:themeShade="BF"/>
          <w:sz w:val="24"/>
          <w:szCs w:val="24"/>
        </w:rPr>
        <w:t>Para concluir, la ponente declaró cerrado el periodo de instrucción y procedió a elaborar el proyecto de resolución respectivo.</w:t>
      </w:r>
    </w:p>
    <w:p w:rsidR="00EE0D15" w:rsidRPr="00D61397" w:rsidRDefault="00EE0D15" w:rsidP="00A24C95">
      <w:pPr>
        <w:spacing w:after="0" w:line="276" w:lineRule="auto"/>
        <w:jc w:val="both"/>
        <w:rPr>
          <w:rFonts w:ascii="Arial" w:eastAsia="Times New Roman" w:hAnsi="Arial" w:cs="Arial"/>
          <w:color w:val="2E74B5" w:themeColor="accent1" w:themeShade="BF"/>
          <w:sz w:val="24"/>
          <w:szCs w:val="24"/>
          <w:lang w:eastAsia="es-MX"/>
        </w:rPr>
      </w:pPr>
    </w:p>
    <w:p w:rsidR="00EE0D15" w:rsidRPr="00D61397" w:rsidRDefault="00EE0D15" w:rsidP="00A24C95">
      <w:pPr>
        <w:pStyle w:val="corte4fondo"/>
        <w:spacing w:line="276" w:lineRule="auto"/>
        <w:jc w:val="center"/>
        <w:rPr>
          <w:rFonts w:cs="Arial"/>
          <w:b/>
          <w:color w:val="2E74B5" w:themeColor="accent1" w:themeShade="BF"/>
          <w:sz w:val="24"/>
          <w:szCs w:val="24"/>
        </w:rPr>
      </w:pPr>
      <w:r w:rsidRPr="00D61397">
        <w:rPr>
          <w:rFonts w:cs="Arial"/>
          <w:b/>
          <w:color w:val="2E74B5" w:themeColor="accent1" w:themeShade="BF"/>
          <w:sz w:val="24"/>
          <w:szCs w:val="24"/>
          <w:lang w:val="es-MX"/>
        </w:rPr>
        <w:t>CONSIDERANDO</w:t>
      </w:r>
    </w:p>
    <w:p w:rsidR="00EE0D15" w:rsidRPr="00D61397" w:rsidRDefault="00EE0D15" w:rsidP="00A24C95">
      <w:pPr>
        <w:spacing w:after="0" w:line="276" w:lineRule="auto"/>
        <w:ind w:firstLine="709"/>
        <w:jc w:val="center"/>
        <w:rPr>
          <w:rFonts w:ascii="Arial" w:eastAsia="Times New Roman" w:hAnsi="Arial" w:cs="Arial"/>
          <w:b/>
          <w:color w:val="2E74B5" w:themeColor="accent1" w:themeShade="BF"/>
          <w:sz w:val="24"/>
          <w:szCs w:val="24"/>
          <w:lang w:eastAsia="es-MX"/>
        </w:rPr>
      </w:pP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b/>
          <w:color w:val="2E74B5" w:themeColor="accent1" w:themeShade="BF"/>
          <w:sz w:val="24"/>
          <w:szCs w:val="24"/>
          <w:lang w:eastAsia="es-MX"/>
        </w:rPr>
        <w:t xml:space="preserve">PRIMERO. Competencia. </w:t>
      </w:r>
      <w:r w:rsidRPr="00D61397">
        <w:rPr>
          <w:rFonts w:ascii="Arial" w:eastAsia="Times New Roman" w:hAnsi="Arial" w:cs="Arial"/>
          <w:color w:val="2E74B5" w:themeColor="accent1" w:themeShade="BF"/>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w:t>
      </w:r>
      <w:r w:rsidRPr="00D61397">
        <w:rPr>
          <w:rFonts w:ascii="Arial" w:eastAsia="Times New Roman" w:hAnsi="Arial" w:cs="Arial"/>
          <w:color w:val="2E74B5" w:themeColor="accent1" w:themeShade="BF"/>
          <w:sz w:val="24"/>
          <w:szCs w:val="24"/>
          <w:lang w:eastAsia="es-MX"/>
        </w:rPr>
        <w:lastRenderedPageBreak/>
        <w:t xml:space="preserve">Política del Estado Libre y Soberano de San Luis Potosí; 27, primer párrafo, 34, fracciones I y II, 35, fracción I, y 175 de la Ley de Transparencia y Acceso a la Información Pública de este Estado. </w:t>
      </w: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b/>
          <w:color w:val="2E74B5" w:themeColor="accent1" w:themeShade="BF"/>
          <w:sz w:val="24"/>
          <w:szCs w:val="24"/>
          <w:lang w:eastAsia="es-MX"/>
        </w:rPr>
        <w:t xml:space="preserve">SEGUNDO. Procedencia. </w:t>
      </w:r>
      <w:r w:rsidRPr="00D61397">
        <w:rPr>
          <w:rFonts w:ascii="Arial" w:eastAsia="Times New Roman" w:hAnsi="Arial" w:cs="Arial"/>
          <w:color w:val="2E74B5" w:themeColor="accent1" w:themeShade="BF"/>
          <w:sz w:val="24"/>
          <w:szCs w:val="24"/>
          <w:lang w:eastAsia="es-MX"/>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por parte del sujeto obligado. </w:t>
      </w: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b/>
          <w:color w:val="2E74B5" w:themeColor="accent1" w:themeShade="BF"/>
          <w:sz w:val="24"/>
          <w:szCs w:val="24"/>
          <w:lang w:eastAsia="es-MX"/>
        </w:rPr>
        <w:t>TERCERO. Oportunidad del recurso</w:t>
      </w:r>
      <w:r w:rsidRPr="00D61397">
        <w:rPr>
          <w:rFonts w:ascii="Arial" w:eastAsia="Times New Roman" w:hAnsi="Arial" w:cs="Arial"/>
          <w:color w:val="2E74B5" w:themeColor="accent1" w:themeShade="BF"/>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E0D15" w:rsidRPr="00D61397" w:rsidRDefault="00EE0D15" w:rsidP="00A24C95">
      <w:pPr>
        <w:spacing w:after="0" w:line="276" w:lineRule="auto"/>
        <w:ind w:firstLine="709"/>
        <w:jc w:val="both"/>
        <w:rPr>
          <w:rFonts w:ascii="Arial" w:eastAsia="Times New Roman" w:hAnsi="Arial" w:cs="Arial"/>
          <w:color w:val="2E74B5" w:themeColor="accent1" w:themeShade="BF"/>
          <w:sz w:val="24"/>
          <w:szCs w:val="24"/>
          <w:lang w:eastAsia="es-MX"/>
        </w:rPr>
      </w:pPr>
    </w:p>
    <w:p w:rsidR="00EE0D15" w:rsidRPr="00D61397" w:rsidRDefault="00EE0D15" w:rsidP="00A24C95">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color w:val="2E74B5" w:themeColor="accent1" w:themeShade="BF"/>
          <w:sz w:val="24"/>
          <w:szCs w:val="24"/>
          <w:lang w:eastAsia="es-MX"/>
        </w:rPr>
        <w:t xml:space="preserve">El </w:t>
      </w:r>
      <w:r w:rsidR="00FA1299" w:rsidRPr="00D61397">
        <w:rPr>
          <w:rFonts w:ascii="Arial" w:eastAsia="Times New Roman" w:hAnsi="Arial" w:cs="Arial"/>
          <w:color w:val="2E74B5" w:themeColor="accent1" w:themeShade="BF"/>
          <w:sz w:val="24"/>
          <w:szCs w:val="24"/>
          <w:lang w:eastAsia="es-MX"/>
        </w:rPr>
        <w:t xml:space="preserve">13 trece de junio </w:t>
      </w:r>
      <w:r w:rsidRPr="00D61397">
        <w:rPr>
          <w:rFonts w:ascii="Arial" w:eastAsia="Times New Roman" w:hAnsi="Arial" w:cs="Arial"/>
          <w:color w:val="2E74B5" w:themeColor="accent1" w:themeShade="BF"/>
          <w:sz w:val="24"/>
          <w:szCs w:val="24"/>
          <w:lang w:eastAsia="es-MX"/>
        </w:rPr>
        <w:t>de 2018 dos mil dieciocho el solicitante de la información fue notificado de la respuesta a su solicitud.</w:t>
      </w:r>
    </w:p>
    <w:p w:rsidR="00EE0D15" w:rsidRPr="00D61397" w:rsidRDefault="00EE0D15" w:rsidP="00A24C95">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color w:val="2E74B5" w:themeColor="accent1" w:themeShade="BF"/>
          <w:sz w:val="24"/>
          <w:szCs w:val="24"/>
          <w:lang w:eastAsia="es-MX"/>
        </w:rPr>
        <w:t xml:space="preserve">Por lo tanto, el plazo de los quince días hábiles para interponer el recurso de revisión transcurrió del día </w:t>
      </w:r>
      <w:r w:rsidR="00FA1299" w:rsidRPr="00D61397">
        <w:rPr>
          <w:rFonts w:ascii="Arial" w:eastAsia="Times New Roman" w:hAnsi="Arial" w:cs="Arial"/>
          <w:color w:val="2E74B5" w:themeColor="accent1" w:themeShade="BF"/>
          <w:sz w:val="24"/>
          <w:szCs w:val="24"/>
          <w:lang w:eastAsia="es-MX"/>
        </w:rPr>
        <w:t xml:space="preserve">14 catorce </w:t>
      </w:r>
      <w:r w:rsidRPr="00D61397">
        <w:rPr>
          <w:rFonts w:ascii="Arial" w:eastAsia="Times New Roman" w:hAnsi="Arial" w:cs="Arial"/>
          <w:color w:val="2E74B5" w:themeColor="accent1" w:themeShade="BF"/>
          <w:sz w:val="24"/>
          <w:szCs w:val="24"/>
          <w:lang w:eastAsia="es-MX"/>
        </w:rPr>
        <w:t xml:space="preserve">de </w:t>
      </w:r>
      <w:r w:rsidR="00FA1299" w:rsidRPr="00D61397">
        <w:rPr>
          <w:rFonts w:ascii="Arial" w:eastAsia="Times New Roman" w:hAnsi="Arial" w:cs="Arial"/>
          <w:color w:val="2E74B5" w:themeColor="accent1" w:themeShade="BF"/>
          <w:sz w:val="24"/>
          <w:szCs w:val="24"/>
          <w:lang w:eastAsia="es-MX"/>
        </w:rPr>
        <w:t xml:space="preserve">junio </w:t>
      </w:r>
      <w:r w:rsidRPr="00D61397">
        <w:rPr>
          <w:rFonts w:ascii="Arial" w:eastAsia="Times New Roman" w:hAnsi="Arial" w:cs="Arial"/>
          <w:color w:val="2E74B5" w:themeColor="accent1" w:themeShade="BF"/>
          <w:sz w:val="24"/>
          <w:szCs w:val="24"/>
          <w:lang w:eastAsia="es-MX"/>
        </w:rPr>
        <w:t xml:space="preserve">al </w:t>
      </w:r>
      <w:r w:rsidR="00FA1299" w:rsidRPr="00D61397">
        <w:rPr>
          <w:rFonts w:ascii="Arial" w:eastAsia="Times New Roman" w:hAnsi="Arial" w:cs="Arial"/>
          <w:color w:val="2E74B5" w:themeColor="accent1" w:themeShade="BF"/>
          <w:sz w:val="24"/>
          <w:szCs w:val="24"/>
          <w:lang w:eastAsia="es-MX"/>
        </w:rPr>
        <w:t xml:space="preserve">04 cuatro de julio </w:t>
      </w:r>
      <w:r w:rsidRPr="00D61397">
        <w:rPr>
          <w:rFonts w:ascii="Arial" w:eastAsia="Times New Roman" w:hAnsi="Arial" w:cs="Arial"/>
          <w:color w:val="2E74B5" w:themeColor="accent1" w:themeShade="BF"/>
          <w:sz w:val="24"/>
          <w:szCs w:val="24"/>
          <w:lang w:eastAsia="es-MX"/>
        </w:rPr>
        <w:t xml:space="preserve">de este año. </w:t>
      </w:r>
    </w:p>
    <w:p w:rsidR="00EE0D15" w:rsidRPr="00D61397" w:rsidRDefault="00EE0D15" w:rsidP="00A24C95">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color w:val="2E74B5" w:themeColor="accent1" w:themeShade="BF"/>
          <w:sz w:val="24"/>
          <w:szCs w:val="24"/>
          <w:lang w:eastAsia="es-MX"/>
        </w:rPr>
        <w:t xml:space="preserve">Se deben de descontar de dicho cómputo por ser inhábiles los días </w:t>
      </w:r>
      <w:r w:rsidR="00FA1299" w:rsidRPr="00D61397">
        <w:rPr>
          <w:rFonts w:ascii="Arial" w:eastAsia="Times New Roman" w:hAnsi="Arial" w:cs="Arial"/>
          <w:color w:val="2E74B5" w:themeColor="accent1" w:themeShade="BF"/>
          <w:sz w:val="24"/>
          <w:szCs w:val="24"/>
          <w:lang w:eastAsia="es-MX"/>
        </w:rPr>
        <w:t xml:space="preserve">16 dieciséis, 17 diecisiete, 23 veintitrés, 24 veinticuatro, 30 treinta </w:t>
      </w:r>
      <w:r w:rsidRPr="00D61397">
        <w:rPr>
          <w:rFonts w:ascii="Arial" w:eastAsia="Times New Roman" w:hAnsi="Arial" w:cs="Arial"/>
          <w:color w:val="2E74B5" w:themeColor="accent1" w:themeShade="BF"/>
          <w:sz w:val="24"/>
          <w:szCs w:val="24"/>
          <w:lang w:eastAsia="es-MX"/>
        </w:rPr>
        <w:t>de junio</w:t>
      </w:r>
      <w:r w:rsidR="00FA1299" w:rsidRPr="00D61397">
        <w:rPr>
          <w:rFonts w:ascii="Arial" w:eastAsia="Times New Roman" w:hAnsi="Arial" w:cs="Arial"/>
          <w:color w:val="2E74B5" w:themeColor="accent1" w:themeShade="BF"/>
          <w:sz w:val="24"/>
          <w:szCs w:val="24"/>
          <w:lang w:eastAsia="es-MX"/>
        </w:rPr>
        <w:t xml:space="preserve"> y 01 uno de julio</w:t>
      </w:r>
      <w:r w:rsidRPr="00D61397">
        <w:rPr>
          <w:rFonts w:ascii="Arial" w:eastAsia="Times New Roman" w:hAnsi="Arial" w:cs="Arial"/>
          <w:color w:val="2E74B5" w:themeColor="accent1" w:themeShade="BF"/>
          <w:sz w:val="24"/>
          <w:szCs w:val="24"/>
          <w:lang w:eastAsia="es-MX"/>
        </w:rPr>
        <w:t xml:space="preserve">.  </w:t>
      </w:r>
    </w:p>
    <w:p w:rsidR="00EE0D15" w:rsidRPr="00D61397" w:rsidRDefault="00EE0D15" w:rsidP="00A24C95">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D61397">
        <w:rPr>
          <w:rFonts w:ascii="Arial" w:eastAsia="Times New Roman" w:hAnsi="Arial" w:cs="Arial"/>
          <w:color w:val="2E74B5" w:themeColor="accent1" w:themeShade="BF"/>
          <w:sz w:val="24"/>
          <w:szCs w:val="24"/>
          <w:lang w:eastAsia="es-MX"/>
        </w:rPr>
        <w:t xml:space="preserve">Consecuentemente si el </w:t>
      </w:r>
      <w:r w:rsidR="00FA1299" w:rsidRPr="00D61397">
        <w:rPr>
          <w:rFonts w:ascii="Arial" w:eastAsia="Times New Roman" w:hAnsi="Arial" w:cs="Arial"/>
          <w:color w:val="2E74B5" w:themeColor="accent1" w:themeShade="BF"/>
          <w:sz w:val="24"/>
          <w:szCs w:val="24"/>
          <w:lang w:eastAsia="es-MX"/>
        </w:rPr>
        <w:t xml:space="preserve">19 diecinueve de junio </w:t>
      </w:r>
      <w:r w:rsidRPr="00D61397">
        <w:rPr>
          <w:rFonts w:ascii="Arial" w:eastAsia="Times New Roman" w:hAnsi="Arial" w:cs="Arial"/>
          <w:color w:val="2E74B5" w:themeColor="accent1" w:themeShade="BF"/>
          <w:sz w:val="24"/>
          <w:szCs w:val="24"/>
          <w:lang w:eastAsia="es-MX"/>
        </w:rPr>
        <w:t xml:space="preserve">del presente año el recurrente interpuso el citado medio de impugnación ante esta Comisión de Transparencia, resulta claro que es oportuna su presentación.  </w:t>
      </w:r>
    </w:p>
    <w:p w:rsidR="00EE0D15" w:rsidRPr="00D61397" w:rsidRDefault="00EE0D15" w:rsidP="00A24C95">
      <w:pPr>
        <w:pStyle w:val="corte4fondo"/>
        <w:spacing w:line="276" w:lineRule="auto"/>
        <w:rPr>
          <w:rFonts w:cs="Arial"/>
          <w:color w:val="2E74B5" w:themeColor="accent1" w:themeShade="BF"/>
          <w:sz w:val="24"/>
          <w:szCs w:val="24"/>
        </w:rPr>
      </w:pPr>
    </w:p>
    <w:p w:rsidR="00EE0D15" w:rsidRPr="00D61397" w:rsidRDefault="008437AC" w:rsidP="00A24C95">
      <w:pPr>
        <w:pStyle w:val="corte4fondo"/>
        <w:spacing w:line="276" w:lineRule="auto"/>
        <w:ind w:firstLine="708"/>
        <w:rPr>
          <w:rFonts w:cs="Arial"/>
          <w:color w:val="2E74B5" w:themeColor="accent1" w:themeShade="BF"/>
          <w:sz w:val="24"/>
          <w:szCs w:val="24"/>
        </w:rPr>
      </w:pPr>
      <w:r w:rsidRPr="00D61397">
        <w:rPr>
          <w:rFonts w:cs="Arial"/>
          <w:b/>
          <w:color w:val="2E74B5" w:themeColor="accent1" w:themeShade="BF"/>
          <w:sz w:val="24"/>
          <w:szCs w:val="24"/>
        </w:rPr>
        <w:t xml:space="preserve">CUARTO. </w:t>
      </w:r>
      <w:r w:rsidR="00EE0D15" w:rsidRPr="00D61397">
        <w:rPr>
          <w:rFonts w:cs="Arial"/>
          <w:b/>
          <w:color w:val="2E74B5" w:themeColor="accent1" w:themeShade="BF"/>
          <w:sz w:val="24"/>
          <w:szCs w:val="24"/>
        </w:rPr>
        <w:t>Certeza del acto reclamado</w:t>
      </w:r>
      <w:r w:rsidR="00EE0D15" w:rsidRPr="00D61397">
        <w:rPr>
          <w:rFonts w:cs="Arial"/>
          <w:color w:val="2E74B5" w:themeColor="accent1" w:themeShade="BF"/>
          <w:sz w:val="24"/>
          <w:szCs w:val="24"/>
        </w:rPr>
        <w:t xml:space="preserve">. Son ciertos los actos reclamados  atribuidos a los sujetos obligados en virtud de que el </w:t>
      </w:r>
      <w:r w:rsidR="00EE0D15" w:rsidRPr="00D61397">
        <w:rPr>
          <w:rFonts w:cs="Arial"/>
          <w:b/>
          <w:color w:val="2E74B5" w:themeColor="accent1" w:themeShade="BF"/>
          <w:sz w:val="24"/>
          <w:szCs w:val="24"/>
          <w:lang w:val="es-MX"/>
        </w:rPr>
        <w:t xml:space="preserve">TITULAR </w:t>
      </w:r>
      <w:r w:rsidR="00EE0D15" w:rsidRPr="00D61397">
        <w:rPr>
          <w:rFonts w:cs="Arial"/>
          <w:b/>
          <w:color w:val="2E74B5" w:themeColor="accent1" w:themeShade="BF"/>
          <w:sz w:val="24"/>
          <w:szCs w:val="24"/>
        </w:rPr>
        <w:t xml:space="preserve">DE LA UNIDAD DE </w:t>
      </w:r>
      <w:r w:rsidR="00EE0D15" w:rsidRPr="00D61397">
        <w:rPr>
          <w:rFonts w:cs="Arial"/>
          <w:b/>
          <w:color w:val="2E74B5" w:themeColor="accent1" w:themeShade="BF"/>
          <w:sz w:val="24"/>
          <w:szCs w:val="24"/>
          <w:lang w:val="es-MX"/>
        </w:rPr>
        <w:t xml:space="preserve">TRANSPARENCIA </w:t>
      </w:r>
      <w:r w:rsidR="00EE0D15" w:rsidRPr="00D61397">
        <w:rPr>
          <w:rFonts w:cs="Arial"/>
          <w:color w:val="2E74B5" w:themeColor="accent1" w:themeShade="BF"/>
          <w:sz w:val="24"/>
          <w:szCs w:val="24"/>
          <w:lang w:val="es-MX"/>
        </w:rPr>
        <w:t xml:space="preserve">y la </w:t>
      </w:r>
      <w:r w:rsidR="00EE0D15" w:rsidRPr="00D61397">
        <w:rPr>
          <w:rFonts w:cs="Arial"/>
          <w:b/>
          <w:color w:val="2E74B5" w:themeColor="accent1" w:themeShade="BF"/>
          <w:sz w:val="24"/>
          <w:szCs w:val="24"/>
          <w:lang w:val="es-MX"/>
        </w:rPr>
        <w:t xml:space="preserve">UNIDAD DE </w:t>
      </w:r>
      <w:r w:rsidR="00FA1299" w:rsidRPr="00D61397">
        <w:rPr>
          <w:rFonts w:cs="Arial"/>
          <w:b/>
          <w:color w:val="2E74B5" w:themeColor="accent1" w:themeShade="BF"/>
          <w:sz w:val="24"/>
          <w:szCs w:val="24"/>
          <w:lang w:val="es-MX"/>
        </w:rPr>
        <w:t xml:space="preserve">ATENCION A DENUNCIAS </w:t>
      </w:r>
      <w:r w:rsidR="00EE0D15" w:rsidRPr="00D61397">
        <w:rPr>
          <w:rFonts w:cs="Arial"/>
          <w:color w:val="2E74B5" w:themeColor="accent1" w:themeShade="BF"/>
          <w:sz w:val="24"/>
          <w:szCs w:val="24"/>
          <w:lang w:val="es-MX"/>
        </w:rPr>
        <w:t xml:space="preserve">de la </w:t>
      </w:r>
      <w:r w:rsidR="00EE0D15" w:rsidRPr="00D61397">
        <w:rPr>
          <w:rFonts w:cs="Arial"/>
          <w:b/>
          <w:color w:val="2E74B5" w:themeColor="accent1" w:themeShade="BF"/>
          <w:sz w:val="24"/>
          <w:szCs w:val="24"/>
          <w:lang w:val="es-MX"/>
        </w:rPr>
        <w:t>COMISIÓN ESTATAL DE GARANTÍA DE ACCESO A LA INFORMACIÓN PÚBLICA</w:t>
      </w:r>
      <w:r w:rsidR="00EE0D15" w:rsidRPr="00D61397">
        <w:rPr>
          <w:rFonts w:cs="Arial"/>
          <w:color w:val="2E74B5" w:themeColor="accent1" w:themeShade="BF"/>
          <w:sz w:val="24"/>
          <w:szCs w:val="24"/>
          <w:lang w:val="es-MX"/>
        </w:rPr>
        <w:t xml:space="preserve"> </w:t>
      </w:r>
      <w:r w:rsidR="00EE0D15" w:rsidRPr="00D61397">
        <w:rPr>
          <w:rFonts w:cs="Arial"/>
          <w:color w:val="2E74B5" w:themeColor="accent1" w:themeShade="BF"/>
          <w:sz w:val="24"/>
          <w:szCs w:val="24"/>
        </w:rPr>
        <w:t>así lo reconocieron en su informe.</w:t>
      </w:r>
    </w:p>
    <w:p w:rsidR="00EE0D15" w:rsidRPr="00D61397" w:rsidRDefault="00EE0D15" w:rsidP="00A24C95">
      <w:pPr>
        <w:pStyle w:val="corte4fondo"/>
        <w:spacing w:line="276" w:lineRule="auto"/>
        <w:rPr>
          <w:rFonts w:cs="Arial"/>
          <w:color w:val="2E74B5" w:themeColor="accent1" w:themeShade="BF"/>
          <w:sz w:val="24"/>
          <w:szCs w:val="24"/>
        </w:rPr>
      </w:pPr>
    </w:p>
    <w:p w:rsidR="00EE0D15" w:rsidRPr="00D61397" w:rsidRDefault="00FA1299" w:rsidP="00A24C95">
      <w:pPr>
        <w:pStyle w:val="corte4fondo"/>
        <w:spacing w:line="276" w:lineRule="auto"/>
        <w:ind w:firstLine="708"/>
        <w:rPr>
          <w:rFonts w:cs="Arial"/>
          <w:color w:val="2E74B5" w:themeColor="accent1" w:themeShade="BF"/>
          <w:sz w:val="24"/>
          <w:szCs w:val="24"/>
        </w:rPr>
      </w:pPr>
      <w:r w:rsidRPr="00D61397">
        <w:rPr>
          <w:rFonts w:cs="Arial"/>
          <w:b/>
          <w:color w:val="2E74B5" w:themeColor="accent1" w:themeShade="BF"/>
          <w:sz w:val="24"/>
          <w:szCs w:val="24"/>
        </w:rPr>
        <w:t xml:space="preserve">QUINTO. </w:t>
      </w:r>
      <w:r w:rsidR="00EE0D15" w:rsidRPr="00D61397">
        <w:rPr>
          <w:rFonts w:cs="Arial"/>
          <w:b/>
          <w:color w:val="2E74B5" w:themeColor="accent1" w:themeShade="BF"/>
          <w:sz w:val="24"/>
          <w:szCs w:val="24"/>
        </w:rPr>
        <w:t xml:space="preserve">Causales de improcedencia. </w:t>
      </w:r>
      <w:r w:rsidR="00EE0D15" w:rsidRPr="00D61397">
        <w:rPr>
          <w:rFonts w:cs="Arial"/>
          <w:color w:val="2E74B5" w:themeColor="accent1" w:themeShade="BF"/>
          <w:sz w:val="24"/>
          <w:szCs w:val="24"/>
        </w:rPr>
        <w:t xml:space="preserve">Las causales de improcedencia previstas en el artículo 179 de la Ley de Transparencia son de estudio oficioso y preferente a cualquier otra cuestión planteada, por lo tanto, al no haber </w:t>
      </w:r>
      <w:r w:rsidR="00EE0D15" w:rsidRPr="00D61397">
        <w:rPr>
          <w:rFonts w:cs="Arial"/>
          <w:color w:val="2E74B5" w:themeColor="accent1" w:themeShade="BF"/>
          <w:sz w:val="24"/>
          <w:szCs w:val="24"/>
          <w:lang w:val="es-MX"/>
        </w:rPr>
        <w:t xml:space="preserve">otra </w:t>
      </w:r>
      <w:r w:rsidR="00EE0D15" w:rsidRPr="00D61397">
        <w:rPr>
          <w:rFonts w:cs="Arial"/>
          <w:color w:val="2E74B5" w:themeColor="accent1" w:themeShade="BF"/>
          <w:sz w:val="24"/>
          <w:szCs w:val="24"/>
        </w:rPr>
        <w:t>causal de improcedencia invocada por las partes o advertida por este órgano colegiado,  se analiza el fondo de la cuestión planteada.</w:t>
      </w:r>
    </w:p>
    <w:p w:rsidR="00EE0D15" w:rsidRPr="00D61397" w:rsidRDefault="00EE0D15" w:rsidP="00A24C95">
      <w:pPr>
        <w:spacing w:after="0" w:line="276" w:lineRule="auto"/>
        <w:jc w:val="both"/>
        <w:rPr>
          <w:rFonts w:ascii="Arial" w:eastAsia="Times New Roman" w:hAnsi="Arial" w:cs="Arial"/>
          <w:b/>
          <w:color w:val="2E74B5" w:themeColor="accent1" w:themeShade="BF"/>
          <w:sz w:val="24"/>
          <w:szCs w:val="24"/>
          <w:lang w:eastAsia="es-MX"/>
        </w:rPr>
      </w:pPr>
    </w:p>
    <w:p w:rsidR="00EE0D15" w:rsidRPr="00D61397" w:rsidRDefault="0047059E" w:rsidP="00A24C95">
      <w:pPr>
        <w:pStyle w:val="corte4fondo"/>
        <w:spacing w:line="276" w:lineRule="auto"/>
        <w:ind w:firstLine="708"/>
        <w:rPr>
          <w:rFonts w:cs="Arial"/>
          <w:color w:val="2E74B5" w:themeColor="accent1" w:themeShade="BF"/>
          <w:sz w:val="24"/>
          <w:szCs w:val="24"/>
        </w:rPr>
      </w:pPr>
      <w:r w:rsidRPr="00D61397">
        <w:rPr>
          <w:rFonts w:cs="Arial"/>
          <w:b/>
          <w:color w:val="2E74B5" w:themeColor="accent1" w:themeShade="BF"/>
          <w:sz w:val="24"/>
          <w:szCs w:val="24"/>
          <w:lang w:val="es-MX"/>
        </w:rPr>
        <w:t>SÉXTO</w:t>
      </w:r>
      <w:r w:rsidRPr="00D61397">
        <w:rPr>
          <w:rFonts w:cs="Arial"/>
          <w:b/>
          <w:color w:val="2E74B5" w:themeColor="accent1" w:themeShade="BF"/>
          <w:sz w:val="24"/>
          <w:szCs w:val="24"/>
        </w:rPr>
        <w:t>.</w:t>
      </w:r>
      <w:r w:rsidR="00EE0D15" w:rsidRPr="00D61397">
        <w:rPr>
          <w:rFonts w:cs="Arial"/>
          <w:b/>
          <w:color w:val="2E74B5" w:themeColor="accent1" w:themeShade="BF"/>
          <w:sz w:val="24"/>
          <w:szCs w:val="24"/>
          <w:lang w:val="es-MX"/>
        </w:rPr>
        <w:t xml:space="preserve"> </w:t>
      </w:r>
      <w:r w:rsidR="00EE0D15" w:rsidRPr="00D61397">
        <w:rPr>
          <w:rFonts w:cs="Arial"/>
          <w:b/>
          <w:color w:val="2E74B5" w:themeColor="accent1" w:themeShade="BF"/>
          <w:sz w:val="24"/>
          <w:szCs w:val="24"/>
        </w:rPr>
        <w:t>Estudio de los agravios</w:t>
      </w:r>
      <w:r w:rsidR="00EE0D15" w:rsidRPr="00D61397">
        <w:rPr>
          <w:rFonts w:cs="Arial"/>
          <w:color w:val="2E74B5" w:themeColor="accent1" w:themeShade="BF"/>
          <w:sz w:val="24"/>
          <w:szCs w:val="24"/>
        </w:rPr>
        <w:t xml:space="preserve">.  </w:t>
      </w:r>
    </w:p>
    <w:p w:rsidR="00EE0D15" w:rsidRPr="00D61397" w:rsidRDefault="00EE0D15" w:rsidP="00A24C95">
      <w:pPr>
        <w:pStyle w:val="corte4fondo"/>
        <w:spacing w:line="276" w:lineRule="auto"/>
        <w:rPr>
          <w:rFonts w:cs="Arial"/>
          <w:color w:val="2E74B5" w:themeColor="accent1" w:themeShade="BF"/>
          <w:sz w:val="24"/>
          <w:szCs w:val="24"/>
        </w:rPr>
      </w:pPr>
    </w:p>
    <w:p w:rsidR="00EE0D15" w:rsidRPr="00D61397" w:rsidRDefault="00EE0D15" w:rsidP="00A24C95">
      <w:pPr>
        <w:pStyle w:val="corte4fondo"/>
        <w:spacing w:line="276" w:lineRule="auto"/>
        <w:ind w:firstLine="0"/>
        <w:rPr>
          <w:rFonts w:cs="Arial"/>
          <w:color w:val="2E74B5" w:themeColor="accent1" w:themeShade="BF"/>
          <w:sz w:val="24"/>
          <w:szCs w:val="24"/>
        </w:rPr>
      </w:pPr>
      <w:r w:rsidRPr="00D61397">
        <w:rPr>
          <w:rFonts w:cs="Arial"/>
          <w:color w:val="2E74B5" w:themeColor="accent1" w:themeShade="BF"/>
          <w:sz w:val="24"/>
          <w:szCs w:val="24"/>
        </w:rPr>
        <w:tab/>
      </w:r>
      <w:r w:rsidR="00A24C95" w:rsidRPr="00A24C95">
        <w:rPr>
          <w:rFonts w:cs="Arial"/>
          <w:b/>
          <w:color w:val="2E74B5" w:themeColor="accent1" w:themeShade="BF"/>
          <w:sz w:val="24"/>
          <w:szCs w:val="24"/>
          <w:lang w:val="es-MX"/>
        </w:rPr>
        <w:t>6</w:t>
      </w:r>
      <w:r w:rsidRPr="00A24C95">
        <w:rPr>
          <w:rFonts w:cs="Arial"/>
          <w:b/>
          <w:color w:val="2E74B5" w:themeColor="accent1" w:themeShade="BF"/>
          <w:sz w:val="24"/>
          <w:szCs w:val="24"/>
        </w:rPr>
        <w:t>.1</w:t>
      </w:r>
      <w:r w:rsidRPr="00D61397">
        <w:rPr>
          <w:rFonts w:cs="Arial"/>
          <w:b/>
          <w:color w:val="2E74B5" w:themeColor="accent1" w:themeShade="BF"/>
          <w:sz w:val="24"/>
          <w:szCs w:val="24"/>
        </w:rPr>
        <w:t>. Agravios.</w:t>
      </w:r>
      <w:r w:rsidRPr="00D61397">
        <w:rPr>
          <w:rFonts w:cs="Arial"/>
          <w:color w:val="2E74B5" w:themeColor="accent1" w:themeShade="BF"/>
          <w:sz w:val="24"/>
          <w:szCs w:val="24"/>
        </w:rPr>
        <w:t xml:space="preserve"> El recurrente expresó como agravios:</w:t>
      </w:r>
    </w:p>
    <w:p w:rsidR="00EE0D15" w:rsidRPr="00D61397" w:rsidRDefault="00EE0D15" w:rsidP="00A24C95">
      <w:pPr>
        <w:pStyle w:val="corte4fondo"/>
        <w:spacing w:line="276" w:lineRule="auto"/>
        <w:rPr>
          <w:rFonts w:cs="Arial"/>
          <w:color w:val="2E74B5" w:themeColor="accent1" w:themeShade="BF"/>
          <w:sz w:val="24"/>
          <w:szCs w:val="24"/>
        </w:rPr>
      </w:pPr>
    </w:p>
    <w:p w:rsidR="00EE0D15" w:rsidRPr="00D61397" w:rsidRDefault="00EE0D15" w:rsidP="00A24C95">
      <w:pPr>
        <w:pStyle w:val="corte4fondo"/>
        <w:spacing w:line="276" w:lineRule="auto"/>
        <w:rPr>
          <w:rFonts w:cs="Arial"/>
          <w:color w:val="2E74B5" w:themeColor="accent1" w:themeShade="BF"/>
          <w:sz w:val="24"/>
          <w:szCs w:val="24"/>
          <w:lang w:val="es-MX"/>
        </w:rPr>
      </w:pPr>
      <w:r w:rsidRPr="00D61397">
        <w:rPr>
          <w:rFonts w:cs="Arial"/>
          <w:i/>
          <w:color w:val="2E74B5" w:themeColor="accent1" w:themeShade="BF"/>
          <w:sz w:val="20"/>
          <w:lang w:val="es-MX"/>
        </w:rPr>
        <w:t>“…</w:t>
      </w:r>
      <w:r w:rsidR="0047059E" w:rsidRPr="00D61397">
        <w:rPr>
          <w:rFonts w:cs="Arial"/>
          <w:i/>
          <w:color w:val="2E74B5" w:themeColor="accent1" w:themeShade="BF"/>
          <w:sz w:val="20"/>
          <w:lang w:val="es-MX"/>
        </w:rPr>
        <w:t xml:space="preserve">no se me da la información que solicito y la que se meda no se me </w:t>
      </w:r>
      <w:proofErr w:type="spellStart"/>
      <w:r w:rsidR="0047059E" w:rsidRPr="00D61397">
        <w:rPr>
          <w:rFonts w:cs="Arial"/>
          <w:i/>
          <w:color w:val="2E74B5" w:themeColor="accent1" w:themeShade="BF"/>
          <w:sz w:val="20"/>
          <w:lang w:val="es-MX"/>
        </w:rPr>
        <w:t>otorg</w:t>
      </w:r>
      <w:proofErr w:type="spellEnd"/>
      <w:r w:rsidR="0047059E" w:rsidRPr="00D61397">
        <w:rPr>
          <w:rFonts w:cs="Arial"/>
          <w:i/>
          <w:color w:val="2E74B5" w:themeColor="accent1" w:themeShade="BF"/>
          <w:sz w:val="20"/>
          <w:lang w:val="es-MX"/>
        </w:rPr>
        <w:t xml:space="preserve"> en datos abiertos</w:t>
      </w:r>
      <w:r w:rsidRPr="00D61397">
        <w:rPr>
          <w:rFonts w:cs="Arial"/>
          <w:i/>
          <w:color w:val="2E74B5" w:themeColor="accent1" w:themeShade="BF"/>
          <w:sz w:val="20"/>
          <w:lang w:val="es-MX"/>
        </w:rPr>
        <w:t>…”</w:t>
      </w:r>
      <w:r w:rsidRPr="00D61397">
        <w:rPr>
          <w:rFonts w:cs="Arial"/>
          <w:color w:val="2E74B5" w:themeColor="accent1" w:themeShade="BF"/>
          <w:sz w:val="24"/>
          <w:szCs w:val="24"/>
          <w:lang w:val="es-MX"/>
        </w:rPr>
        <w:t xml:space="preserve"> </w:t>
      </w:r>
      <w:r w:rsidRPr="00D61397">
        <w:rPr>
          <w:rFonts w:cs="Arial"/>
          <w:color w:val="2E74B5" w:themeColor="accent1" w:themeShade="BF"/>
          <w:sz w:val="20"/>
          <w:lang w:val="es-MX"/>
        </w:rPr>
        <w:t>(Sic).</w:t>
      </w:r>
    </w:p>
    <w:p w:rsidR="00EE0D15" w:rsidRPr="00D61397" w:rsidRDefault="00EE0D15" w:rsidP="00A24C95">
      <w:pPr>
        <w:pStyle w:val="corte4fondo"/>
        <w:spacing w:line="276" w:lineRule="auto"/>
        <w:rPr>
          <w:rFonts w:cs="Arial"/>
          <w:color w:val="2E74B5" w:themeColor="accent1" w:themeShade="BF"/>
          <w:sz w:val="24"/>
          <w:szCs w:val="24"/>
          <w:lang w:val="es-MX"/>
        </w:rPr>
      </w:pPr>
    </w:p>
    <w:p w:rsidR="00EE0D15" w:rsidRPr="00D61397" w:rsidRDefault="00EE0D15" w:rsidP="00A24C95">
      <w:pPr>
        <w:pStyle w:val="corte4fondo"/>
        <w:spacing w:line="276" w:lineRule="auto"/>
        <w:ind w:firstLine="0"/>
        <w:rPr>
          <w:rFonts w:cs="Arial"/>
          <w:color w:val="2E74B5" w:themeColor="accent1" w:themeShade="BF"/>
          <w:sz w:val="24"/>
          <w:szCs w:val="24"/>
        </w:rPr>
      </w:pPr>
      <w:r w:rsidRPr="00D61397">
        <w:rPr>
          <w:rFonts w:cs="Arial"/>
          <w:color w:val="2E74B5" w:themeColor="accent1" w:themeShade="BF"/>
          <w:sz w:val="24"/>
          <w:szCs w:val="24"/>
        </w:rPr>
        <w:tab/>
      </w:r>
      <w:r w:rsidR="00A24C95">
        <w:rPr>
          <w:rFonts w:cs="Arial"/>
          <w:b/>
          <w:color w:val="2E74B5" w:themeColor="accent1" w:themeShade="BF"/>
          <w:sz w:val="24"/>
          <w:szCs w:val="24"/>
        </w:rPr>
        <w:t>6</w:t>
      </w:r>
      <w:r w:rsidRPr="00D61397">
        <w:rPr>
          <w:rFonts w:cs="Arial"/>
          <w:b/>
          <w:color w:val="2E74B5" w:themeColor="accent1" w:themeShade="BF"/>
          <w:sz w:val="24"/>
          <w:szCs w:val="24"/>
        </w:rPr>
        <w:t>.1.1. Agravios infundados</w:t>
      </w:r>
      <w:r w:rsidRPr="00D61397">
        <w:rPr>
          <w:rFonts w:cs="Arial"/>
          <w:color w:val="2E74B5" w:themeColor="accent1" w:themeShade="BF"/>
          <w:sz w:val="24"/>
          <w:szCs w:val="24"/>
        </w:rPr>
        <w:t>.</w:t>
      </w:r>
    </w:p>
    <w:p w:rsidR="00EE0D15" w:rsidRPr="00D61397" w:rsidRDefault="00EE0D15" w:rsidP="00A24C95">
      <w:pPr>
        <w:pStyle w:val="corte4fondo"/>
        <w:spacing w:line="276" w:lineRule="auto"/>
        <w:ind w:firstLine="0"/>
        <w:rPr>
          <w:rFonts w:cs="Arial"/>
          <w:color w:val="2E74B5" w:themeColor="accent1" w:themeShade="BF"/>
          <w:sz w:val="24"/>
          <w:szCs w:val="24"/>
        </w:rPr>
      </w:pPr>
    </w:p>
    <w:p w:rsidR="000462C0" w:rsidRPr="00D61397" w:rsidRDefault="000462C0" w:rsidP="00A24C95">
      <w:pPr>
        <w:pStyle w:val="corte4fondo"/>
        <w:spacing w:line="276" w:lineRule="auto"/>
        <w:ind w:left="-426" w:firstLine="426"/>
        <w:rPr>
          <w:rFonts w:cs="Arial"/>
          <w:color w:val="2E74B5" w:themeColor="accent1" w:themeShade="BF"/>
          <w:sz w:val="24"/>
          <w:szCs w:val="24"/>
        </w:rPr>
      </w:pPr>
      <w:r w:rsidRPr="00D61397">
        <w:rPr>
          <w:rFonts w:cs="Arial"/>
          <w:color w:val="2E74B5" w:themeColor="accent1" w:themeShade="BF"/>
          <w:sz w:val="24"/>
          <w:szCs w:val="24"/>
        </w:rPr>
        <w:lastRenderedPageBreak/>
        <w:t xml:space="preserve">En el caso concreto este Órgano Colegiado se abocará a analizar la respuesta proporcionada por el sujeto obligado, con el objeto de determinar si la misma se encuentra fundada y motivada de manera suficiente, o si bien se configura alguna negativa de acceso a la información requerida por el hoy recurrente a través de la solicitud de información presentada a la autoridad el </w:t>
      </w:r>
      <w:r w:rsidRPr="00D61397">
        <w:rPr>
          <w:rFonts w:cs="Arial"/>
          <w:color w:val="2E74B5" w:themeColor="accent1" w:themeShade="BF"/>
          <w:sz w:val="24"/>
          <w:szCs w:val="24"/>
          <w:lang w:val="es-MX"/>
        </w:rPr>
        <w:t xml:space="preserve">31 treinta y uno de mayo </w:t>
      </w:r>
      <w:r w:rsidRPr="00D61397">
        <w:rPr>
          <w:rFonts w:cs="Arial"/>
          <w:color w:val="2E74B5" w:themeColor="accent1" w:themeShade="BF"/>
          <w:sz w:val="24"/>
          <w:szCs w:val="24"/>
        </w:rPr>
        <w:t>de 2018 dos mil dieciocho.</w:t>
      </w:r>
    </w:p>
    <w:p w:rsidR="000462C0" w:rsidRPr="00D61397" w:rsidRDefault="000462C0" w:rsidP="00A24C95">
      <w:pPr>
        <w:pStyle w:val="corte4fondo"/>
        <w:spacing w:line="276" w:lineRule="auto"/>
        <w:ind w:firstLine="0"/>
        <w:rPr>
          <w:rFonts w:cs="Arial"/>
          <w:color w:val="2E74B5" w:themeColor="accent1" w:themeShade="BF"/>
          <w:sz w:val="24"/>
          <w:szCs w:val="24"/>
        </w:rPr>
      </w:pPr>
    </w:p>
    <w:p w:rsidR="00524E95" w:rsidRDefault="00524E95" w:rsidP="00A24C95">
      <w:pPr>
        <w:spacing w:after="0"/>
        <w:ind w:left="-426" w:firstLine="426"/>
        <w:jc w:val="both"/>
        <w:rPr>
          <w:rFonts w:ascii="Arial" w:hAnsi="Arial" w:cs="Arial"/>
          <w:color w:val="2E74B5" w:themeColor="accent1" w:themeShade="BF"/>
          <w:sz w:val="24"/>
          <w:szCs w:val="24"/>
        </w:rPr>
      </w:pPr>
      <w:r w:rsidRPr="00D61397">
        <w:rPr>
          <w:rFonts w:ascii="Arial" w:hAnsi="Arial" w:cs="Arial"/>
          <w:color w:val="2E74B5" w:themeColor="accent1" w:themeShade="BF"/>
          <w:sz w:val="24"/>
          <w:szCs w:val="24"/>
        </w:rPr>
        <w:t>Por su parte, en la respuesta emitida por la Unidad de Atención a Denuncias, quien dentro del marco de sus atribuciones contestó al peticionario, se pronunció por todos y cada uno de los puntos que planteó el recurrente, pues como se advie</w:t>
      </w:r>
      <w:r w:rsidR="004B6081" w:rsidRPr="00D61397">
        <w:rPr>
          <w:rFonts w:ascii="Arial" w:hAnsi="Arial" w:cs="Arial"/>
          <w:color w:val="2E74B5" w:themeColor="accent1" w:themeShade="BF"/>
          <w:sz w:val="24"/>
          <w:szCs w:val="24"/>
        </w:rPr>
        <w:t xml:space="preserve">rte éste le expresó </w:t>
      </w:r>
      <w:r w:rsidRPr="00D61397">
        <w:rPr>
          <w:rFonts w:ascii="Arial" w:hAnsi="Arial" w:cs="Arial"/>
          <w:color w:val="2E74B5" w:themeColor="accent1" w:themeShade="BF"/>
          <w:sz w:val="24"/>
          <w:szCs w:val="24"/>
        </w:rPr>
        <w:t>lo siguiente:</w:t>
      </w:r>
    </w:p>
    <w:p w:rsidR="00A24C95" w:rsidRPr="00D61397" w:rsidRDefault="00A24C95" w:rsidP="00A24C95">
      <w:pPr>
        <w:spacing w:after="0"/>
        <w:ind w:left="-426" w:firstLine="426"/>
        <w:jc w:val="both"/>
        <w:rPr>
          <w:rFonts w:ascii="Arial" w:hAnsi="Arial" w:cs="Arial"/>
          <w:color w:val="2E74B5" w:themeColor="accent1" w:themeShade="BF"/>
          <w:sz w:val="24"/>
          <w:szCs w:val="24"/>
        </w:rPr>
      </w:pPr>
    </w:p>
    <w:p w:rsidR="00524E95" w:rsidRPr="00C52C5F" w:rsidRDefault="00524E95" w:rsidP="00A24C95">
      <w:pPr>
        <w:spacing w:after="0"/>
        <w:ind w:left="-426" w:firstLine="708"/>
        <w:jc w:val="both"/>
        <w:rPr>
          <w:rFonts w:ascii="Arial" w:eastAsia="Times New Roman" w:hAnsi="Arial" w:cs="Arial"/>
          <w:i/>
          <w:color w:val="2E74B5" w:themeColor="accent1" w:themeShade="BF"/>
          <w:sz w:val="20"/>
          <w:szCs w:val="20"/>
        </w:rPr>
      </w:pPr>
      <w:r w:rsidRPr="00C52C5F">
        <w:rPr>
          <w:rFonts w:ascii="Arial" w:hAnsi="Arial" w:cs="Arial"/>
          <w:i/>
          <w:color w:val="2E74B5" w:themeColor="accent1" w:themeShade="BF"/>
          <w:sz w:val="20"/>
          <w:szCs w:val="20"/>
        </w:rPr>
        <w:t xml:space="preserve"> “…En atención a su solicitud, y con fundamento en el artículo 60 primer y segundo párrafo, 61 y 151 segundo párrafo de la vigente Ley de Transparencia y Acceso a la Información Pública del Estado, me permito remitir el acuse del oficio UAD-847/2018, mediante el que se notificó a la Unidad de Verificaciones el contenido del auto de 07 siete de mayo de 2018 dos mil dieciocho, a través del cual se le solicitó verificar el cumplimiento dado a la resolución dictada en la presente denuncia por incumplimiento a las obligaciones de transparencia DEIOT-24/2018, en la Plataforma Estatal de Transparencia. </w:t>
      </w:r>
    </w:p>
    <w:p w:rsidR="00524E95" w:rsidRPr="00C52C5F" w:rsidRDefault="00524E95" w:rsidP="00A24C95">
      <w:pPr>
        <w:spacing w:after="0"/>
        <w:ind w:left="-426" w:firstLine="708"/>
        <w:jc w:val="both"/>
        <w:rPr>
          <w:rFonts w:ascii="Arial" w:hAnsi="Arial" w:cs="Arial"/>
          <w:i/>
          <w:color w:val="2E74B5" w:themeColor="accent1" w:themeShade="BF"/>
          <w:sz w:val="20"/>
          <w:szCs w:val="20"/>
        </w:rPr>
      </w:pPr>
      <w:r w:rsidRPr="00C52C5F">
        <w:rPr>
          <w:rFonts w:ascii="Arial" w:hAnsi="Arial" w:cs="Arial"/>
          <w:i/>
          <w:color w:val="2E74B5" w:themeColor="accent1" w:themeShade="BF"/>
          <w:sz w:val="20"/>
          <w:szCs w:val="20"/>
        </w:rPr>
        <w:t xml:space="preserve">De igual modo, de manera adjunta a la presente, remito el oficio SEDA-DG-237/2018, signado por la Jefa de la Unidad de Verificaciones de esta Comisión, a través del cual informa a la Unidad de Atención a Denuncias lo conducente respecto del cumplimiento dado por el sujeto obligado a la resolución emitida en la denuncia que nos ocupa. </w:t>
      </w:r>
    </w:p>
    <w:p w:rsidR="00524E95" w:rsidRPr="00C52C5F" w:rsidRDefault="00524E95" w:rsidP="00A24C95">
      <w:pPr>
        <w:spacing w:after="0"/>
        <w:ind w:left="-426" w:firstLine="708"/>
        <w:jc w:val="both"/>
        <w:rPr>
          <w:rFonts w:ascii="Arial" w:hAnsi="Arial" w:cs="Arial"/>
          <w:i/>
          <w:color w:val="2E74B5" w:themeColor="accent1" w:themeShade="BF"/>
          <w:sz w:val="20"/>
          <w:szCs w:val="20"/>
        </w:rPr>
      </w:pPr>
      <w:r w:rsidRPr="00C52C5F">
        <w:rPr>
          <w:rFonts w:ascii="Arial" w:hAnsi="Arial" w:cs="Arial"/>
          <w:i/>
          <w:color w:val="2E74B5" w:themeColor="accent1" w:themeShade="BF"/>
          <w:sz w:val="20"/>
          <w:szCs w:val="20"/>
        </w:rPr>
        <w:t>Finalmente, de conformidad con el artículo 154 tercer párrafo de la vigente Ley de Transparencia y Acceso a la Información Pública del Estado de San Luis Potosí, se le hace de su conocimiento que en caso de inconformidad podrá interponer el recurso de revisión establecido en el artículo 166 de la citada Ley de Transparencia…”</w:t>
      </w:r>
    </w:p>
    <w:p w:rsidR="00A24C95" w:rsidRPr="00D61397" w:rsidRDefault="00A24C95" w:rsidP="00A24C95">
      <w:pPr>
        <w:spacing w:after="0"/>
        <w:ind w:left="-426" w:firstLine="708"/>
        <w:jc w:val="both"/>
        <w:rPr>
          <w:rFonts w:cs="Calibri"/>
          <w:color w:val="2E74B5" w:themeColor="accent1" w:themeShade="BF"/>
        </w:rPr>
      </w:pPr>
    </w:p>
    <w:p w:rsidR="00524E95" w:rsidRDefault="004B6081" w:rsidP="00A24C95">
      <w:pPr>
        <w:spacing w:after="0" w:line="240" w:lineRule="auto"/>
        <w:ind w:firstLine="708"/>
        <w:jc w:val="both"/>
        <w:rPr>
          <w:rFonts w:ascii="Arial" w:hAnsi="Arial" w:cs="Arial"/>
          <w:color w:val="2E74B5" w:themeColor="accent1" w:themeShade="BF"/>
          <w:sz w:val="24"/>
          <w:szCs w:val="24"/>
        </w:rPr>
      </w:pPr>
      <w:r w:rsidRPr="00D61397">
        <w:rPr>
          <w:rFonts w:ascii="Arial" w:hAnsi="Arial" w:cs="Arial"/>
          <w:color w:val="2E74B5" w:themeColor="accent1" w:themeShade="BF"/>
          <w:sz w:val="24"/>
          <w:szCs w:val="24"/>
        </w:rPr>
        <w:t>Como se ve</w:t>
      </w:r>
      <w:r w:rsidR="00524E95" w:rsidRPr="00D61397">
        <w:rPr>
          <w:rFonts w:ascii="Arial" w:hAnsi="Arial" w:cs="Arial"/>
          <w:color w:val="2E74B5" w:themeColor="accent1" w:themeShade="BF"/>
          <w:sz w:val="24"/>
          <w:szCs w:val="24"/>
        </w:rPr>
        <w:t xml:space="preserve">, el sujeto obligado observa lo establecido en </w:t>
      </w:r>
      <w:r w:rsidR="001043EA">
        <w:rPr>
          <w:rFonts w:ascii="Arial" w:hAnsi="Arial" w:cs="Arial"/>
          <w:color w:val="2E74B5" w:themeColor="accent1" w:themeShade="BF"/>
          <w:sz w:val="24"/>
          <w:szCs w:val="24"/>
        </w:rPr>
        <w:t>los</w:t>
      </w:r>
      <w:r w:rsidR="00524E95" w:rsidRPr="00D61397">
        <w:rPr>
          <w:rFonts w:ascii="Arial" w:hAnsi="Arial" w:cs="Arial"/>
          <w:color w:val="2E74B5" w:themeColor="accent1" w:themeShade="BF"/>
          <w:sz w:val="24"/>
          <w:szCs w:val="24"/>
        </w:rPr>
        <w:t xml:space="preserve"> numeral</w:t>
      </w:r>
      <w:r w:rsidR="001043EA">
        <w:rPr>
          <w:rFonts w:ascii="Arial" w:hAnsi="Arial" w:cs="Arial"/>
          <w:color w:val="2E74B5" w:themeColor="accent1" w:themeShade="BF"/>
          <w:sz w:val="24"/>
          <w:szCs w:val="24"/>
        </w:rPr>
        <w:t>es</w:t>
      </w:r>
      <w:r w:rsidR="00524E95" w:rsidRPr="00D61397">
        <w:rPr>
          <w:rFonts w:ascii="Arial" w:hAnsi="Arial" w:cs="Arial"/>
          <w:color w:val="2E74B5" w:themeColor="accent1" w:themeShade="BF"/>
          <w:sz w:val="24"/>
          <w:szCs w:val="24"/>
        </w:rPr>
        <w:t xml:space="preserve"> 4 y 6 de la Ley de Transparencia y Acceso a la Información Pública del Estado, en virtud de </w:t>
      </w:r>
      <w:r w:rsidR="00C52C5F" w:rsidRPr="00D61397">
        <w:rPr>
          <w:rFonts w:ascii="Arial" w:hAnsi="Arial" w:cs="Arial"/>
          <w:color w:val="2E74B5" w:themeColor="accent1" w:themeShade="BF"/>
          <w:sz w:val="24"/>
          <w:szCs w:val="24"/>
        </w:rPr>
        <w:t>que,</w:t>
      </w:r>
      <w:r w:rsidR="00524E95" w:rsidRPr="00D61397">
        <w:rPr>
          <w:rFonts w:ascii="Arial" w:hAnsi="Arial" w:cs="Arial"/>
          <w:color w:val="2E74B5" w:themeColor="accent1" w:themeShade="BF"/>
          <w:sz w:val="24"/>
          <w:szCs w:val="24"/>
        </w:rPr>
        <w:t xml:space="preserve"> conforme a sus facultades, competencias o funciones, se encuentran obligados a documentar, que a la letra señalan:</w:t>
      </w:r>
    </w:p>
    <w:p w:rsidR="00A24C95" w:rsidRPr="00D61397" w:rsidRDefault="00A24C95" w:rsidP="00A24C95">
      <w:pPr>
        <w:spacing w:after="0" w:line="240" w:lineRule="auto"/>
        <w:ind w:firstLine="708"/>
        <w:jc w:val="both"/>
        <w:rPr>
          <w:rFonts w:ascii="Arial" w:hAnsi="Arial" w:cs="Arial"/>
          <w:color w:val="2E74B5" w:themeColor="accent1" w:themeShade="BF"/>
          <w:sz w:val="24"/>
          <w:szCs w:val="24"/>
        </w:rPr>
      </w:pPr>
    </w:p>
    <w:p w:rsidR="00524E95" w:rsidRDefault="00524E95" w:rsidP="00A24C95">
      <w:pPr>
        <w:spacing w:after="0" w:line="240" w:lineRule="auto"/>
        <w:ind w:firstLine="708"/>
        <w:jc w:val="both"/>
        <w:rPr>
          <w:rFonts w:ascii="Arial" w:hAnsi="Arial" w:cs="Arial"/>
          <w:i/>
          <w:color w:val="2E74B5" w:themeColor="accent1" w:themeShade="BF"/>
          <w:sz w:val="20"/>
          <w:szCs w:val="20"/>
        </w:rPr>
      </w:pPr>
      <w:r w:rsidRPr="00A24C95">
        <w:rPr>
          <w:rFonts w:ascii="Arial" w:hAnsi="Arial" w:cs="Arial"/>
          <w:i/>
          <w:color w:val="2E74B5" w:themeColor="accent1" w:themeShade="BF"/>
          <w:sz w:val="20"/>
          <w:szCs w:val="20"/>
        </w:rPr>
        <w:t>“</w:t>
      </w:r>
      <w:r w:rsidR="00A24C95" w:rsidRPr="00A24C95">
        <w:rPr>
          <w:rFonts w:ascii="Arial" w:hAnsi="Arial" w:cs="Arial"/>
          <w:i/>
          <w:color w:val="2E74B5" w:themeColor="accent1" w:themeShade="BF"/>
          <w:sz w:val="20"/>
          <w:szCs w:val="20"/>
        </w:rPr>
        <w:t>…</w:t>
      </w:r>
      <w:r w:rsidRPr="00A24C95">
        <w:rPr>
          <w:rFonts w:ascii="Arial" w:hAnsi="Arial" w:cs="Arial"/>
          <w:b/>
          <w:i/>
          <w:color w:val="2E74B5" w:themeColor="accent1" w:themeShade="BF"/>
          <w:sz w:val="20"/>
          <w:szCs w:val="20"/>
        </w:rPr>
        <w:t>ARTÍCULO 4°.</w:t>
      </w:r>
      <w:r w:rsidRPr="00A24C95">
        <w:rPr>
          <w:rFonts w:ascii="Arial" w:hAnsi="Arial" w:cs="Arial"/>
          <w:i/>
          <w:color w:val="2E74B5" w:themeColor="accent1" w:themeShade="BF"/>
          <w:sz w:val="20"/>
          <w:szCs w:val="20"/>
        </w:rPr>
        <w:t xml:space="preserve"> El derecho humano de acceso a la información comprende solicitar, investigar, difundir, buscar y recibir información. Toda la información generada, obtenida, adquirida, transformada o en posesión de los sujetos obligados es pública y accesible a cualquier persona en los términos y condiciones que se establezcan en la Ley General; en los tratados internacionales de los que el Estado mexicano sea parte; la esta Ley; y la normatividad aplicable en sus respectivas competencias, sólo podrá ser clasificada excepcionalmente en los términos que fija la ley.</w:t>
      </w:r>
    </w:p>
    <w:p w:rsidR="001043EA" w:rsidRPr="00A24C95" w:rsidRDefault="001043EA" w:rsidP="00A24C95">
      <w:pPr>
        <w:spacing w:after="0" w:line="240" w:lineRule="auto"/>
        <w:ind w:firstLine="708"/>
        <w:jc w:val="both"/>
        <w:rPr>
          <w:rFonts w:ascii="Arial" w:hAnsi="Arial" w:cs="Arial"/>
          <w:i/>
          <w:color w:val="2E74B5" w:themeColor="accent1" w:themeShade="BF"/>
          <w:sz w:val="20"/>
          <w:szCs w:val="20"/>
        </w:rPr>
      </w:pPr>
    </w:p>
    <w:p w:rsidR="00524E95" w:rsidRDefault="00524E95" w:rsidP="00A24C95">
      <w:pPr>
        <w:spacing w:after="0" w:line="240" w:lineRule="auto"/>
        <w:ind w:firstLine="708"/>
        <w:jc w:val="both"/>
        <w:rPr>
          <w:rFonts w:ascii="Arial" w:hAnsi="Arial" w:cs="Arial"/>
          <w:i/>
          <w:color w:val="2E74B5" w:themeColor="accent1" w:themeShade="BF"/>
          <w:sz w:val="20"/>
          <w:szCs w:val="20"/>
        </w:rPr>
      </w:pPr>
      <w:r w:rsidRPr="00A24C95">
        <w:rPr>
          <w:rFonts w:ascii="Arial" w:hAnsi="Arial" w:cs="Arial"/>
          <w:b/>
          <w:i/>
          <w:color w:val="2E74B5" w:themeColor="accent1" w:themeShade="BF"/>
          <w:sz w:val="20"/>
          <w:szCs w:val="20"/>
        </w:rPr>
        <w:t>ARTÍCULO 6°.</w:t>
      </w:r>
      <w:r w:rsidRPr="00A24C95">
        <w:rPr>
          <w:rFonts w:ascii="Arial" w:hAnsi="Arial" w:cs="Arial"/>
          <w:i/>
          <w:color w:val="2E74B5" w:themeColor="accent1" w:themeShade="BF"/>
          <w:sz w:val="20"/>
          <w:szCs w:val="20"/>
        </w:rPr>
        <w:t xml:space="preserve"> El Estado garantizará el efectivo acceso de toda persona a la información en posesión de cualquier entidad, autoridad, órgano y organismo de los poderes, Ejecutivo; Legislativo; y Judicial; municipios; organismos autónomos; partidos políticos; fideicomisos y fondos públicos; así como de cualquier persona física, moral o sindicato que reciba y ejerza recursos públicos o realice actos de autoridad en el ámbito estatal y municipal.”</w:t>
      </w:r>
    </w:p>
    <w:p w:rsidR="00A24C95" w:rsidRPr="00A24C95" w:rsidRDefault="00A24C95" w:rsidP="00A24C95">
      <w:pPr>
        <w:spacing w:after="0" w:line="240" w:lineRule="auto"/>
        <w:ind w:firstLine="708"/>
        <w:jc w:val="both"/>
        <w:rPr>
          <w:rFonts w:ascii="Arial" w:hAnsi="Arial" w:cs="Arial"/>
          <w:i/>
          <w:color w:val="2E74B5" w:themeColor="accent1" w:themeShade="BF"/>
          <w:sz w:val="20"/>
          <w:szCs w:val="20"/>
        </w:rPr>
      </w:pPr>
    </w:p>
    <w:p w:rsidR="00C463CE" w:rsidRDefault="00524E95" w:rsidP="00A24C95">
      <w:pPr>
        <w:spacing w:after="0" w:line="240" w:lineRule="auto"/>
        <w:ind w:firstLine="708"/>
        <w:jc w:val="both"/>
        <w:rPr>
          <w:rFonts w:ascii="Arial" w:hAnsi="Arial" w:cs="Arial"/>
          <w:color w:val="2E74B5" w:themeColor="accent1" w:themeShade="BF"/>
          <w:sz w:val="24"/>
          <w:szCs w:val="24"/>
        </w:rPr>
      </w:pPr>
      <w:r w:rsidRPr="00D61397">
        <w:rPr>
          <w:rFonts w:ascii="Arial" w:hAnsi="Arial" w:cs="Arial"/>
          <w:color w:val="2E74B5" w:themeColor="accent1" w:themeShade="BF"/>
          <w:sz w:val="24"/>
          <w:szCs w:val="24"/>
        </w:rPr>
        <w:t>Ahora bien, en relación con el único agravio formulado por el</w:t>
      </w:r>
      <w:r w:rsidR="00C463CE" w:rsidRPr="00D61397">
        <w:rPr>
          <w:rFonts w:ascii="Arial" w:hAnsi="Arial" w:cs="Arial"/>
          <w:color w:val="2E74B5" w:themeColor="accent1" w:themeShade="BF"/>
          <w:sz w:val="24"/>
          <w:szCs w:val="24"/>
        </w:rPr>
        <w:t xml:space="preserve"> ahora</w:t>
      </w:r>
      <w:r w:rsidRPr="00D61397">
        <w:rPr>
          <w:rFonts w:ascii="Arial" w:hAnsi="Arial" w:cs="Arial"/>
          <w:color w:val="2E74B5" w:themeColor="accent1" w:themeShade="BF"/>
          <w:sz w:val="24"/>
          <w:szCs w:val="24"/>
        </w:rPr>
        <w:t xml:space="preserve"> recurrente, a través del cual argumentó que: </w:t>
      </w:r>
      <w:r w:rsidR="00C463CE" w:rsidRPr="00D61397">
        <w:rPr>
          <w:rFonts w:ascii="Arial" w:hAnsi="Arial" w:cs="Arial"/>
          <w:color w:val="2E74B5" w:themeColor="accent1" w:themeShade="BF"/>
          <w:sz w:val="24"/>
          <w:szCs w:val="24"/>
        </w:rPr>
        <w:t>n</w:t>
      </w:r>
      <w:r w:rsidRPr="00D61397">
        <w:rPr>
          <w:rFonts w:ascii="Arial" w:hAnsi="Arial" w:cs="Arial"/>
          <w:color w:val="2E74B5" w:themeColor="accent1" w:themeShade="BF"/>
          <w:sz w:val="24"/>
          <w:szCs w:val="24"/>
        </w:rPr>
        <w:t>o se me da la información que solicito y la que se me</w:t>
      </w:r>
      <w:r w:rsidR="00C463CE" w:rsidRPr="00D61397">
        <w:rPr>
          <w:rFonts w:ascii="Arial" w:hAnsi="Arial" w:cs="Arial"/>
          <w:color w:val="2E74B5" w:themeColor="accent1" w:themeShade="BF"/>
          <w:sz w:val="24"/>
          <w:szCs w:val="24"/>
        </w:rPr>
        <w:t xml:space="preserve"> </w:t>
      </w:r>
      <w:r w:rsidRPr="00D61397">
        <w:rPr>
          <w:rFonts w:ascii="Arial" w:hAnsi="Arial" w:cs="Arial"/>
          <w:color w:val="2E74B5" w:themeColor="accent1" w:themeShade="BF"/>
          <w:sz w:val="24"/>
          <w:szCs w:val="24"/>
        </w:rPr>
        <w:t>da no se me otorg</w:t>
      </w:r>
      <w:r w:rsidR="00C463CE" w:rsidRPr="00D61397">
        <w:rPr>
          <w:rFonts w:ascii="Arial" w:hAnsi="Arial" w:cs="Arial"/>
          <w:color w:val="2E74B5" w:themeColor="accent1" w:themeShade="BF"/>
          <w:sz w:val="24"/>
          <w:szCs w:val="24"/>
        </w:rPr>
        <w:t>a</w:t>
      </w:r>
      <w:r w:rsidRPr="00D61397">
        <w:rPr>
          <w:rFonts w:ascii="Arial" w:hAnsi="Arial" w:cs="Arial"/>
          <w:color w:val="2E74B5" w:themeColor="accent1" w:themeShade="BF"/>
          <w:sz w:val="24"/>
          <w:szCs w:val="24"/>
        </w:rPr>
        <w:t xml:space="preserve"> en datos abiertos</w:t>
      </w:r>
      <w:r w:rsidR="00C463CE" w:rsidRPr="00D61397">
        <w:rPr>
          <w:rFonts w:ascii="Arial" w:hAnsi="Arial" w:cs="Arial"/>
          <w:color w:val="2E74B5" w:themeColor="accent1" w:themeShade="BF"/>
          <w:sz w:val="24"/>
          <w:szCs w:val="24"/>
        </w:rPr>
        <w:t>.</w:t>
      </w:r>
    </w:p>
    <w:p w:rsidR="00A24C95" w:rsidRPr="00D61397" w:rsidRDefault="00A24C95" w:rsidP="00A24C95">
      <w:pPr>
        <w:spacing w:after="0" w:line="240" w:lineRule="auto"/>
        <w:ind w:firstLine="708"/>
        <w:jc w:val="both"/>
        <w:rPr>
          <w:rFonts w:ascii="Arial" w:hAnsi="Arial" w:cs="Arial"/>
          <w:color w:val="2E74B5" w:themeColor="accent1" w:themeShade="BF"/>
          <w:sz w:val="24"/>
          <w:szCs w:val="24"/>
        </w:rPr>
      </w:pPr>
    </w:p>
    <w:p w:rsidR="00524E95" w:rsidRDefault="00524E95" w:rsidP="00A24C95">
      <w:pPr>
        <w:spacing w:after="0" w:line="240" w:lineRule="auto"/>
        <w:ind w:firstLine="708"/>
        <w:jc w:val="both"/>
        <w:rPr>
          <w:rFonts w:ascii="Arial" w:hAnsi="Arial" w:cs="Arial"/>
          <w:color w:val="2E74B5" w:themeColor="accent1" w:themeShade="BF"/>
          <w:sz w:val="24"/>
          <w:szCs w:val="24"/>
        </w:rPr>
      </w:pPr>
      <w:r w:rsidRPr="00D61397">
        <w:rPr>
          <w:rFonts w:ascii="Arial" w:hAnsi="Arial" w:cs="Arial"/>
          <w:color w:val="2E74B5" w:themeColor="accent1" w:themeShade="BF"/>
          <w:sz w:val="24"/>
          <w:szCs w:val="24"/>
        </w:rPr>
        <w:t>D</w:t>
      </w:r>
      <w:r w:rsidR="00C463CE" w:rsidRPr="00D61397">
        <w:rPr>
          <w:rFonts w:ascii="Arial" w:hAnsi="Arial" w:cs="Arial"/>
          <w:color w:val="2E74B5" w:themeColor="accent1" w:themeShade="BF"/>
          <w:sz w:val="24"/>
          <w:szCs w:val="24"/>
        </w:rPr>
        <w:t>e ahí que</w:t>
      </w:r>
      <w:r w:rsidR="00A24C95">
        <w:rPr>
          <w:rFonts w:ascii="Arial" w:hAnsi="Arial" w:cs="Arial"/>
          <w:color w:val="2E74B5" w:themeColor="accent1" w:themeShade="BF"/>
          <w:sz w:val="24"/>
          <w:szCs w:val="24"/>
        </w:rPr>
        <w:t>,</w:t>
      </w:r>
      <w:r w:rsidR="00C463CE" w:rsidRPr="00D61397">
        <w:rPr>
          <w:rFonts w:ascii="Arial" w:hAnsi="Arial" w:cs="Arial"/>
          <w:color w:val="2E74B5" w:themeColor="accent1" w:themeShade="BF"/>
          <w:sz w:val="24"/>
          <w:szCs w:val="24"/>
        </w:rPr>
        <w:t xml:space="preserve"> d</w:t>
      </w:r>
      <w:r w:rsidRPr="00D61397">
        <w:rPr>
          <w:rFonts w:ascii="Arial" w:hAnsi="Arial" w:cs="Arial"/>
          <w:color w:val="2E74B5" w:themeColor="accent1" w:themeShade="BF"/>
          <w:sz w:val="24"/>
          <w:szCs w:val="24"/>
        </w:rPr>
        <w:t xml:space="preserve">el análisis al informe o escrito de manifestaciones rendido a esta </w:t>
      </w:r>
      <w:r w:rsidR="00C463CE" w:rsidRPr="00D61397">
        <w:rPr>
          <w:rFonts w:ascii="Arial" w:hAnsi="Arial" w:cs="Arial"/>
          <w:color w:val="2E74B5" w:themeColor="accent1" w:themeShade="BF"/>
          <w:sz w:val="24"/>
          <w:szCs w:val="24"/>
        </w:rPr>
        <w:t>C</w:t>
      </w:r>
      <w:r w:rsidRPr="00D61397">
        <w:rPr>
          <w:rFonts w:ascii="Arial" w:hAnsi="Arial" w:cs="Arial"/>
          <w:color w:val="2E74B5" w:themeColor="accent1" w:themeShade="BF"/>
          <w:sz w:val="24"/>
          <w:szCs w:val="24"/>
        </w:rPr>
        <w:t xml:space="preserve">omisión se aprecia que la Unidad de </w:t>
      </w:r>
      <w:r w:rsidR="00C463CE" w:rsidRPr="00D61397">
        <w:rPr>
          <w:rFonts w:ascii="Arial" w:hAnsi="Arial" w:cs="Arial"/>
          <w:color w:val="2E74B5" w:themeColor="accent1" w:themeShade="BF"/>
          <w:sz w:val="24"/>
          <w:szCs w:val="24"/>
        </w:rPr>
        <w:t>A</w:t>
      </w:r>
      <w:r w:rsidRPr="00D61397">
        <w:rPr>
          <w:rFonts w:ascii="Arial" w:hAnsi="Arial" w:cs="Arial"/>
          <w:color w:val="2E74B5" w:themeColor="accent1" w:themeShade="BF"/>
          <w:sz w:val="24"/>
          <w:szCs w:val="24"/>
        </w:rPr>
        <w:t xml:space="preserve">tención a Denuncias </w:t>
      </w:r>
      <w:r w:rsidR="00C463CE" w:rsidRPr="00D61397">
        <w:rPr>
          <w:rFonts w:ascii="Arial" w:hAnsi="Arial" w:cs="Arial"/>
          <w:color w:val="2E74B5" w:themeColor="accent1" w:themeShade="BF"/>
          <w:sz w:val="24"/>
          <w:szCs w:val="24"/>
        </w:rPr>
        <w:t>envío</w:t>
      </w:r>
      <w:r w:rsidRPr="00D61397">
        <w:rPr>
          <w:rFonts w:ascii="Arial" w:hAnsi="Arial" w:cs="Arial"/>
          <w:color w:val="2E74B5" w:themeColor="accent1" w:themeShade="BF"/>
          <w:sz w:val="24"/>
          <w:szCs w:val="24"/>
        </w:rPr>
        <w:t xml:space="preserve"> al solicitante en vía de alcance el archivo Word del</w:t>
      </w:r>
      <w:r w:rsidR="00C463CE" w:rsidRPr="00D61397">
        <w:rPr>
          <w:rFonts w:ascii="Arial" w:hAnsi="Arial" w:cs="Arial"/>
          <w:color w:val="2E74B5" w:themeColor="accent1" w:themeShade="BF"/>
          <w:sz w:val="24"/>
          <w:szCs w:val="24"/>
        </w:rPr>
        <w:t xml:space="preserve"> </w:t>
      </w:r>
      <w:r w:rsidRPr="00D61397">
        <w:rPr>
          <w:rFonts w:ascii="Arial" w:hAnsi="Arial" w:cs="Arial"/>
          <w:color w:val="2E74B5" w:themeColor="accent1" w:themeShade="BF"/>
          <w:sz w:val="24"/>
          <w:szCs w:val="24"/>
        </w:rPr>
        <w:t>auto de 07 de mayo de 2018</w:t>
      </w:r>
      <w:r w:rsidR="00C463CE" w:rsidRPr="00D61397">
        <w:rPr>
          <w:rFonts w:ascii="Arial" w:hAnsi="Arial" w:cs="Arial"/>
          <w:color w:val="2E74B5" w:themeColor="accent1" w:themeShade="BF"/>
          <w:sz w:val="24"/>
          <w:szCs w:val="24"/>
        </w:rPr>
        <w:t>,</w:t>
      </w:r>
      <w:r w:rsidRPr="00D61397">
        <w:rPr>
          <w:rFonts w:ascii="Arial" w:hAnsi="Arial" w:cs="Arial"/>
          <w:color w:val="2E74B5" w:themeColor="accent1" w:themeShade="BF"/>
          <w:sz w:val="24"/>
          <w:szCs w:val="24"/>
        </w:rPr>
        <w:t xml:space="preserve"> dictado dentro de los autos</w:t>
      </w:r>
      <w:r w:rsidR="00C463CE" w:rsidRPr="00D61397">
        <w:rPr>
          <w:rFonts w:ascii="Arial" w:hAnsi="Arial" w:cs="Arial"/>
          <w:color w:val="2E74B5" w:themeColor="accent1" w:themeShade="BF"/>
          <w:sz w:val="24"/>
          <w:szCs w:val="24"/>
        </w:rPr>
        <w:t xml:space="preserve"> de la denuncia </w:t>
      </w:r>
      <w:r w:rsidRPr="00D61397">
        <w:rPr>
          <w:rFonts w:ascii="Arial" w:hAnsi="Arial" w:cs="Arial"/>
          <w:color w:val="2E74B5" w:themeColor="accent1" w:themeShade="BF"/>
          <w:sz w:val="24"/>
          <w:szCs w:val="24"/>
        </w:rPr>
        <w:t>DEIOT-024/2018, mismo que es el contenido en el oficio UAD-847/2018 a efecto de que el solicitante contara con la información del citado oficio en un formato manipulable y reutilizable, además de que es información que si fue generada por esta Unidad en relación con lo solicitado.</w:t>
      </w:r>
    </w:p>
    <w:p w:rsidR="00A24C95" w:rsidRPr="00D61397" w:rsidRDefault="00A24C95" w:rsidP="00A24C95">
      <w:pPr>
        <w:spacing w:after="0" w:line="240" w:lineRule="auto"/>
        <w:ind w:firstLine="708"/>
        <w:jc w:val="both"/>
        <w:rPr>
          <w:rFonts w:ascii="Arial" w:hAnsi="Arial" w:cs="Arial"/>
          <w:color w:val="2E74B5" w:themeColor="accent1" w:themeShade="BF"/>
          <w:sz w:val="24"/>
          <w:szCs w:val="24"/>
        </w:rPr>
      </w:pPr>
    </w:p>
    <w:p w:rsidR="00C463CE" w:rsidRDefault="00C463CE" w:rsidP="00A24C95">
      <w:pPr>
        <w:spacing w:after="0" w:line="240" w:lineRule="auto"/>
        <w:ind w:firstLine="708"/>
        <w:jc w:val="both"/>
        <w:rPr>
          <w:rFonts w:ascii="Arial" w:hAnsi="Arial" w:cs="Arial"/>
          <w:color w:val="2E74B5" w:themeColor="accent1" w:themeShade="BF"/>
          <w:sz w:val="24"/>
          <w:szCs w:val="24"/>
        </w:rPr>
      </w:pPr>
      <w:r w:rsidRPr="00C52C5F">
        <w:rPr>
          <w:rFonts w:ascii="Arial" w:hAnsi="Arial" w:cs="Arial"/>
          <w:color w:val="2E74B5" w:themeColor="accent1" w:themeShade="BF"/>
          <w:sz w:val="24"/>
          <w:szCs w:val="24"/>
        </w:rPr>
        <w:lastRenderedPageBreak/>
        <w:t>Esto es</w:t>
      </w:r>
      <w:r w:rsidR="004B6081" w:rsidRPr="00C52C5F">
        <w:rPr>
          <w:rFonts w:ascii="Arial" w:hAnsi="Arial" w:cs="Arial"/>
          <w:color w:val="2E74B5" w:themeColor="accent1" w:themeShade="BF"/>
          <w:sz w:val="24"/>
          <w:szCs w:val="24"/>
        </w:rPr>
        <w:t>,</w:t>
      </w:r>
      <w:r w:rsidRPr="00C52C5F">
        <w:rPr>
          <w:rFonts w:ascii="Arial" w:hAnsi="Arial" w:cs="Arial"/>
          <w:color w:val="2E74B5" w:themeColor="accent1" w:themeShade="BF"/>
          <w:sz w:val="24"/>
          <w:szCs w:val="24"/>
        </w:rPr>
        <w:t xml:space="preserve"> que la respuesta emitida por la </w:t>
      </w:r>
      <w:r w:rsidR="001012EC" w:rsidRPr="00C52C5F">
        <w:rPr>
          <w:rFonts w:ascii="Arial" w:hAnsi="Arial" w:cs="Arial"/>
          <w:color w:val="2E74B5" w:themeColor="accent1" w:themeShade="BF"/>
          <w:sz w:val="24"/>
          <w:szCs w:val="24"/>
        </w:rPr>
        <w:t xml:space="preserve">Unidad de Atención a Denuncias se realizó de conformidad con </w:t>
      </w:r>
      <w:r w:rsidRPr="00C52C5F">
        <w:rPr>
          <w:rFonts w:ascii="Arial" w:hAnsi="Arial" w:cs="Arial"/>
          <w:color w:val="2E74B5" w:themeColor="accent1" w:themeShade="BF"/>
          <w:sz w:val="24"/>
          <w:szCs w:val="24"/>
        </w:rPr>
        <w:t xml:space="preserve">los </w:t>
      </w:r>
      <w:r w:rsidR="004B6081" w:rsidRPr="00C52C5F">
        <w:rPr>
          <w:rFonts w:ascii="Arial" w:hAnsi="Arial" w:cs="Arial"/>
          <w:color w:val="2E74B5" w:themeColor="accent1" w:themeShade="BF"/>
          <w:sz w:val="24"/>
          <w:szCs w:val="24"/>
        </w:rPr>
        <w:t xml:space="preserve">artículos 18 y 19 </w:t>
      </w:r>
      <w:r w:rsidRPr="00C52C5F">
        <w:rPr>
          <w:rFonts w:ascii="Arial" w:hAnsi="Arial" w:cs="Arial"/>
          <w:color w:val="2E74B5" w:themeColor="accent1" w:themeShade="BF"/>
          <w:sz w:val="24"/>
          <w:szCs w:val="24"/>
        </w:rPr>
        <w:t>de la Ley de Transparencia establecen que:</w:t>
      </w:r>
    </w:p>
    <w:p w:rsidR="00C52C5F" w:rsidRPr="00C52C5F" w:rsidRDefault="00C52C5F" w:rsidP="00A24C95">
      <w:pPr>
        <w:spacing w:after="0" w:line="240" w:lineRule="auto"/>
        <w:ind w:firstLine="708"/>
        <w:jc w:val="both"/>
        <w:rPr>
          <w:rFonts w:ascii="Arial" w:hAnsi="Arial" w:cs="Arial"/>
          <w:color w:val="2E74B5" w:themeColor="accent1" w:themeShade="BF"/>
          <w:sz w:val="24"/>
          <w:szCs w:val="24"/>
        </w:rPr>
      </w:pPr>
    </w:p>
    <w:p w:rsidR="00C463CE" w:rsidRPr="00A24C95" w:rsidRDefault="00C463CE" w:rsidP="00A24C95">
      <w:pPr>
        <w:pStyle w:val="Default"/>
        <w:spacing w:line="276" w:lineRule="auto"/>
        <w:ind w:left="708"/>
        <w:jc w:val="both"/>
        <w:rPr>
          <w:i/>
          <w:color w:val="2E74B5" w:themeColor="accent1" w:themeShade="BF"/>
          <w:sz w:val="20"/>
          <w:szCs w:val="20"/>
        </w:rPr>
      </w:pPr>
      <w:r w:rsidRPr="00A24C95">
        <w:rPr>
          <w:b/>
          <w:bCs/>
          <w:i/>
          <w:color w:val="2E74B5" w:themeColor="accent1" w:themeShade="BF"/>
          <w:sz w:val="20"/>
          <w:szCs w:val="20"/>
        </w:rPr>
        <w:t xml:space="preserve">ARTÍCULO 18. </w:t>
      </w:r>
      <w:r w:rsidRPr="00A24C95">
        <w:rPr>
          <w:i/>
          <w:color w:val="2E74B5" w:themeColor="accent1" w:themeShade="BF"/>
          <w:sz w:val="20"/>
          <w:szCs w:val="20"/>
        </w:rPr>
        <w:t xml:space="preserve">Los sujetos obligados deberán documentar todo acto que derive del ejercicio de sus facultades, competencias o funciones. </w:t>
      </w:r>
    </w:p>
    <w:p w:rsidR="00C463CE" w:rsidRPr="00A24C95" w:rsidRDefault="00C463CE" w:rsidP="00A24C95">
      <w:pPr>
        <w:pStyle w:val="Default"/>
        <w:spacing w:line="276" w:lineRule="auto"/>
        <w:ind w:left="708"/>
        <w:rPr>
          <w:i/>
          <w:color w:val="2E74B5" w:themeColor="accent1" w:themeShade="BF"/>
          <w:sz w:val="20"/>
          <w:szCs w:val="20"/>
        </w:rPr>
      </w:pPr>
    </w:p>
    <w:p w:rsidR="00C463CE" w:rsidRPr="00A24C95" w:rsidRDefault="00C463CE" w:rsidP="00A24C95">
      <w:pPr>
        <w:pStyle w:val="Default"/>
        <w:spacing w:line="276" w:lineRule="auto"/>
        <w:ind w:left="708"/>
        <w:jc w:val="both"/>
        <w:rPr>
          <w:i/>
          <w:color w:val="2E74B5" w:themeColor="accent1" w:themeShade="BF"/>
          <w:sz w:val="20"/>
          <w:szCs w:val="20"/>
        </w:rPr>
      </w:pPr>
      <w:r w:rsidRPr="00A24C95">
        <w:rPr>
          <w:b/>
          <w:bCs/>
          <w:i/>
          <w:color w:val="2E74B5" w:themeColor="accent1" w:themeShade="BF"/>
          <w:sz w:val="20"/>
          <w:szCs w:val="20"/>
        </w:rPr>
        <w:t xml:space="preserve">ARTÍCULO 19. </w:t>
      </w:r>
      <w:r w:rsidRPr="00A24C95">
        <w:rPr>
          <w:i/>
          <w:color w:val="2E74B5" w:themeColor="accent1" w:themeShade="BF"/>
          <w:sz w:val="20"/>
          <w:szCs w:val="20"/>
        </w:rPr>
        <w:t xml:space="preserve">Se presume que la información debe existir si se refiere a las facultades, competencias y funciones que los ordenamientos jurídicos aplicables otorgan a los sujetos obligados. </w:t>
      </w:r>
    </w:p>
    <w:p w:rsidR="00C463CE" w:rsidRPr="00A24C95" w:rsidRDefault="00C463CE" w:rsidP="00A24C95">
      <w:pPr>
        <w:pStyle w:val="corte4fondo"/>
        <w:spacing w:line="276" w:lineRule="auto"/>
        <w:ind w:left="708" w:firstLine="0"/>
        <w:rPr>
          <w:i/>
          <w:color w:val="2E74B5" w:themeColor="accent1" w:themeShade="BF"/>
          <w:sz w:val="20"/>
        </w:rPr>
      </w:pPr>
      <w:r w:rsidRPr="00A24C95">
        <w:rPr>
          <w:i/>
          <w:color w:val="2E74B5" w:themeColor="accent1" w:themeShade="BF"/>
          <w:sz w:val="20"/>
        </w:rPr>
        <w:t>En los casos en que ciertas facultades, competencias o funciones no se hayan ejercido, se debe motivar la respuesta en función de las causas que motiven la inexistencia.</w:t>
      </w:r>
    </w:p>
    <w:p w:rsidR="00C463CE" w:rsidRPr="00D61397" w:rsidRDefault="00C463CE" w:rsidP="00A24C95">
      <w:pPr>
        <w:pStyle w:val="corte4fondo"/>
        <w:spacing w:line="276" w:lineRule="auto"/>
        <w:ind w:left="708" w:firstLine="0"/>
        <w:rPr>
          <w:color w:val="2E74B5" w:themeColor="accent1" w:themeShade="BF"/>
          <w:sz w:val="20"/>
        </w:rPr>
      </w:pPr>
    </w:p>
    <w:p w:rsidR="001012EC" w:rsidRPr="00D61397" w:rsidRDefault="001012EC" w:rsidP="00A24C95">
      <w:pPr>
        <w:pStyle w:val="corte4fondo"/>
        <w:spacing w:line="276" w:lineRule="auto"/>
        <w:ind w:firstLine="0"/>
        <w:rPr>
          <w:bCs/>
          <w:color w:val="2E74B5" w:themeColor="accent1" w:themeShade="BF"/>
          <w:sz w:val="24"/>
          <w:szCs w:val="24"/>
          <w:lang w:val="es-MX"/>
        </w:rPr>
      </w:pPr>
      <w:r w:rsidRPr="00D61397">
        <w:rPr>
          <w:bCs/>
          <w:color w:val="2E74B5" w:themeColor="accent1" w:themeShade="BF"/>
          <w:sz w:val="24"/>
          <w:szCs w:val="24"/>
          <w:lang w:val="es-MX"/>
        </w:rPr>
        <w:t xml:space="preserve">Del mismo modo, </w:t>
      </w:r>
      <w:r w:rsidRPr="00D61397">
        <w:rPr>
          <w:rFonts w:cs="Arial"/>
          <w:color w:val="2E74B5" w:themeColor="accent1" w:themeShade="BF"/>
          <w:sz w:val="24"/>
          <w:szCs w:val="24"/>
          <w:lang w:val="es-MX"/>
        </w:rPr>
        <w:t>la respuesta proporcionada resultó ser de conformidad con el artículo 3°, fracción X, inciso i) Ley de Transparencia que dicen:</w:t>
      </w:r>
    </w:p>
    <w:p w:rsidR="001012EC" w:rsidRPr="00D61397" w:rsidRDefault="001012EC" w:rsidP="00A24C95">
      <w:pPr>
        <w:pStyle w:val="corte4fondo"/>
        <w:spacing w:line="276" w:lineRule="auto"/>
        <w:ind w:firstLine="0"/>
        <w:rPr>
          <w:rFonts w:cs="Arial"/>
          <w:color w:val="2E74B5" w:themeColor="accent1" w:themeShade="BF"/>
          <w:sz w:val="24"/>
          <w:szCs w:val="24"/>
          <w:lang w:val="es-MX"/>
        </w:rPr>
      </w:pPr>
    </w:p>
    <w:p w:rsidR="001012EC" w:rsidRPr="00D61397" w:rsidRDefault="001012EC" w:rsidP="00A24C95">
      <w:pPr>
        <w:pStyle w:val="corte4fondo"/>
        <w:spacing w:line="276" w:lineRule="auto"/>
        <w:ind w:left="708" w:firstLine="0"/>
        <w:rPr>
          <w:rFonts w:cs="Arial"/>
          <w:color w:val="2E74B5" w:themeColor="accent1" w:themeShade="BF"/>
          <w:sz w:val="20"/>
          <w:lang w:val="es-MX"/>
        </w:rPr>
      </w:pPr>
      <w:r w:rsidRPr="00D61397">
        <w:rPr>
          <w:rFonts w:cs="Arial"/>
          <w:b/>
          <w:color w:val="2E74B5" w:themeColor="accent1" w:themeShade="BF"/>
          <w:sz w:val="20"/>
          <w:lang w:val="es-MX"/>
        </w:rPr>
        <w:t>ARTÍCULO 3°.</w:t>
      </w:r>
      <w:r w:rsidRPr="00D61397">
        <w:rPr>
          <w:rFonts w:cs="Arial"/>
          <w:color w:val="2E74B5" w:themeColor="accent1" w:themeShade="BF"/>
          <w:sz w:val="20"/>
          <w:lang w:val="es-MX"/>
        </w:rPr>
        <w:t xml:space="preserve"> Para los efectos de la presente Ley se entenderá por:</w:t>
      </w:r>
    </w:p>
    <w:p w:rsidR="001012EC" w:rsidRPr="00D61397" w:rsidRDefault="001012EC" w:rsidP="00A24C95">
      <w:pPr>
        <w:pStyle w:val="corte4fondo"/>
        <w:spacing w:line="276" w:lineRule="auto"/>
        <w:ind w:left="708" w:firstLine="0"/>
        <w:rPr>
          <w:rFonts w:cs="Arial"/>
          <w:color w:val="2E74B5" w:themeColor="accent1" w:themeShade="BF"/>
          <w:sz w:val="20"/>
          <w:lang w:val="es-MX"/>
        </w:rPr>
      </w:pPr>
      <w:r w:rsidRPr="00D61397">
        <w:rPr>
          <w:rFonts w:cs="Arial"/>
          <w:color w:val="2E74B5" w:themeColor="accent1" w:themeShade="BF"/>
          <w:sz w:val="20"/>
          <w:lang w:val="es-MX"/>
        </w:rPr>
        <w:t>[…]</w:t>
      </w:r>
    </w:p>
    <w:p w:rsidR="001012EC" w:rsidRPr="00D61397" w:rsidRDefault="001012EC" w:rsidP="00A24C95">
      <w:pPr>
        <w:pStyle w:val="corte4fondo"/>
        <w:spacing w:line="276" w:lineRule="auto"/>
        <w:ind w:left="708" w:firstLine="0"/>
        <w:rPr>
          <w:rFonts w:cs="Arial"/>
          <w:color w:val="2E74B5" w:themeColor="accent1" w:themeShade="BF"/>
          <w:sz w:val="20"/>
          <w:lang w:val="es-MX"/>
        </w:rPr>
      </w:pPr>
      <w:r w:rsidRPr="00D61397">
        <w:rPr>
          <w:rFonts w:cs="Arial"/>
          <w:b/>
          <w:bCs/>
          <w:color w:val="2E74B5" w:themeColor="accent1" w:themeShade="BF"/>
          <w:sz w:val="20"/>
        </w:rPr>
        <w:t xml:space="preserve">X. Datos abiertos: </w:t>
      </w:r>
      <w:r w:rsidRPr="00D61397">
        <w:rPr>
          <w:rFonts w:cs="Arial"/>
          <w:color w:val="2E74B5" w:themeColor="accent1" w:themeShade="BF"/>
          <w:sz w:val="20"/>
        </w:rPr>
        <w:t>los datos digitales de carácter público que son accesibles en línea que pueden ser usados, reutilizados y redistribuidos por cualquier persona y que tienen las siguientes características:</w:t>
      </w:r>
    </w:p>
    <w:p w:rsidR="001012EC" w:rsidRPr="00D61397" w:rsidRDefault="001012EC" w:rsidP="00A24C95">
      <w:pPr>
        <w:pStyle w:val="corte4fondo"/>
        <w:spacing w:line="276" w:lineRule="auto"/>
        <w:ind w:left="708" w:firstLine="0"/>
        <w:rPr>
          <w:rFonts w:cs="Arial"/>
          <w:color w:val="2E74B5" w:themeColor="accent1" w:themeShade="BF"/>
          <w:sz w:val="20"/>
          <w:lang w:val="es-MX"/>
        </w:rPr>
      </w:pPr>
      <w:r w:rsidRPr="00D61397">
        <w:rPr>
          <w:rFonts w:cs="Arial"/>
          <w:bCs/>
          <w:color w:val="2E74B5" w:themeColor="accent1" w:themeShade="BF"/>
          <w:sz w:val="20"/>
          <w:lang w:val="es-MX"/>
        </w:rPr>
        <w:t>[…</w:t>
      </w:r>
      <w:r w:rsidRPr="00D61397">
        <w:rPr>
          <w:rFonts w:cs="Arial"/>
          <w:color w:val="2E74B5" w:themeColor="accent1" w:themeShade="BF"/>
          <w:sz w:val="20"/>
          <w:lang w:val="es-MX"/>
        </w:rPr>
        <w:t>]</w:t>
      </w:r>
    </w:p>
    <w:p w:rsidR="001012EC" w:rsidRPr="00D61397" w:rsidRDefault="001012EC" w:rsidP="00A24C95">
      <w:pPr>
        <w:pStyle w:val="corte4fondo"/>
        <w:spacing w:line="276" w:lineRule="auto"/>
        <w:ind w:left="708" w:firstLine="0"/>
        <w:rPr>
          <w:rFonts w:cs="Arial"/>
          <w:color w:val="2E74B5" w:themeColor="accent1" w:themeShade="BF"/>
          <w:sz w:val="20"/>
          <w:highlight w:val="yellow"/>
          <w:lang w:val="es-MX"/>
        </w:rPr>
      </w:pPr>
    </w:p>
    <w:p w:rsidR="001012EC" w:rsidRDefault="001012EC" w:rsidP="00A24C95">
      <w:pPr>
        <w:pStyle w:val="corte4fondo"/>
        <w:spacing w:line="276" w:lineRule="auto"/>
        <w:ind w:left="708" w:firstLine="0"/>
        <w:rPr>
          <w:rFonts w:cs="Arial"/>
          <w:color w:val="2E74B5" w:themeColor="accent1" w:themeShade="BF"/>
          <w:sz w:val="20"/>
          <w:lang w:val="es-MX"/>
        </w:rPr>
      </w:pPr>
      <w:r w:rsidRPr="00D61397">
        <w:rPr>
          <w:rFonts w:cs="Arial"/>
          <w:color w:val="2E74B5" w:themeColor="accent1" w:themeShade="BF"/>
          <w:sz w:val="20"/>
          <w:lang w:val="es-MX"/>
        </w:rPr>
        <w:t>i) En formatos abiertos: estarán disponibles con el conjunto de características técnicas y de presentación que corresponden a la estructura lógica usada para almacenar datos en un archivo digital, cuyas especificaciones técnicas están disponibles públicamente, que no suponen una dificultad de acceso y que su aplicación y reproducción no estén condicionadas a contraprestación alguna</w:t>
      </w:r>
      <w:r w:rsidR="00A24C95">
        <w:rPr>
          <w:rFonts w:cs="Arial"/>
          <w:color w:val="2E74B5" w:themeColor="accent1" w:themeShade="BF"/>
          <w:sz w:val="20"/>
          <w:lang w:val="es-MX"/>
        </w:rPr>
        <w:t>.</w:t>
      </w:r>
    </w:p>
    <w:p w:rsidR="00A24C95" w:rsidRPr="00D61397" w:rsidRDefault="00A24C95" w:rsidP="00A24C95">
      <w:pPr>
        <w:pStyle w:val="corte4fondo"/>
        <w:spacing w:line="276" w:lineRule="auto"/>
        <w:ind w:left="708" w:firstLine="0"/>
        <w:rPr>
          <w:rFonts w:cs="Arial"/>
          <w:color w:val="2E74B5" w:themeColor="accent1" w:themeShade="BF"/>
          <w:sz w:val="20"/>
          <w:highlight w:val="yellow"/>
          <w:lang w:val="es-MX"/>
        </w:rPr>
      </w:pPr>
    </w:p>
    <w:p w:rsidR="00524E95" w:rsidRDefault="00524E95" w:rsidP="00A24C95">
      <w:pPr>
        <w:spacing w:after="0" w:line="240" w:lineRule="auto"/>
        <w:ind w:firstLine="708"/>
        <w:jc w:val="both"/>
        <w:rPr>
          <w:rFonts w:ascii="Arial" w:hAnsi="Arial" w:cs="Arial"/>
          <w:color w:val="2E74B5" w:themeColor="accent1" w:themeShade="BF"/>
          <w:sz w:val="24"/>
          <w:szCs w:val="24"/>
        </w:rPr>
      </w:pPr>
      <w:r w:rsidRPr="00D61397">
        <w:rPr>
          <w:rFonts w:ascii="Arial" w:hAnsi="Arial" w:cs="Arial"/>
          <w:color w:val="2E74B5" w:themeColor="accent1" w:themeShade="BF"/>
          <w:sz w:val="24"/>
          <w:szCs w:val="24"/>
        </w:rPr>
        <w:t>Bajo este contexto, es de señalarse que el sujeto obligado, contrario a lo señalado por el recurrente, otorga el acceso a la documentación requerida por este de manera completa y</w:t>
      </w:r>
      <w:r w:rsidR="001012EC" w:rsidRPr="00D61397">
        <w:rPr>
          <w:rFonts w:ascii="Arial" w:hAnsi="Arial" w:cs="Arial"/>
          <w:color w:val="2E74B5" w:themeColor="accent1" w:themeShade="BF"/>
          <w:sz w:val="24"/>
          <w:szCs w:val="24"/>
        </w:rPr>
        <w:t xml:space="preserve"> se estima que la respuesta emitida por la autoridad </w:t>
      </w:r>
      <w:r w:rsidRPr="00D61397">
        <w:rPr>
          <w:rFonts w:ascii="Arial" w:hAnsi="Arial" w:cs="Arial"/>
          <w:color w:val="2E74B5" w:themeColor="accent1" w:themeShade="BF"/>
          <w:sz w:val="24"/>
          <w:szCs w:val="24"/>
        </w:rPr>
        <w:t>privilegió los principios de congruencia y exhaustividad previstos en el Código Procesal Administrativo para el Estado de San Luis Potosí aplicado de manera supletoria de conformidad con el artículo 1 de la Ley de la materia, que a la letra señala:</w:t>
      </w:r>
    </w:p>
    <w:p w:rsidR="00A24C95" w:rsidRPr="00D61397" w:rsidRDefault="00A24C95" w:rsidP="00A24C95">
      <w:pPr>
        <w:spacing w:after="0" w:line="240" w:lineRule="auto"/>
        <w:ind w:firstLine="708"/>
        <w:jc w:val="both"/>
        <w:rPr>
          <w:rFonts w:ascii="Arial" w:hAnsi="Arial" w:cs="Arial"/>
          <w:color w:val="2E74B5" w:themeColor="accent1" w:themeShade="BF"/>
          <w:sz w:val="24"/>
          <w:szCs w:val="24"/>
        </w:rPr>
      </w:pPr>
    </w:p>
    <w:p w:rsidR="00524E95" w:rsidRPr="00A24C95" w:rsidRDefault="00524E95" w:rsidP="00A24C95">
      <w:pPr>
        <w:spacing w:after="0" w:line="240" w:lineRule="auto"/>
        <w:ind w:firstLine="708"/>
        <w:jc w:val="both"/>
        <w:rPr>
          <w:rFonts w:ascii="Arial" w:hAnsi="Arial" w:cs="Arial"/>
          <w:i/>
          <w:color w:val="2E74B5" w:themeColor="accent1" w:themeShade="BF"/>
          <w:sz w:val="20"/>
          <w:szCs w:val="20"/>
        </w:rPr>
      </w:pPr>
      <w:r w:rsidRPr="00A24C95">
        <w:rPr>
          <w:rFonts w:ascii="Arial" w:hAnsi="Arial" w:cs="Arial"/>
          <w:i/>
          <w:color w:val="2E74B5" w:themeColor="accent1" w:themeShade="BF"/>
          <w:sz w:val="20"/>
          <w:szCs w:val="20"/>
        </w:rPr>
        <w:t>“</w:t>
      </w:r>
      <w:r w:rsidR="00A24C95">
        <w:rPr>
          <w:rFonts w:ascii="Arial" w:hAnsi="Arial" w:cs="Arial"/>
          <w:i/>
          <w:color w:val="2E74B5" w:themeColor="accent1" w:themeShade="BF"/>
          <w:sz w:val="20"/>
          <w:szCs w:val="20"/>
        </w:rPr>
        <w:t>…</w:t>
      </w:r>
      <w:r w:rsidRPr="00A24C95">
        <w:rPr>
          <w:rFonts w:ascii="Arial" w:hAnsi="Arial" w:cs="Arial"/>
          <w:b/>
          <w:i/>
          <w:color w:val="2E74B5" w:themeColor="accent1" w:themeShade="BF"/>
          <w:sz w:val="20"/>
          <w:szCs w:val="20"/>
        </w:rPr>
        <w:t>ARTÍCULO 165.</w:t>
      </w:r>
      <w:r w:rsidRPr="00A24C95">
        <w:rPr>
          <w:rFonts w:ascii="Arial" w:hAnsi="Arial" w:cs="Arial"/>
          <w:i/>
          <w:color w:val="2E74B5" w:themeColor="accent1" w:themeShade="BF"/>
          <w:sz w:val="20"/>
          <w:szCs w:val="20"/>
        </w:rPr>
        <w:t xml:space="preserve"> Son requisitos del acto administrativo:</w:t>
      </w:r>
    </w:p>
    <w:p w:rsidR="00524E95" w:rsidRDefault="00524E95" w:rsidP="00A24C95">
      <w:pPr>
        <w:spacing w:after="0" w:line="240" w:lineRule="auto"/>
        <w:ind w:firstLine="708"/>
        <w:jc w:val="both"/>
        <w:rPr>
          <w:rFonts w:ascii="Arial" w:hAnsi="Arial" w:cs="Arial"/>
          <w:i/>
          <w:color w:val="2E74B5" w:themeColor="accent1" w:themeShade="BF"/>
          <w:sz w:val="20"/>
          <w:szCs w:val="20"/>
        </w:rPr>
      </w:pPr>
      <w:r w:rsidRPr="00A24C95">
        <w:rPr>
          <w:rFonts w:ascii="Arial" w:hAnsi="Arial" w:cs="Arial"/>
          <w:i/>
          <w:color w:val="2E74B5" w:themeColor="accent1" w:themeShade="BF"/>
          <w:sz w:val="20"/>
          <w:szCs w:val="20"/>
        </w:rPr>
        <w:t>III. Que se expida de manera congruente con lo solicitado y resolver expresamente todos los puntos propuestos por el interesado o previstos por las normas</w:t>
      </w:r>
      <w:r w:rsidR="00A24C95">
        <w:rPr>
          <w:rFonts w:ascii="Arial" w:hAnsi="Arial" w:cs="Arial"/>
          <w:i/>
          <w:color w:val="2E74B5" w:themeColor="accent1" w:themeShade="BF"/>
          <w:sz w:val="20"/>
          <w:szCs w:val="20"/>
        </w:rPr>
        <w:t>…</w:t>
      </w:r>
      <w:r w:rsidRPr="00A24C95">
        <w:rPr>
          <w:rFonts w:ascii="Arial" w:hAnsi="Arial" w:cs="Arial"/>
          <w:i/>
          <w:color w:val="2E74B5" w:themeColor="accent1" w:themeShade="BF"/>
          <w:sz w:val="20"/>
          <w:szCs w:val="20"/>
        </w:rPr>
        <w:t>”</w:t>
      </w:r>
    </w:p>
    <w:p w:rsidR="00A24C95" w:rsidRPr="00A24C95" w:rsidRDefault="00A24C95" w:rsidP="00A24C95">
      <w:pPr>
        <w:spacing w:after="0" w:line="240" w:lineRule="auto"/>
        <w:ind w:firstLine="708"/>
        <w:jc w:val="both"/>
        <w:rPr>
          <w:rFonts w:ascii="Arial" w:hAnsi="Arial" w:cs="Arial"/>
          <w:i/>
          <w:color w:val="2E74B5" w:themeColor="accent1" w:themeShade="BF"/>
          <w:sz w:val="20"/>
          <w:szCs w:val="20"/>
        </w:rPr>
      </w:pPr>
    </w:p>
    <w:p w:rsidR="00524E95" w:rsidRDefault="00524E95" w:rsidP="00A24C95">
      <w:pPr>
        <w:spacing w:after="0" w:line="240" w:lineRule="auto"/>
        <w:ind w:firstLine="708"/>
        <w:jc w:val="both"/>
        <w:rPr>
          <w:rFonts w:ascii="Arial" w:hAnsi="Arial" w:cs="Arial"/>
          <w:color w:val="2E74B5" w:themeColor="accent1" w:themeShade="BF"/>
          <w:sz w:val="24"/>
          <w:szCs w:val="24"/>
        </w:rPr>
      </w:pPr>
      <w:r w:rsidRPr="00D61397">
        <w:rPr>
          <w:rFonts w:ascii="Arial" w:hAnsi="Arial" w:cs="Arial"/>
          <w:color w:val="2E74B5" w:themeColor="accent1" w:themeShade="BF"/>
          <w:sz w:val="24"/>
          <w:szCs w:val="24"/>
        </w:rPr>
        <w:t xml:space="preserve">De acuerdo con el artículo transcrito, son considerados válidos los actos que reúnan, entre otros elementos, los principios de congruencia y exhaustividad, entendiendo por lo primero que las consideraciones vertidas en la respuesta sean armónicas entre sí, no se contradigan, y </w:t>
      </w:r>
      <w:r w:rsidRPr="00D61397">
        <w:rPr>
          <w:rFonts w:ascii="Arial" w:hAnsi="Arial" w:cs="Arial"/>
          <w:b/>
          <w:bCs/>
          <w:color w:val="2E74B5" w:themeColor="accent1" w:themeShade="BF"/>
          <w:sz w:val="24"/>
          <w:szCs w:val="24"/>
        </w:rPr>
        <w:t>guarden concordancia entre lo solicitado y la respuesta</w:t>
      </w:r>
      <w:r w:rsidRPr="00D61397">
        <w:rPr>
          <w:rFonts w:ascii="Arial" w:hAnsi="Arial" w:cs="Arial"/>
          <w:color w:val="2E74B5" w:themeColor="accent1" w:themeShade="BF"/>
          <w:sz w:val="24"/>
          <w:szCs w:val="24"/>
        </w:rPr>
        <w:t>; y por lo segundo, que se pronuncie expresamente sobre cada punto, lo cual en la especie no sucedió.</w:t>
      </w:r>
      <w:r w:rsidR="001012EC" w:rsidRPr="00D61397">
        <w:rPr>
          <w:rFonts w:ascii="Arial" w:hAnsi="Arial" w:cs="Arial"/>
          <w:color w:val="2E74B5" w:themeColor="accent1" w:themeShade="BF"/>
          <w:sz w:val="24"/>
          <w:szCs w:val="24"/>
        </w:rPr>
        <w:t xml:space="preserve"> </w:t>
      </w:r>
      <w:r w:rsidRPr="00D61397">
        <w:rPr>
          <w:rFonts w:ascii="Arial" w:hAnsi="Arial" w:cs="Arial"/>
          <w:color w:val="2E74B5" w:themeColor="accent1" w:themeShade="BF"/>
          <w:sz w:val="24"/>
          <w:szCs w:val="24"/>
        </w:rPr>
        <w:t>En el mismo sentido, se ha pronunciado el Poder Judicial de la Federación en la siguiente Jurisprudencia:</w:t>
      </w:r>
    </w:p>
    <w:p w:rsidR="00A24C95" w:rsidRPr="00D61397" w:rsidRDefault="00A24C95" w:rsidP="00A24C95">
      <w:pPr>
        <w:spacing w:after="0" w:line="240" w:lineRule="auto"/>
        <w:ind w:firstLine="708"/>
        <w:jc w:val="both"/>
        <w:rPr>
          <w:rFonts w:ascii="Arial" w:hAnsi="Arial" w:cs="Arial"/>
          <w:color w:val="2E74B5" w:themeColor="accent1" w:themeShade="BF"/>
          <w:sz w:val="24"/>
          <w:szCs w:val="24"/>
        </w:rPr>
      </w:pPr>
    </w:p>
    <w:p w:rsidR="00524E95" w:rsidRPr="00D61397" w:rsidRDefault="00524E95" w:rsidP="00A24C95">
      <w:pPr>
        <w:pStyle w:val="Default"/>
        <w:jc w:val="both"/>
        <w:rPr>
          <w:i/>
          <w:iCs/>
          <w:color w:val="2E74B5" w:themeColor="accent1" w:themeShade="BF"/>
          <w:sz w:val="20"/>
          <w:szCs w:val="20"/>
        </w:rPr>
      </w:pPr>
      <w:r w:rsidRPr="00D61397">
        <w:rPr>
          <w:i/>
          <w:iCs/>
          <w:color w:val="2E74B5" w:themeColor="accent1" w:themeShade="BF"/>
          <w:sz w:val="20"/>
          <w:szCs w:val="20"/>
        </w:rPr>
        <w:t xml:space="preserve">“Novena Época, Registro: </w:t>
      </w:r>
      <w:r w:rsidR="00D61397" w:rsidRPr="00D61397">
        <w:rPr>
          <w:i/>
          <w:iCs/>
          <w:color w:val="2E74B5" w:themeColor="accent1" w:themeShade="BF"/>
          <w:sz w:val="20"/>
          <w:szCs w:val="20"/>
        </w:rPr>
        <w:t>178783, Instancia</w:t>
      </w:r>
      <w:r w:rsidRPr="00D61397">
        <w:rPr>
          <w:i/>
          <w:iCs/>
          <w:color w:val="2E74B5" w:themeColor="accent1" w:themeShade="BF"/>
          <w:sz w:val="20"/>
          <w:szCs w:val="20"/>
        </w:rPr>
        <w:t xml:space="preserve">: Primera </w:t>
      </w:r>
      <w:r w:rsidR="00D61397" w:rsidRPr="00D61397">
        <w:rPr>
          <w:i/>
          <w:iCs/>
          <w:color w:val="2E74B5" w:themeColor="accent1" w:themeShade="BF"/>
          <w:sz w:val="20"/>
          <w:szCs w:val="20"/>
        </w:rPr>
        <w:t>Sala, Jurisprudencia</w:t>
      </w:r>
      <w:r w:rsidR="00D61397" w:rsidRPr="00D61397">
        <w:rPr>
          <w:b/>
          <w:bCs/>
          <w:i/>
          <w:iCs/>
          <w:color w:val="2E74B5" w:themeColor="accent1" w:themeShade="BF"/>
          <w:sz w:val="20"/>
          <w:szCs w:val="20"/>
        </w:rPr>
        <w:t>, Fuente</w:t>
      </w:r>
      <w:r w:rsidRPr="00D61397">
        <w:rPr>
          <w:i/>
          <w:iCs/>
          <w:color w:val="2E74B5" w:themeColor="accent1" w:themeShade="BF"/>
          <w:sz w:val="20"/>
          <w:szCs w:val="20"/>
        </w:rPr>
        <w:t xml:space="preserve">: Semanario Judicial de la Federación y su </w:t>
      </w:r>
      <w:r w:rsidR="00D61397" w:rsidRPr="00D61397">
        <w:rPr>
          <w:i/>
          <w:iCs/>
          <w:color w:val="2E74B5" w:themeColor="accent1" w:themeShade="BF"/>
          <w:sz w:val="20"/>
          <w:szCs w:val="20"/>
        </w:rPr>
        <w:t>Gaceta, XXI</w:t>
      </w:r>
      <w:r w:rsidRPr="00D61397">
        <w:rPr>
          <w:i/>
          <w:iCs/>
          <w:color w:val="2E74B5" w:themeColor="accent1" w:themeShade="BF"/>
          <w:sz w:val="20"/>
          <w:szCs w:val="20"/>
        </w:rPr>
        <w:t xml:space="preserve">, </w:t>
      </w:r>
      <w:r w:rsidR="00D61397" w:rsidRPr="00D61397">
        <w:rPr>
          <w:i/>
          <w:iCs/>
          <w:color w:val="2E74B5" w:themeColor="accent1" w:themeShade="BF"/>
          <w:sz w:val="20"/>
          <w:szCs w:val="20"/>
        </w:rPr>
        <w:t>abril</w:t>
      </w:r>
      <w:r w:rsidRPr="00D61397">
        <w:rPr>
          <w:i/>
          <w:iCs/>
          <w:color w:val="2E74B5" w:themeColor="accent1" w:themeShade="BF"/>
          <w:sz w:val="20"/>
          <w:szCs w:val="20"/>
        </w:rPr>
        <w:t xml:space="preserve"> de 2005.</w:t>
      </w:r>
    </w:p>
    <w:p w:rsidR="00524E95" w:rsidRPr="00D61397" w:rsidRDefault="00524E95" w:rsidP="00A24C95">
      <w:pPr>
        <w:pStyle w:val="Default"/>
        <w:jc w:val="both"/>
        <w:rPr>
          <w:i/>
          <w:color w:val="2E74B5" w:themeColor="accent1" w:themeShade="BF"/>
          <w:sz w:val="20"/>
          <w:szCs w:val="20"/>
        </w:rPr>
      </w:pPr>
      <w:r w:rsidRPr="00D61397">
        <w:rPr>
          <w:i/>
          <w:iCs/>
          <w:color w:val="2E74B5" w:themeColor="accent1" w:themeShade="BF"/>
          <w:sz w:val="20"/>
          <w:szCs w:val="20"/>
        </w:rPr>
        <w:t xml:space="preserve"> </w:t>
      </w:r>
    </w:p>
    <w:p w:rsidR="00524E95" w:rsidRPr="00D61397" w:rsidRDefault="00524E95" w:rsidP="00A24C95">
      <w:pPr>
        <w:pStyle w:val="Default"/>
        <w:jc w:val="both"/>
        <w:rPr>
          <w:i/>
          <w:color w:val="2E74B5" w:themeColor="accent1" w:themeShade="BF"/>
          <w:sz w:val="20"/>
          <w:szCs w:val="20"/>
        </w:rPr>
      </w:pPr>
      <w:r w:rsidRPr="00D61397">
        <w:rPr>
          <w:b/>
          <w:bCs/>
          <w:i/>
          <w:iCs/>
          <w:color w:val="2E74B5" w:themeColor="accent1" w:themeShade="BF"/>
          <w:sz w:val="20"/>
          <w:szCs w:val="20"/>
        </w:rPr>
        <w:t xml:space="preserve">CONGRUENCIA Y EXHAUSTIVIDAD EN SENTENCIAS DICTADAS EN AMPARO CONTRA LEYES. ALCANCE DE ESTOS PRINCIPIOS. </w:t>
      </w:r>
      <w:r w:rsidRPr="00D61397">
        <w:rPr>
          <w:i/>
          <w:iCs/>
          <w:color w:val="2E74B5" w:themeColor="accent1" w:themeShade="BF"/>
          <w:sz w:val="20"/>
          <w:szCs w:val="20"/>
        </w:rPr>
        <w:t xml:space="preserve">Los principios de congruencia y exhaustividad que rigen las sentencias en amparo contra leyes y que se desprenden de los artículos 77 y 78 de la Ley de Amparo, están referidos a que éstas no sólo sean congruentes consigo mismas, sino también con la </w:t>
      </w:r>
      <w:proofErr w:type="spellStart"/>
      <w:r w:rsidRPr="00D61397">
        <w:rPr>
          <w:i/>
          <w:iCs/>
          <w:color w:val="2E74B5" w:themeColor="accent1" w:themeShade="BF"/>
          <w:sz w:val="20"/>
          <w:szCs w:val="20"/>
        </w:rPr>
        <w:t>litis</w:t>
      </w:r>
      <w:proofErr w:type="spellEnd"/>
      <w:r w:rsidRPr="00D61397">
        <w:rPr>
          <w:i/>
          <w:iCs/>
          <w:color w:val="2E74B5" w:themeColor="accent1" w:themeShade="BF"/>
          <w:sz w:val="20"/>
          <w:szCs w:val="20"/>
        </w:rPr>
        <w:t xml:space="preserve"> y con la demanda de amparo, apreciando las pruebas conducentes y resolviendo sin omitir nada, ni añadir cuestiones no hechas valer, ni expresar consideraciones contrarias entre sí o con los puntos resolutivos, </w:t>
      </w:r>
      <w:r w:rsidRPr="00D61397">
        <w:rPr>
          <w:i/>
          <w:iCs/>
          <w:color w:val="2E74B5" w:themeColor="accent1" w:themeShade="BF"/>
          <w:sz w:val="20"/>
          <w:szCs w:val="20"/>
        </w:rPr>
        <w:lastRenderedPageBreak/>
        <w:t xml:space="preserve">lo que obliga al juzgador, a pronunciarse sobre todas y cada una de las pretensiones de los quejosos, analizando, en su caso, la constitucionalidad o inconstitucionalidad de los preceptos legales reclamados. </w:t>
      </w:r>
    </w:p>
    <w:p w:rsidR="00524E95" w:rsidRPr="00D61397" w:rsidRDefault="00524E95" w:rsidP="00A24C95">
      <w:pPr>
        <w:pStyle w:val="Default"/>
        <w:jc w:val="both"/>
        <w:rPr>
          <w:i/>
          <w:color w:val="2E74B5" w:themeColor="accent1" w:themeShade="BF"/>
          <w:sz w:val="20"/>
          <w:szCs w:val="20"/>
        </w:rPr>
      </w:pPr>
      <w:r w:rsidRPr="00D61397">
        <w:rPr>
          <w:i/>
          <w:iCs/>
          <w:color w:val="2E74B5" w:themeColor="accent1" w:themeShade="BF"/>
          <w:sz w:val="20"/>
          <w:szCs w:val="20"/>
        </w:rPr>
        <w:t xml:space="preserve">Amparo en revisión 383/2000. Administradora de Centros Comerciales Santa Fe, S.A. de C.V. 24 de mayo de 2000. Cinco votos. Ponente: Olga Sánchez Cordero de García Villegas. Secretaria: Leticia Flores Díaz. </w:t>
      </w:r>
    </w:p>
    <w:p w:rsidR="00524E95" w:rsidRPr="00D61397" w:rsidRDefault="00524E95" w:rsidP="00A24C95">
      <w:pPr>
        <w:pStyle w:val="Default"/>
        <w:jc w:val="both"/>
        <w:rPr>
          <w:i/>
          <w:color w:val="2E74B5" w:themeColor="accent1" w:themeShade="BF"/>
          <w:sz w:val="20"/>
          <w:szCs w:val="20"/>
        </w:rPr>
      </w:pPr>
      <w:r w:rsidRPr="00D61397">
        <w:rPr>
          <w:i/>
          <w:iCs/>
          <w:color w:val="2E74B5" w:themeColor="accent1" w:themeShade="BF"/>
          <w:sz w:val="20"/>
          <w:szCs w:val="20"/>
        </w:rPr>
        <w:t xml:space="preserve">Amparo en revisión 966/2003. Médica Integral G.N.P., S.A. de C.V. 25 de febrero de 2004. Unanimidad de cuatro votos. Ausente: José de Jesús Gudiño Pelayo. Ponente: Juan N. Silva Meza. Secretaria: Guadalupe Robles </w:t>
      </w:r>
      <w:proofErr w:type="spellStart"/>
      <w:r w:rsidRPr="00D61397">
        <w:rPr>
          <w:i/>
          <w:iCs/>
          <w:color w:val="2E74B5" w:themeColor="accent1" w:themeShade="BF"/>
          <w:sz w:val="20"/>
          <w:szCs w:val="20"/>
        </w:rPr>
        <w:t>Denetro</w:t>
      </w:r>
      <w:proofErr w:type="spellEnd"/>
      <w:r w:rsidRPr="00D61397">
        <w:rPr>
          <w:i/>
          <w:iCs/>
          <w:color w:val="2E74B5" w:themeColor="accent1" w:themeShade="BF"/>
          <w:sz w:val="20"/>
          <w:szCs w:val="20"/>
        </w:rPr>
        <w:t xml:space="preserve">. </w:t>
      </w:r>
    </w:p>
    <w:p w:rsidR="00524E95" w:rsidRPr="00D61397" w:rsidRDefault="00524E95" w:rsidP="00A24C95">
      <w:pPr>
        <w:pStyle w:val="Default"/>
        <w:jc w:val="both"/>
        <w:rPr>
          <w:i/>
          <w:color w:val="2E74B5" w:themeColor="accent1" w:themeShade="BF"/>
          <w:sz w:val="20"/>
          <w:szCs w:val="20"/>
        </w:rPr>
      </w:pPr>
      <w:r w:rsidRPr="00D61397">
        <w:rPr>
          <w:i/>
          <w:iCs/>
          <w:color w:val="2E74B5" w:themeColor="accent1" w:themeShade="BF"/>
          <w:sz w:val="20"/>
          <w:szCs w:val="20"/>
        </w:rPr>
        <w:t xml:space="preserve">Amparo en revisión 312/2004. Luis Ramiro Espino Rosales. 26 de mayo de 2004. Unanimidad de cuatro votos. Ausente: Humberto Román Palacios. Ponente: José Ramón Cossío Díaz. Secretario: Miguel Enrique Sánchez Frías. </w:t>
      </w:r>
    </w:p>
    <w:p w:rsidR="00524E95" w:rsidRPr="00D61397" w:rsidRDefault="00524E95" w:rsidP="00A24C95">
      <w:pPr>
        <w:pStyle w:val="Default"/>
        <w:jc w:val="both"/>
        <w:rPr>
          <w:i/>
          <w:color w:val="2E74B5" w:themeColor="accent1" w:themeShade="BF"/>
          <w:sz w:val="20"/>
          <w:szCs w:val="20"/>
        </w:rPr>
      </w:pPr>
      <w:r w:rsidRPr="00D61397">
        <w:rPr>
          <w:i/>
          <w:iCs/>
          <w:color w:val="2E74B5" w:themeColor="accent1" w:themeShade="BF"/>
          <w:sz w:val="20"/>
          <w:szCs w:val="20"/>
        </w:rPr>
        <w:t xml:space="preserve">Amparo en revisión 883/2004. Operadora </w:t>
      </w:r>
      <w:proofErr w:type="spellStart"/>
      <w:r w:rsidRPr="00D61397">
        <w:rPr>
          <w:i/>
          <w:iCs/>
          <w:color w:val="2E74B5" w:themeColor="accent1" w:themeShade="BF"/>
          <w:sz w:val="20"/>
          <w:szCs w:val="20"/>
        </w:rPr>
        <w:t>Valmex</w:t>
      </w:r>
      <w:proofErr w:type="spellEnd"/>
      <w:r w:rsidRPr="00D61397">
        <w:rPr>
          <w:i/>
          <w:iCs/>
          <w:color w:val="2E74B5" w:themeColor="accent1" w:themeShade="BF"/>
          <w:sz w:val="20"/>
          <w:szCs w:val="20"/>
        </w:rPr>
        <w:t xml:space="preserve"> de Sociedades de Inversión, S.A. de C.V. 3 de septiembre de 2004. Unanimidad de cuatro votos. Ponente: José Ramón Cossío Díaz. Secretario: Francisco Javier Solís López. </w:t>
      </w:r>
    </w:p>
    <w:p w:rsidR="00524E95" w:rsidRPr="00D61397" w:rsidRDefault="00524E95" w:rsidP="00A24C95">
      <w:pPr>
        <w:pStyle w:val="Default"/>
        <w:jc w:val="both"/>
        <w:rPr>
          <w:i/>
          <w:iCs/>
          <w:color w:val="2E74B5" w:themeColor="accent1" w:themeShade="BF"/>
          <w:sz w:val="20"/>
          <w:szCs w:val="20"/>
        </w:rPr>
      </w:pPr>
      <w:r w:rsidRPr="00D61397">
        <w:rPr>
          <w:i/>
          <w:iCs/>
          <w:color w:val="2E74B5" w:themeColor="accent1" w:themeShade="BF"/>
          <w:sz w:val="20"/>
          <w:szCs w:val="20"/>
        </w:rPr>
        <w:t xml:space="preserve">Amparo en revisión 1182/2004. José Carlos Vázquez Rodríguez y otro. 6 de octubre de 2004. Unanimidad de cuatro votos. Ponente: José Ramón Cossío Díaz. Secretario: Miguel Enrique Sánchez Frías. </w:t>
      </w:r>
    </w:p>
    <w:p w:rsidR="00524E95" w:rsidRPr="00D61397" w:rsidRDefault="00524E95" w:rsidP="00A24C95">
      <w:pPr>
        <w:pStyle w:val="Default"/>
        <w:jc w:val="both"/>
        <w:rPr>
          <w:i/>
          <w:color w:val="2E74B5" w:themeColor="accent1" w:themeShade="BF"/>
          <w:sz w:val="20"/>
          <w:szCs w:val="20"/>
        </w:rPr>
      </w:pPr>
    </w:p>
    <w:p w:rsidR="00524E95" w:rsidRPr="00D61397" w:rsidRDefault="00524E95" w:rsidP="00A24C95">
      <w:pPr>
        <w:pStyle w:val="Default"/>
        <w:jc w:val="both"/>
        <w:rPr>
          <w:i/>
          <w:color w:val="2E74B5" w:themeColor="accent1" w:themeShade="BF"/>
          <w:sz w:val="20"/>
          <w:szCs w:val="20"/>
        </w:rPr>
      </w:pPr>
      <w:r w:rsidRPr="00D61397">
        <w:rPr>
          <w:i/>
          <w:iCs/>
          <w:color w:val="2E74B5" w:themeColor="accent1" w:themeShade="BF"/>
          <w:sz w:val="20"/>
          <w:szCs w:val="20"/>
        </w:rPr>
        <w:t xml:space="preserve">Tesis de jurisprudencia 33/2005. Aprobada por la Primera Sala de este Alto Tribunal, en sesión de treinta de marzo de dos mil cinco.” </w:t>
      </w:r>
    </w:p>
    <w:p w:rsidR="0047059E" w:rsidRPr="00D61397" w:rsidRDefault="0047059E" w:rsidP="00A24C95">
      <w:pPr>
        <w:pStyle w:val="corte4fondo"/>
        <w:spacing w:line="276" w:lineRule="auto"/>
        <w:ind w:firstLine="0"/>
        <w:rPr>
          <w:rFonts w:cs="Arial"/>
          <w:i/>
          <w:color w:val="2E74B5" w:themeColor="accent1" w:themeShade="BF"/>
          <w:sz w:val="20"/>
        </w:rPr>
      </w:pPr>
      <w:r w:rsidRPr="00D61397">
        <w:rPr>
          <w:rFonts w:cs="Arial"/>
          <w:i/>
          <w:color w:val="2E74B5" w:themeColor="accent1" w:themeShade="BF"/>
          <w:sz w:val="20"/>
        </w:rPr>
        <w:t xml:space="preserve"> </w:t>
      </w:r>
    </w:p>
    <w:p w:rsidR="001012EC" w:rsidRPr="00D61397" w:rsidRDefault="001012EC" w:rsidP="00A24C95">
      <w:pPr>
        <w:pStyle w:val="corte4fondo"/>
        <w:spacing w:line="276" w:lineRule="auto"/>
        <w:ind w:firstLine="360"/>
        <w:rPr>
          <w:rFonts w:cs="Arial"/>
          <w:i/>
          <w:color w:val="2E74B5" w:themeColor="accent1" w:themeShade="BF"/>
          <w:sz w:val="24"/>
          <w:szCs w:val="24"/>
        </w:rPr>
      </w:pPr>
      <w:r w:rsidRPr="00D61397">
        <w:rPr>
          <w:rFonts w:cs="Arial"/>
          <w:color w:val="2E74B5" w:themeColor="accent1" w:themeShade="BF"/>
          <w:sz w:val="24"/>
          <w:szCs w:val="24"/>
          <w:lang w:val="es-MX"/>
        </w:rPr>
        <w:t>Conforme a lo anterior,</w:t>
      </w:r>
      <w:r w:rsidRPr="00D61397">
        <w:rPr>
          <w:rFonts w:cs="Arial"/>
          <w:color w:val="2E74B5" w:themeColor="accent1" w:themeShade="BF"/>
          <w:sz w:val="24"/>
          <w:szCs w:val="24"/>
        </w:rPr>
        <w:t xml:space="preserve"> al no haber prosperado los motivos de inconformidad hechos valer por el recurrente, ya que, como quedó visto</w:t>
      </w:r>
      <w:r w:rsidRPr="00D61397">
        <w:rPr>
          <w:rFonts w:cs="Arial"/>
          <w:color w:val="2E74B5" w:themeColor="accent1" w:themeShade="BF"/>
          <w:sz w:val="24"/>
          <w:szCs w:val="24"/>
          <w:lang w:val="es-MX"/>
        </w:rPr>
        <w:t xml:space="preserve"> de la respuesta emitida por la Unidad de Atención a Denuncias </w:t>
      </w:r>
      <w:r w:rsidRPr="00D61397">
        <w:rPr>
          <w:rFonts w:cs="Arial"/>
          <w:color w:val="2E74B5" w:themeColor="accent1" w:themeShade="BF"/>
          <w:sz w:val="24"/>
          <w:szCs w:val="24"/>
        </w:rPr>
        <w:t xml:space="preserve">atendió la solicitud de acceso a la información del hoy recurrente de forma confiable, verificable, veraz y oportuna, de conformidad con lo establecido por el artículo 13, párrafo primero de la Ley Local de Transparencia. </w:t>
      </w:r>
      <w:r w:rsidRPr="00D61397">
        <w:rPr>
          <w:rFonts w:cs="Arial"/>
          <w:i/>
          <w:color w:val="2E74B5" w:themeColor="accent1" w:themeShade="BF"/>
          <w:sz w:val="24"/>
          <w:szCs w:val="24"/>
        </w:rPr>
        <w:t xml:space="preserve"> </w:t>
      </w:r>
    </w:p>
    <w:p w:rsidR="001012EC" w:rsidRPr="00A24C95" w:rsidRDefault="001012EC" w:rsidP="00A24C95">
      <w:pPr>
        <w:pStyle w:val="corte4fondo"/>
        <w:spacing w:line="276" w:lineRule="auto"/>
        <w:ind w:firstLine="360"/>
        <w:rPr>
          <w:rFonts w:cs="Arial"/>
          <w:b/>
          <w:color w:val="2E74B5" w:themeColor="accent1" w:themeShade="BF"/>
          <w:sz w:val="24"/>
          <w:szCs w:val="24"/>
        </w:rPr>
      </w:pPr>
    </w:p>
    <w:p w:rsidR="001012EC" w:rsidRPr="00D61397" w:rsidRDefault="001012EC" w:rsidP="00A24C95">
      <w:pPr>
        <w:pStyle w:val="corte4fondo"/>
        <w:spacing w:line="276" w:lineRule="auto"/>
        <w:ind w:firstLine="360"/>
        <w:rPr>
          <w:rFonts w:cs="Arial"/>
          <w:i/>
          <w:color w:val="2E74B5" w:themeColor="accent1" w:themeShade="BF"/>
          <w:sz w:val="20"/>
        </w:rPr>
      </w:pPr>
      <w:r w:rsidRPr="00A24C95">
        <w:rPr>
          <w:rFonts w:cs="Arial"/>
          <w:b/>
          <w:i/>
          <w:color w:val="2E74B5" w:themeColor="accent1" w:themeShade="BF"/>
          <w:sz w:val="20"/>
          <w:lang w:val="es-MX"/>
        </w:rPr>
        <w:t>“…ARTÍCULO 13</w:t>
      </w:r>
      <w:r w:rsidRPr="00D61397">
        <w:rPr>
          <w:rFonts w:cs="Arial"/>
          <w:i/>
          <w:color w:val="2E74B5" w:themeColor="accent1" w:themeShade="BF"/>
          <w:sz w:val="20"/>
          <w:lang w:val="es-MX"/>
        </w:rPr>
        <w:t>. En la generación, publicación y entrega de información se deberá garantizar que ésta sea accesible, confiable, verificable, veraz, oportuna y atenderá las necesidades del derecho de acceso a la información de toda persona…”</w:t>
      </w:r>
    </w:p>
    <w:p w:rsidR="001012EC" w:rsidRPr="00D61397" w:rsidRDefault="001012EC" w:rsidP="00A24C95">
      <w:pPr>
        <w:pStyle w:val="corte4fondo"/>
        <w:spacing w:line="276" w:lineRule="auto"/>
        <w:ind w:firstLine="360"/>
        <w:rPr>
          <w:rFonts w:cs="Arial"/>
          <w:i/>
          <w:color w:val="2E74B5" w:themeColor="accent1" w:themeShade="BF"/>
          <w:sz w:val="20"/>
        </w:rPr>
      </w:pPr>
    </w:p>
    <w:p w:rsidR="001012EC" w:rsidRPr="00D61397" w:rsidRDefault="001012EC" w:rsidP="00A24C95">
      <w:pPr>
        <w:pStyle w:val="corte4fondo"/>
        <w:spacing w:line="276" w:lineRule="auto"/>
        <w:rPr>
          <w:rFonts w:cs="Arial"/>
          <w:color w:val="2E74B5" w:themeColor="accent1" w:themeShade="BF"/>
          <w:sz w:val="24"/>
          <w:szCs w:val="24"/>
        </w:rPr>
      </w:pPr>
      <w:r w:rsidRPr="00D61397">
        <w:rPr>
          <w:rFonts w:cs="Arial"/>
          <w:color w:val="2E74B5" w:themeColor="accent1" w:themeShade="BF"/>
          <w:sz w:val="24"/>
          <w:szCs w:val="24"/>
          <w:lang w:val="es-MX"/>
        </w:rPr>
        <w:t xml:space="preserve">Por lo anteriormente expuesto, se concluye que la respuesta </w:t>
      </w:r>
      <w:r w:rsidR="00D61397">
        <w:rPr>
          <w:rFonts w:cs="Arial"/>
          <w:color w:val="2E74B5" w:themeColor="accent1" w:themeShade="BF"/>
          <w:sz w:val="24"/>
          <w:szCs w:val="24"/>
          <w:lang w:val="es-MX"/>
        </w:rPr>
        <w:t>emitida por el sujeto obligado fue</w:t>
      </w:r>
      <w:r w:rsidRPr="00D61397">
        <w:rPr>
          <w:rFonts w:cs="Arial"/>
          <w:color w:val="2E74B5" w:themeColor="accent1" w:themeShade="BF"/>
          <w:sz w:val="24"/>
          <w:szCs w:val="24"/>
          <w:lang w:val="es-MX"/>
        </w:rPr>
        <w:t xml:space="preserve"> acorde con los artículos 151 y 153 de la Ley de Transparencia que estatuyen lo siguiente:</w:t>
      </w:r>
    </w:p>
    <w:p w:rsidR="001012EC" w:rsidRPr="00D61397" w:rsidRDefault="001012EC" w:rsidP="00A24C95">
      <w:pPr>
        <w:pStyle w:val="corte4fondo"/>
        <w:rPr>
          <w:rFonts w:cs="Arial"/>
          <w:color w:val="2E74B5" w:themeColor="accent1" w:themeShade="BF"/>
          <w:sz w:val="24"/>
          <w:szCs w:val="24"/>
        </w:rPr>
      </w:pPr>
    </w:p>
    <w:p w:rsidR="001012EC" w:rsidRPr="00D61397" w:rsidRDefault="00A24C95" w:rsidP="00A24C95">
      <w:pPr>
        <w:pStyle w:val="corte4fondo"/>
        <w:tabs>
          <w:tab w:val="left" w:pos="0"/>
        </w:tabs>
        <w:spacing w:line="276" w:lineRule="auto"/>
        <w:ind w:firstLine="0"/>
        <w:rPr>
          <w:rFonts w:cs="Arial"/>
          <w:i/>
          <w:color w:val="2E74B5" w:themeColor="accent1" w:themeShade="BF"/>
          <w:sz w:val="20"/>
        </w:rPr>
      </w:pPr>
      <w:r>
        <w:rPr>
          <w:rFonts w:cs="Arial"/>
          <w:b/>
          <w:color w:val="2E74B5" w:themeColor="accent1" w:themeShade="BF"/>
          <w:sz w:val="20"/>
          <w:lang w:val="es-MX"/>
        </w:rPr>
        <w:tab/>
      </w:r>
      <w:r w:rsidR="00D61397" w:rsidRPr="00D61397">
        <w:rPr>
          <w:rFonts w:cs="Arial"/>
          <w:color w:val="2E74B5" w:themeColor="accent1" w:themeShade="BF"/>
          <w:sz w:val="20"/>
          <w:lang w:val="es-MX"/>
        </w:rPr>
        <w:t>“…</w:t>
      </w:r>
      <w:r w:rsidR="001012EC" w:rsidRPr="00D61397">
        <w:rPr>
          <w:rFonts w:cs="Arial"/>
          <w:b/>
          <w:i/>
          <w:color w:val="2E74B5" w:themeColor="accent1" w:themeShade="BF"/>
          <w:sz w:val="20"/>
          <w:lang w:val="es-MX"/>
        </w:rPr>
        <w:t>ARTÍCULO 151.</w:t>
      </w:r>
      <w:r w:rsidR="001012EC" w:rsidRPr="00D61397">
        <w:rPr>
          <w:rFonts w:cs="Arial"/>
          <w:i/>
          <w:color w:val="2E74B5" w:themeColor="accent1" w:themeShade="BF"/>
          <w:sz w:val="20"/>
          <w:lang w:val="es-MX"/>
        </w:rPr>
        <w:t xml:space="preserve">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w:t>
      </w:r>
    </w:p>
    <w:p w:rsidR="001012EC" w:rsidRPr="00D61397" w:rsidRDefault="001012EC" w:rsidP="00A24C95">
      <w:pPr>
        <w:pStyle w:val="corte4fondo"/>
        <w:tabs>
          <w:tab w:val="left" w:pos="0"/>
        </w:tabs>
        <w:spacing w:line="276" w:lineRule="auto"/>
        <w:ind w:firstLine="0"/>
        <w:rPr>
          <w:rFonts w:cs="Arial"/>
          <w:i/>
          <w:color w:val="2E74B5" w:themeColor="accent1" w:themeShade="BF"/>
          <w:sz w:val="20"/>
        </w:rPr>
      </w:pPr>
      <w:r w:rsidRPr="00D61397">
        <w:rPr>
          <w:rFonts w:cs="Arial"/>
          <w:i/>
          <w:color w:val="2E74B5" w:themeColor="accent1" w:themeShade="BF"/>
          <w:sz w:val="20"/>
          <w:lang w:val="es-MX"/>
        </w:rPr>
        <w:t>En el caso de que la información solicitada consista en bases de datos se deberá privilegiar la entrega de la misma en Formatos Abiertos</w:t>
      </w:r>
      <w:r w:rsidR="00D61397">
        <w:rPr>
          <w:rFonts w:cs="Arial"/>
          <w:i/>
          <w:color w:val="2E74B5" w:themeColor="accent1" w:themeShade="BF"/>
          <w:sz w:val="20"/>
          <w:lang w:val="es-MX"/>
        </w:rPr>
        <w:t>…”</w:t>
      </w:r>
    </w:p>
    <w:p w:rsidR="001012EC" w:rsidRPr="00D61397" w:rsidRDefault="001012EC" w:rsidP="00A24C95">
      <w:pPr>
        <w:pStyle w:val="corte4fondo"/>
        <w:tabs>
          <w:tab w:val="left" w:pos="0"/>
        </w:tabs>
        <w:spacing w:line="276" w:lineRule="auto"/>
        <w:ind w:firstLine="0"/>
        <w:rPr>
          <w:rFonts w:cs="Arial"/>
          <w:i/>
          <w:color w:val="2E74B5" w:themeColor="accent1" w:themeShade="BF"/>
          <w:sz w:val="20"/>
        </w:rPr>
      </w:pPr>
    </w:p>
    <w:p w:rsidR="001012EC" w:rsidRPr="00D61397" w:rsidRDefault="00D61397" w:rsidP="00A24C95">
      <w:pPr>
        <w:pStyle w:val="corte4fondo"/>
        <w:tabs>
          <w:tab w:val="left" w:pos="0"/>
          <w:tab w:val="left" w:pos="567"/>
        </w:tabs>
        <w:spacing w:line="276" w:lineRule="auto"/>
        <w:ind w:firstLine="0"/>
        <w:rPr>
          <w:rFonts w:cs="Arial"/>
          <w:i/>
          <w:color w:val="2E74B5" w:themeColor="accent1" w:themeShade="BF"/>
          <w:sz w:val="20"/>
        </w:rPr>
      </w:pPr>
      <w:r w:rsidRPr="00D61397">
        <w:rPr>
          <w:rFonts w:cs="Arial"/>
          <w:i/>
          <w:color w:val="2E74B5" w:themeColor="accent1" w:themeShade="BF"/>
          <w:sz w:val="20"/>
          <w:lang w:val="es-MX"/>
        </w:rPr>
        <w:tab/>
        <w:t>“…</w:t>
      </w:r>
      <w:r w:rsidR="001012EC" w:rsidRPr="00D61397">
        <w:rPr>
          <w:rFonts w:cs="Arial"/>
          <w:b/>
          <w:i/>
          <w:color w:val="2E74B5" w:themeColor="accent1" w:themeShade="BF"/>
          <w:sz w:val="20"/>
          <w:lang w:val="es-MX"/>
        </w:rPr>
        <w:t>ARTÍCULO 153.</w:t>
      </w:r>
      <w:r w:rsidR="001012EC" w:rsidRPr="00D61397">
        <w:rPr>
          <w:rFonts w:cs="Arial"/>
          <w:i/>
          <w:color w:val="2E74B5" w:themeColor="accent1" w:themeShade="BF"/>
          <w:sz w:val="20"/>
          <w:lang w:val="es-MX"/>
        </w:rPr>
        <w:t xml:space="preserve">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w:t>
      </w:r>
      <w:r w:rsidR="00A24C95">
        <w:rPr>
          <w:rFonts w:cs="Arial"/>
          <w:i/>
          <w:color w:val="2E74B5" w:themeColor="accent1" w:themeShade="BF"/>
          <w:sz w:val="20"/>
          <w:lang w:val="es-MX"/>
        </w:rPr>
        <w:t>..</w:t>
      </w:r>
      <w:r>
        <w:rPr>
          <w:rFonts w:cs="Arial"/>
          <w:i/>
          <w:color w:val="2E74B5" w:themeColor="accent1" w:themeShade="BF"/>
          <w:sz w:val="20"/>
          <w:lang w:val="es-MX"/>
        </w:rPr>
        <w:t>.”</w:t>
      </w:r>
    </w:p>
    <w:p w:rsidR="00EE0D15" w:rsidRPr="00D61397" w:rsidRDefault="00EE0D15" w:rsidP="00A24C95">
      <w:pPr>
        <w:pStyle w:val="corte4fondo"/>
        <w:tabs>
          <w:tab w:val="left" w:pos="708"/>
          <w:tab w:val="left" w:pos="2154"/>
        </w:tabs>
        <w:spacing w:line="276" w:lineRule="auto"/>
        <w:ind w:firstLine="0"/>
        <w:rPr>
          <w:rFonts w:cs="Arial"/>
          <w:color w:val="2E74B5" w:themeColor="accent1" w:themeShade="BF"/>
          <w:sz w:val="24"/>
          <w:szCs w:val="24"/>
        </w:rPr>
      </w:pPr>
      <w:r w:rsidRPr="00D61397">
        <w:rPr>
          <w:rFonts w:cs="Arial"/>
          <w:color w:val="2E74B5" w:themeColor="accent1" w:themeShade="BF"/>
          <w:sz w:val="24"/>
          <w:szCs w:val="24"/>
          <w:lang w:val="es-MX"/>
        </w:rPr>
        <w:tab/>
      </w:r>
    </w:p>
    <w:p w:rsidR="00EE0D15" w:rsidRPr="00D61397" w:rsidRDefault="00A24C95" w:rsidP="00A24C95">
      <w:pPr>
        <w:pStyle w:val="corte4fondo"/>
        <w:spacing w:line="276" w:lineRule="auto"/>
        <w:ind w:firstLine="708"/>
        <w:rPr>
          <w:rFonts w:cs="Arial"/>
          <w:color w:val="2E74B5" w:themeColor="accent1" w:themeShade="BF"/>
          <w:sz w:val="24"/>
          <w:szCs w:val="24"/>
        </w:rPr>
      </w:pPr>
      <w:r>
        <w:rPr>
          <w:rFonts w:eastAsia="Arial Unicode MS" w:cs="Arial"/>
          <w:b/>
          <w:color w:val="2E74B5" w:themeColor="accent1" w:themeShade="BF"/>
          <w:sz w:val="24"/>
          <w:szCs w:val="24"/>
        </w:rPr>
        <w:t>6</w:t>
      </w:r>
      <w:r w:rsidR="00EE0D15" w:rsidRPr="00D61397">
        <w:rPr>
          <w:rFonts w:eastAsia="Arial Unicode MS" w:cs="Arial"/>
          <w:b/>
          <w:color w:val="2E74B5" w:themeColor="accent1" w:themeShade="BF"/>
          <w:sz w:val="24"/>
          <w:szCs w:val="24"/>
        </w:rPr>
        <w:t>.2. Sentido de la resolución</w:t>
      </w:r>
      <w:r w:rsidR="00EE0D15" w:rsidRPr="00D61397">
        <w:rPr>
          <w:rFonts w:cs="Arial"/>
          <w:b/>
          <w:color w:val="2E74B5" w:themeColor="accent1" w:themeShade="BF"/>
          <w:sz w:val="24"/>
          <w:szCs w:val="24"/>
        </w:rPr>
        <w:t>.</w:t>
      </w:r>
    </w:p>
    <w:p w:rsidR="00EE0D15" w:rsidRPr="00D61397" w:rsidRDefault="00EE0D15" w:rsidP="00A24C95">
      <w:pPr>
        <w:pStyle w:val="corte4fondo"/>
        <w:spacing w:line="276" w:lineRule="auto"/>
        <w:ind w:firstLine="0"/>
        <w:rPr>
          <w:rFonts w:cs="Arial"/>
          <w:color w:val="2E74B5" w:themeColor="accent1" w:themeShade="BF"/>
          <w:sz w:val="24"/>
          <w:szCs w:val="24"/>
        </w:rPr>
      </w:pPr>
    </w:p>
    <w:p w:rsidR="00EE0D15" w:rsidRPr="00D61397" w:rsidRDefault="00EE0D15" w:rsidP="00A24C95">
      <w:pPr>
        <w:pStyle w:val="corte4fondo"/>
        <w:spacing w:line="276" w:lineRule="auto"/>
        <w:ind w:firstLine="0"/>
        <w:rPr>
          <w:rFonts w:cs="Arial"/>
          <w:color w:val="2E74B5" w:themeColor="accent1" w:themeShade="BF"/>
          <w:sz w:val="24"/>
          <w:szCs w:val="24"/>
          <w:lang w:val="es-MX"/>
        </w:rPr>
      </w:pPr>
      <w:r w:rsidRPr="00D61397">
        <w:rPr>
          <w:rFonts w:cs="Arial"/>
          <w:color w:val="2E74B5" w:themeColor="accent1" w:themeShade="BF"/>
          <w:sz w:val="24"/>
          <w:szCs w:val="24"/>
        </w:rPr>
        <w:tab/>
      </w:r>
      <w:r w:rsidRPr="00D61397">
        <w:rPr>
          <w:rFonts w:cs="Arial"/>
          <w:color w:val="2E74B5" w:themeColor="accent1" w:themeShade="BF"/>
          <w:sz w:val="24"/>
          <w:szCs w:val="24"/>
          <w:lang w:val="es-MX"/>
        </w:rPr>
        <w:t xml:space="preserve">Así, al no prosperar los agravios del recurrente, lo procedente es que esta Comisión de Transparencia de conformidad con el artículo 175, fracción II, de la Ley de Transparencia y Acceso a la Información Pública del Estado </w:t>
      </w:r>
      <w:r w:rsidRPr="00D61397">
        <w:rPr>
          <w:rFonts w:cs="Arial"/>
          <w:b/>
          <w:color w:val="2E74B5" w:themeColor="accent1" w:themeShade="BF"/>
          <w:sz w:val="24"/>
          <w:szCs w:val="24"/>
          <w:lang w:val="es-MX"/>
        </w:rPr>
        <w:t xml:space="preserve">confirme </w:t>
      </w:r>
      <w:r w:rsidRPr="00D61397">
        <w:rPr>
          <w:rFonts w:cs="Arial"/>
          <w:color w:val="2E74B5" w:themeColor="accent1" w:themeShade="BF"/>
          <w:sz w:val="24"/>
          <w:szCs w:val="24"/>
          <w:lang w:val="es-MX"/>
        </w:rPr>
        <w:t>la respuesta del sujeto obligado, ya que no hay transgresión del derecho humano de acceso a la información pública.</w:t>
      </w:r>
    </w:p>
    <w:p w:rsidR="00EE0D15" w:rsidRPr="00D61397" w:rsidRDefault="00EE0D15" w:rsidP="00A24C95">
      <w:pPr>
        <w:pStyle w:val="corte4fondo"/>
        <w:tabs>
          <w:tab w:val="left" w:pos="567"/>
        </w:tabs>
        <w:spacing w:line="276" w:lineRule="auto"/>
        <w:rPr>
          <w:rFonts w:cs="Arial"/>
          <w:color w:val="2E74B5" w:themeColor="accent1" w:themeShade="BF"/>
          <w:sz w:val="23"/>
          <w:szCs w:val="23"/>
          <w:lang w:val="es-MX"/>
        </w:rPr>
      </w:pPr>
    </w:p>
    <w:p w:rsidR="00EE0D15" w:rsidRPr="00D61397" w:rsidRDefault="00A24C95" w:rsidP="00A24C95">
      <w:pPr>
        <w:pStyle w:val="corte4fondo"/>
        <w:tabs>
          <w:tab w:val="left" w:pos="567"/>
        </w:tabs>
        <w:spacing w:line="276" w:lineRule="auto"/>
        <w:ind w:firstLine="0"/>
        <w:rPr>
          <w:rFonts w:cs="Arial"/>
          <w:b/>
          <w:color w:val="2E74B5" w:themeColor="accent1" w:themeShade="BF"/>
          <w:sz w:val="24"/>
          <w:szCs w:val="24"/>
          <w:lang w:val="es-MX"/>
        </w:rPr>
      </w:pPr>
      <w:r>
        <w:rPr>
          <w:rFonts w:cs="Arial"/>
          <w:b/>
          <w:color w:val="2E74B5" w:themeColor="accent1" w:themeShade="BF"/>
          <w:sz w:val="24"/>
          <w:szCs w:val="24"/>
          <w:lang w:val="es-MX"/>
        </w:rPr>
        <w:tab/>
        <w:t>6</w:t>
      </w:r>
      <w:r w:rsidR="00EE0D15" w:rsidRPr="00D61397">
        <w:rPr>
          <w:rFonts w:cs="Arial"/>
          <w:b/>
          <w:color w:val="2E74B5" w:themeColor="accent1" w:themeShade="BF"/>
          <w:sz w:val="24"/>
          <w:szCs w:val="24"/>
          <w:lang w:val="es-MX"/>
        </w:rPr>
        <w:t>.3.</w:t>
      </w:r>
      <w:r w:rsidR="00EE0D15" w:rsidRPr="00D61397">
        <w:rPr>
          <w:rFonts w:cs="Arial"/>
          <w:color w:val="2E74B5" w:themeColor="accent1" w:themeShade="BF"/>
          <w:sz w:val="24"/>
          <w:szCs w:val="24"/>
          <w:lang w:val="es-MX"/>
        </w:rPr>
        <w:t xml:space="preserve"> </w:t>
      </w:r>
      <w:r w:rsidR="00EE0D15" w:rsidRPr="00D61397">
        <w:rPr>
          <w:rFonts w:cs="Arial"/>
          <w:b/>
          <w:color w:val="2E74B5" w:themeColor="accent1" w:themeShade="BF"/>
          <w:sz w:val="24"/>
          <w:szCs w:val="24"/>
          <w:lang w:val="es-MX"/>
        </w:rPr>
        <w:t>Archivo.</w:t>
      </w:r>
    </w:p>
    <w:p w:rsidR="00EE0D15" w:rsidRPr="00D61397" w:rsidRDefault="00EE0D15" w:rsidP="00A24C95">
      <w:pPr>
        <w:pStyle w:val="corte4fondo"/>
        <w:tabs>
          <w:tab w:val="left" w:pos="567"/>
        </w:tabs>
        <w:spacing w:line="276" w:lineRule="auto"/>
        <w:ind w:firstLine="0"/>
        <w:rPr>
          <w:rFonts w:cs="Arial"/>
          <w:color w:val="2E74B5" w:themeColor="accent1" w:themeShade="BF"/>
          <w:sz w:val="24"/>
          <w:szCs w:val="24"/>
          <w:lang w:val="es-MX"/>
        </w:rPr>
      </w:pPr>
    </w:p>
    <w:p w:rsidR="00EE0D15" w:rsidRPr="00D61397" w:rsidRDefault="00EE0D15" w:rsidP="00A24C95">
      <w:pPr>
        <w:pStyle w:val="corte4fondo"/>
        <w:tabs>
          <w:tab w:val="left" w:pos="567"/>
        </w:tabs>
        <w:spacing w:line="276" w:lineRule="auto"/>
        <w:ind w:firstLine="0"/>
        <w:rPr>
          <w:rFonts w:cs="Arial"/>
          <w:color w:val="2E74B5" w:themeColor="accent1" w:themeShade="BF"/>
          <w:sz w:val="24"/>
          <w:szCs w:val="24"/>
          <w:lang w:val="es-MX"/>
        </w:rPr>
      </w:pPr>
      <w:r w:rsidRPr="00D61397">
        <w:rPr>
          <w:rFonts w:cs="Arial"/>
          <w:color w:val="2E74B5" w:themeColor="accent1" w:themeShade="BF"/>
          <w:sz w:val="24"/>
          <w:szCs w:val="24"/>
          <w:lang w:val="es-MX"/>
        </w:rPr>
        <w:tab/>
        <w:t>Que una vez que la presente resolución sea notificada a las partes, la ponencia mande archivar el presente asunto como totalmente concluido.</w:t>
      </w:r>
    </w:p>
    <w:p w:rsidR="00EE0D15" w:rsidRPr="00D61397" w:rsidRDefault="00EE0D15" w:rsidP="00A24C95">
      <w:pPr>
        <w:pStyle w:val="corte4fondo"/>
        <w:tabs>
          <w:tab w:val="left" w:pos="567"/>
        </w:tabs>
        <w:spacing w:line="276" w:lineRule="auto"/>
        <w:ind w:firstLine="0"/>
        <w:rPr>
          <w:rFonts w:cs="Arial"/>
          <w:color w:val="2E74B5" w:themeColor="accent1" w:themeShade="BF"/>
          <w:sz w:val="24"/>
          <w:szCs w:val="24"/>
          <w:lang w:val="es-MX"/>
        </w:rPr>
      </w:pPr>
    </w:p>
    <w:p w:rsidR="00EE0D15" w:rsidRPr="00D61397" w:rsidRDefault="00EE0D15" w:rsidP="00A24C95">
      <w:pPr>
        <w:pStyle w:val="corte4fondo"/>
        <w:tabs>
          <w:tab w:val="left" w:pos="567"/>
        </w:tabs>
        <w:spacing w:line="276" w:lineRule="auto"/>
        <w:ind w:firstLine="0"/>
        <w:rPr>
          <w:rFonts w:cs="Arial"/>
          <w:color w:val="2E74B5" w:themeColor="accent1" w:themeShade="BF"/>
          <w:sz w:val="24"/>
          <w:szCs w:val="24"/>
        </w:rPr>
      </w:pPr>
      <w:r w:rsidRPr="00D61397">
        <w:rPr>
          <w:rFonts w:cs="Arial"/>
          <w:b/>
          <w:color w:val="2E74B5" w:themeColor="accent1" w:themeShade="BF"/>
          <w:sz w:val="24"/>
          <w:szCs w:val="24"/>
          <w:lang w:val="es-MX"/>
        </w:rPr>
        <w:tab/>
      </w:r>
      <w:r w:rsidRPr="00D61397">
        <w:rPr>
          <w:rFonts w:cs="Arial"/>
          <w:color w:val="2E74B5" w:themeColor="accent1" w:themeShade="BF"/>
          <w:sz w:val="24"/>
          <w:szCs w:val="24"/>
          <w:lang w:val="es-MX"/>
        </w:rPr>
        <w:tab/>
      </w:r>
      <w:r w:rsidRPr="00D61397">
        <w:rPr>
          <w:rFonts w:cs="Arial"/>
          <w:color w:val="2E74B5" w:themeColor="accent1" w:themeShade="BF"/>
          <w:sz w:val="24"/>
          <w:szCs w:val="24"/>
        </w:rPr>
        <w:t>Por último, de conformidad con el artículo 159 de la Ley General de Transparencia y Acceso a la Información Pública mediante la presente resolución se hace del conocimiento a la parte recurrente que contra de la presente determinación puede acudir ante el Instituto Nacional de Transparencia, Acceso a la Información y Protección de Datos Personales o ante el Poder Judicial de la Federación.</w:t>
      </w:r>
    </w:p>
    <w:p w:rsidR="00EE0D15" w:rsidRPr="00D61397" w:rsidRDefault="00EE0D15" w:rsidP="00A24C95">
      <w:pPr>
        <w:pStyle w:val="corte4fondo"/>
        <w:tabs>
          <w:tab w:val="left" w:pos="567"/>
        </w:tabs>
        <w:spacing w:line="276" w:lineRule="auto"/>
        <w:rPr>
          <w:rFonts w:cs="Arial"/>
          <w:color w:val="2E74B5" w:themeColor="accent1" w:themeShade="BF"/>
          <w:sz w:val="24"/>
          <w:szCs w:val="24"/>
          <w:lang w:val="es-MX"/>
        </w:rPr>
      </w:pPr>
    </w:p>
    <w:p w:rsidR="00EE0D15" w:rsidRPr="00D61397" w:rsidRDefault="00EE0D15" w:rsidP="00A24C95">
      <w:pPr>
        <w:pStyle w:val="corte4fondo"/>
        <w:tabs>
          <w:tab w:val="left" w:pos="567"/>
        </w:tabs>
        <w:spacing w:line="276" w:lineRule="auto"/>
        <w:jc w:val="center"/>
        <w:rPr>
          <w:rFonts w:cs="Arial"/>
          <w:color w:val="2E74B5" w:themeColor="accent1" w:themeShade="BF"/>
          <w:sz w:val="24"/>
          <w:szCs w:val="24"/>
          <w:lang w:val="es-MX"/>
        </w:rPr>
      </w:pPr>
      <w:r w:rsidRPr="00D61397">
        <w:rPr>
          <w:rFonts w:cs="Arial"/>
          <w:b/>
          <w:color w:val="2E74B5" w:themeColor="accent1" w:themeShade="BF"/>
          <w:sz w:val="24"/>
          <w:szCs w:val="24"/>
          <w:lang w:val="es-MX"/>
        </w:rPr>
        <w:t>RESOLUTIVOS</w:t>
      </w:r>
      <w:r w:rsidRPr="00D61397">
        <w:rPr>
          <w:rFonts w:cs="Arial"/>
          <w:color w:val="2E74B5" w:themeColor="accent1" w:themeShade="BF"/>
          <w:sz w:val="24"/>
          <w:szCs w:val="24"/>
          <w:lang w:val="es-MX"/>
        </w:rPr>
        <w:t xml:space="preserve"> </w:t>
      </w:r>
    </w:p>
    <w:p w:rsidR="00EE0D15" w:rsidRPr="00D61397" w:rsidRDefault="00EE0D15" w:rsidP="00A24C95">
      <w:pPr>
        <w:pStyle w:val="corte4fondo"/>
        <w:tabs>
          <w:tab w:val="left" w:pos="567"/>
        </w:tabs>
        <w:spacing w:line="276" w:lineRule="auto"/>
        <w:jc w:val="center"/>
        <w:rPr>
          <w:rFonts w:cs="Arial"/>
          <w:color w:val="2E74B5" w:themeColor="accent1" w:themeShade="BF"/>
          <w:sz w:val="24"/>
          <w:szCs w:val="24"/>
          <w:lang w:val="es-MX"/>
        </w:rPr>
      </w:pPr>
    </w:p>
    <w:p w:rsidR="00EE0D15" w:rsidRPr="00D61397" w:rsidRDefault="00EE0D15" w:rsidP="00A24C95">
      <w:pPr>
        <w:pStyle w:val="corte4fondo"/>
        <w:tabs>
          <w:tab w:val="left" w:pos="567"/>
        </w:tabs>
        <w:spacing w:line="276" w:lineRule="auto"/>
        <w:rPr>
          <w:rFonts w:cs="Arial"/>
          <w:color w:val="2E74B5" w:themeColor="accent1" w:themeShade="BF"/>
          <w:sz w:val="24"/>
          <w:szCs w:val="24"/>
          <w:lang w:val="es-MX"/>
        </w:rPr>
      </w:pPr>
      <w:r w:rsidRPr="00D61397">
        <w:rPr>
          <w:rFonts w:cs="Arial"/>
          <w:color w:val="2E74B5" w:themeColor="accent1" w:themeShade="BF"/>
          <w:sz w:val="24"/>
          <w:szCs w:val="24"/>
          <w:lang w:val="es-MX"/>
        </w:rPr>
        <w:t>Por lo expuesto y fundado, SE RESUELVE:</w:t>
      </w:r>
    </w:p>
    <w:p w:rsidR="00EE0D15" w:rsidRPr="00D61397" w:rsidRDefault="00EE0D15" w:rsidP="00A24C95">
      <w:pPr>
        <w:pStyle w:val="corte4fondo"/>
        <w:tabs>
          <w:tab w:val="left" w:pos="567"/>
        </w:tabs>
        <w:spacing w:line="276" w:lineRule="auto"/>
        <w:rPr>
          <w:rFonts w:cs="Arial"/>
          <w:color w:val="2E74B5" w:themeColor="accent1" w:themeShade="BF"/>
          <w:sz w:val="24"/>
          <w:szCs w:val="24"/>
          <w:lang w:val="es-MX"/>
        </w:rPr>
      </w:pPr>
    </w:p>
    <w:p w:rsidR="00EE0D15" w:rsidRPr="00D61397" w:rsidRDefault="00EE0D15" w:rsidP="00A24C95">
      <w:pPr>
        <w:pStyle w:val="corte4fondo"/>
        <w:tabs>
          <w:tab w:val="left" w:pos="567"/>
        </w:tabs>
        <w:spacing w:line="276" w:lineRule="auto"/>
        <w:rPr>
          <w:rFonts w:cs="Arial"/>
          <w:color w:val="2E74B5" w:themeColor="accent1" w:themeShade="BF"/>
          <w:sz w:val="24"/>
          <w:szCs w:val="24"/>
          <w:lang w:val="es-MX"/>
        </w:rPr>
      </w:pPr>
      <w:r w:rsidRPr="00D61397">
        <w:rPr>
          <w:rFonts w:cs="Arial"/>
          <w:b/>
          <w:color w:val="2E74B5" w:themeColor="accent1" w:themeShade="BF"/>
          <w:sz w:val="24"/>
          <w:szCs w:val="24"/>
          <w:lang w:val="es-MX"/>
        </w:rPr>
        <w:t>ÚNICO</w:t>
      </w:r>
      <w:r w:rsidRPr="00D61397">
        <w:rPr>
          <w:rFonts w:cs="Arial"/>
          <w:color w:val="2E74B5" w:themeColor="accent1" w:themeShade="BF"/>
          <w:sz w:val="24"/>
          <w:szCs w:val="24"/>
          <w:lang w:val="es-MX"/>
        </w:rPr>
        <w:t xml:space="preserve">. Esta Comisión Estatal de Garantía y Acceso a la Información Pública </w:t>
      </w:r>
      <w:r w:rsidRPr="00D61397">
        <w:rPr>
          <w:rFonts w:cs="Arial"/>
          <w:b/>
          <w:color w:val="2E74B5" w:themeColor="accent1" w:themeShade="BF"/>
          <w:sz w:val="24"/>
          <w:szCs w:val="24"/>
          <w:lang w:val="es-MX"/>
        </w:rPr>
        <w:t>confirma</w:t>
      </w:r>
      <w:r w:rsidRPr="00D61397">
        <w:rPr>
          <w:rFonts w:cs="Arial"/>
          <w:color w:val="2E74B5" w:themeColor="accent1" w:themeShade="BF"/>
          <w:sz w:val="24"/>
          <w:szCs w:val="24"/>
          <w:lang w:val="es-MX"/>
        </w:rPr>
        <w:t xml:space="preserve"> el acto impugnado por los fundamentos y las razones desarrol</w:t>
      </w:r>
      <w:r w:rsidR="00A24C95">
        <w:rPr>
          <w:rFonts w:cs="Arial"/>
          <w:color w:val="2E74B5" w:themeColor="accent1" w:themeShade="BF"/>
          <w:sz w:val="24"/>
          <w:szCs w:val="24"/>
          <w:lang w:val="es-MX"/>
        </w:rPr>
        <w:t>ladas en el considerando sexto</w:t>
      </w:r>
      <w:r w:rsidRPr="00D61397">
        <w:rPr>
          <w:rFonts w:cs="Arial"/>
          <w:color w:val="2E74B5" w:themeColor="accent1" w:themeShade="BF"/>
          <w:sz w:val="24"/>
          <w:szCs w:val="24"/>
          <w:lang w:val="es-MX"/>
        </w:rPr>
        <w:t xml:space="preserve"> de la presente resolución.</w:t>
      </w:r>
    </w:p>
    <w:p w:rsidR="00EE0D15" w:rsidRPr="00D61397" w:rsidRDefault="00EE0D15" w:rsidP="00A24C95">
      <w:pPr>
        <w:pStyle w:val="corte4fondo"/>
        <w:tabs>
          <w:tab w:val="left" w:pos="567"/>
        </w:tabs>
        <w:spacing w:line="276" w:lineRule="auto"/>
        <w:rPr>
          <w:rFonts w:cs="Arial"/>
          <w:color w:val="2E74B5" w:themeColor="accent1" w:themeShade="BF"/>
          <w:sz w:val="24"/>
          <w:szCs w:val="24"/>
          <w:lang w:val="es-MX"/>
        </w:rPr>
      </w:pPr>
    </w:p>
    <w:p w:rsidR="00EE0D15" w:rsidRPr="00D61397" w:rsidRDefault="00EE0D15" w:rsidP="00A24C95">
      <w:pPr>
        <w:pStyle w:val="corte4fondo"/>
        <w:tabs>
          <w:tab w:val="left" w:pos="567"/>
        </w:tabs>
        <w:spacing w:line="276" w:lineRule="auto"/>
        <w:rPr>
          <w:rFonts w:cs="Arial"/>
          <w:color w:val="2E74B5" w:themeColor="accent1" w:themeShade="BF"/>
          <w:sz w:val="24"/>
          <w:szCs w:val="24"/>
          <w:lang w:val="es-MX"/>
        </w:rPr>
      </w:pPr>
      <w:r w:rsidRPr="00D61397">
        <w:rPr>
          <w:rFonts w:cs="Arial"/>
          <w:b/>
          <w:color w:val="2E74B5" w:themeColor="accent1" w:themeShade="BF"/>
          <w:sz w:val="24"/>
          <w:szCs w:val="24"/>
          <w:lang w:val="es-MX"/>
        </w:rPr>
        <w:t xml:space="preserve">Notifíquese; </w:t>
      </w:r>
      <w:r w:rsidRPr="00D61397">
        <w:rPr>
          <w:rFonts w:cs="Arial"/>
          <w:color w:val="2E74B5" w:themeColor="accent1" w:themeShade="BF"/>
          <w:sz w:val="24"/>
          <w:szCs w:val="24"/>
          <w:lang w:val="es-MX"/>
        </w:rPr>
        <w:t>por oficio a las autoridades</w:t>
      </w:r>
      <w:r w:rsidRPr="00D61397">
        <w:rPr>
          <w:rFonts w:cs="Arial"/>
          <w:b/>
          <w:color w:val="2E74B5" w:themeColor="accent1" w:themeShade="BF"/>
          <w:sz w:val="24"/>
          <w:szCs w:val="24"/>
          <w:lang w:val="es-MX"/>
        </w:rPr>
        <w:t xml:space="preserve"> </w:t>
      </w:r>
      <w:r w:rsidRPr="00D61397">
        <w:rPr>
          <w:rFonts w:cs="Arial"/>
          <w:color w:val="2E74B5" w:themeColor="accent1" w:themeShade="BF"/>
          <w:sz w:val="24"/>
          <w:szCs w:val="24"/>
          <w:lang w:val="es-MX"/>
        </w:rPr>
        <w:t>y a la recurrente por el medio que designó.</w:t>
      </w:r>
    </w:p>
    <w:p w:rsidR="00EE0D15" w:rsidRPr="00D61397" w:rsidRDefault="00EE0D15" w:rsidP="00A24C95">
      <w:pPr>
        <w:pStyle w:val="corte4fondo"/>
        <w:tabs>
          <w:tab w:val="left" w:pos="567"/>
        </w:tabs>
        <w:spacing w:line="276" w:lineRule="auto"/>
        <w:rPr>
          <w:rFonts w:cs="Arial"/>
          <w:color w:val="2E74B5" w:themeColor="accent1" w:themeShade="BF"/>
          <w:sz w:val="24"/>
          <w:szCs w:val="24"/>
        </w:rPr>
      </w:pPr>
      <w:r w:rsidRPr="00D61397">
        <w:rPr>
          <w:rFonts w:cs="Arial"/>
          <w:color w:val="2E74B5" w:themeColor="accent1" w:themeShade="BF"/>
          <w:sz w:val="24"/>
          <w:szCs w:val="24"/>
          <w:lang w:val="es-MX"/>
        </w:rPr>
        <w:t xml:space="preserve">  </w:t>
      </w:r>
    </w:p>
    <w:p w:rsidR="00EE0D15" w:rsidRPr="00D61397" w:rsidRDefault="00EE0D15" w:rsidP="00A24C95">
      <w:pPr>
        <w:pStyle w:val="corte4fondo"/>
        <w:tabs>
          <w:tab w:val="left" w:pos="567"/>
        </w:tabs>
        <w:spacing w:line="276" w:lineRule="auto"/>
        <w:rPr>
          <w:rFonts w:eastAsia="Arial Unicode MS" w:cs="Arial"/>
          <w:color w:val="2E74B5" w:themeColor="accent1" w:themeShade="BF"/>
          <w:sz w:val="24"/>
          <w:szCs w:val="24"/>
        </w:rPr>
      </w:pPr>
      <w:r w:rsidRPr="00D61397">
        <w:rPr>
          <w:rFonts w:cs="Arial"/>
          <w:color w:val="2E74B5" w:themeColor="accent1" w:themeShade="BF"/>
          <w:sz w:val="24"/>
          <w:szCs w:val="24"/>
        </w:rPr>
        <w:t xml:space="preserve">Así, por unanimidad de votos lo resolvió la Comisión Estatal de Garantía de Acceso a la Información Pública, integrada por los Comisionados Licenciados </w:t>
      </w:r>
      <w:proofErr w:type="spellStart"/>
      <w:r w:rsidRPr="00D61397">
        <w:rPr>
          <w:rFonts w:cs="Arial"/>
          <w:color w:val="2E74B5" w:themeColor="accent1" w:themeShade="BF"/>
          <w:sz w:val="24"/>
          <w:szCs w:val="24"/>
        </w:rPr>
        <w:t>Mariajosé</w:t>
      </w:r>
      <w:proofErr w:type="spellEnd"/>
      <w:r w:rsidRPr="00D61397">
        <w:rPr>
          <w:rFonts w:cs="Arial"/>
          <w:color w:val="2E74B5" w:themeColor="accent1" w:themeShade="BF"/>
          <w:sz w:val="24"/>
          <w:szCs w:val="24"/>
        </w:rPr>
        <w:t xml:space="preserve"> González Zarzosa, Mtro. Alejandro Lafuente Torres, Paulina Sánchez Pérez del Pozo, President</w:t>
      </w:r>
      <w:r w:rsidR="00354E2B">
        <w:rPr>
          <w:rFonts w:cs="Arial"/>
          <w:color w:val="2E74B5" w:themeColor="accent1" w:themeShade="BF"/>
          <w:sz w:val="24"/>
          <w:szCs w:val="24"/>
          <w:lang w:val="es-MX"/>
        </w:rPr>
        <w:t>e</w:t>
      </w:r>
      <w:r w:rsidRPr="00D61397">
        <w:rPr>
          <w:rFonts w:cs="Arial"/>
          <w:color w:val="2E74B5" w:themeColor="accent1" w:themeShade="BF"/>
          <w:sz w:val="24"/>
          <w:szCs w:val="24"/>
        </w:rPr>
        <w:t xml:space="preserve">, siendo ponente la última de los nombrados, quienes, en unión de la Licenciada Rosa María Motilla García, Secretaria de Pleno que da fe, firman esta resolución. </w:t>
      </w:r>
      <w:r w:rsidRPr="00D61397">
        <w:rPr>
          <w:rFonts w:eastAsia="Arial Unicode MS" w:cs="Arial"/>
          <w:color w:val="2E74B5" w:themeColor="accent1" w:themeShade="BF"/>
          <w:sz w:val="24"/>
          <w:szCs w:val="24"/>
        </w:rPr>
        <w:t xml:space="preserve">   </w:t>
      </w:r>
    </w:p>
    <w:p w:rsidR="00EE0D15" w:rsidRPr="00D61397" w:rsidRDefault="00EE0D15" w:rsidP="00A24C95">
      <w:pPr>
        <w:pStyle w:val="corte4fondo"/>
        <w:tabs>
          <w:tab w:val="left" w:pos="567"/>
        </w:tabs>
        <w:spacing w:line="276" w:lineRule="auto"/>
        <w:rPr>
          <w:rFonts w:cs="Arial"/>
          <w:color w:val="2E74B5" w:themeColor="accent1" w:themeShade="BF"/>
          <w:sz w:val="24"/>
          <w:szCs w:val="24"/>
        </w:rPr>
      </w:pPr>
    </w:p>
    <w:p w:rsidR="00EE0D15" w:rsidRPr="00D61397" w:rsidRDefault="00EE0D15" w:rsidP="00A24C95">
      <w:pPr>
        <w:spacing w:after="0" w:line="276" w:lineRule="auto"/>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D61397" w:rsidRPr="00D61397" w:rsidTr="008741EF">
        <w:trPr>
          <w:trHeight w:val="2654"/>
          <w:jc w:val="center"/>
        </w:trPr>
        <w:tc>
          <w:tcPr>
            <w:tcW w:w="4706" w:type="dxa"/>
            <w:gridSpan w:val="2"/>
          </w:tcPr>
          <w:p w:rsidR="00EE0D15" w:rsidRPr="00D61397" w:rsidRDefault="00EE0D15" w:rsidP="00A24C95">
            <w:pPr>
              <w:spacing w:after="0" w:line="276" w:lineRule="auto"/>
              <w:jc w:val="center"/>
              <w:rPr>
                <w:rFonts w:ascii="Arial" w:eastAsia="Arial Unicode MS" w:hAnsi="Arial" w:cs="Arial"/>
                <w:b/>
                <w:color w:val="2E74B5" w:themeColor="accent1" w:themeShade="BF"/>
                <w:sz w:val="24"/>
                <w:szCs w:val="24"/>
              </w:rPr>
            </w:pPr>
            <w:r w:rsidRPr="00D61397">
              <w:rPr>
                <w:rFonts w:ascii="Arial" w:eastAsia="Arial Unicode MS" w:hAnsi="Arial" w:cs="Arial"/>
                <w:b/>
                <w:color w:val="2E74B5" w:themeColor="accent1" w:themeShade="BF"/>
                <w:sz w:val="24"/>
                <w:szCs w:val="24"/>
              </w:rPr>
              <w:t xml:space="preserve">        COMISIONADA </w:t>
            </w:r>
          </w:p>
          <w:p w:rsidR="00EE0D15" w:rsidRPr="00D61397" w:rsidRDefault="00EE0D15" w:rsidP="00A24C95">
            <w:pPr>
              <w:spacing w:after="0" w:line="276" w:lineRule="auto"/>
              <w:ind w:left="360" w:firstLine="708"/>
              <w:jc w:val="center"/>
              <w:rPr>
                <w:rFonts w:ascii="Arial" w:eastAsia="Arial Unicode MS" w:hAnsi="Arial" w:cs="Arial"/>
                <w:b/>
                <w:color w:val="2E74B5" w:themeColor="accent1" w:themeShade="BF"/>
                <w:sz w:val="24"/>
                <w:szCs w:val="24"/>
              </w:rPr>
            </w:pPr>
          </w:p>
          <w:p w:rsidR="00EE0D15" w:rsidRPr="00D61397" w:rsidRDefault="00EE0D15" w:rsidP="00A24C95">
            <w:pPr>
              <w:spacing w:after="0" w:line="276" w:lineRule="auto"/>
              <w:ind w:left="360" w:firstLine="708"/>
              <w:jc w:val="center"/>
              <w:rPr>
                <w:rFonts w:ascii="Arial" w:eastAsia="Arial Unicode MS" w:hAnsi="Arial" w:cs="Arial"/>
                <w:b/>
                <w:color w:val="2E74B5" w:themeColor="accent1" w:themeShade="BF"/>
                <w:sz w:val="24"/>
                <w:szCs w:val="24"/>
              </w:rPr>
            </w:pPr>
          </w:p>
          <w:p w:rsidR="00EE0D15" w:rsidRPr="00D61397" w:rsidRDefault="00EE0D15" w:rsidP="00A24C95">
            <w:pPr>
              <w:tabs>
                <w:tab w:val="left" w:pos="1358"/>
              </w:tabs>
              <w:spacing w:after="0" w:line="276" w:lineRule="auto"/>
              <w:ind w:firstLine="36"/>
              <w:jc w:val="center"/>
              <w:rPr>
                <w:rFonts w:ascii="Arial" w:eastAsia="Arial Unicode MS" w:hAnsi="Arial" w:cs="Arial"/>
                <w:b/>
                <w:color w:val="2E74B5" w:themeColor="accent1" w:themeShade="BF"/>
                <w:sz w:val="24"/>
                <w:szCs w:val="24"/>
              </w:rPr>
            </w:pPr>
            <w:r w:rsidRPr="00D61397">
              <w:rPr>
                <w:rFonts w:ascii="Arial" w:eastAsia="Arial Unicode MS" w:hAnsi="Arial" w:cs="Arial"/>
                <w:b/>
                <w:color w:val="2E74B5" w:themeColor="accent1" w:themeShade="BF"/>
                <w:sz w:val="24"/>
                <w:szCs w:val="24"/>
              </w:rPr>
              <w:t xml:space="preserve">MARIAJOSÉ </w:t>
            </w:r>
          </w:p>
          <w:p w:rsidR="00EE0D15" w:rsidRPr="00D61397" w:rsidRDefault="00EE0D15" w:rsidP="00A24C95">
            <w:pPr>
              <w:spacing w:after="0" w:line="276" w:lineRule="auto"/>
              <w:ind w:left="360" w:firstLine="36"/>
              <w:jc w:val="center"/>
              <w:rPr>
                <w:rFonts w:ascii="Arial" w:eastAsia="Arial Unicode MS" w:hAnsi="Arial" w:cs="Arial"/>
                <w:b/>
                <w:color w:val="2E74B5" w:themeColor="accent1" w:themeShade="BF"/>
                <w:sz w:val="24"/>
                <w:szCs w:val="24"/>
              </w:rPr>
            </w:pPr>
            <w:r w:rsidRPr="00D61397">
              <w:rPr>
                <w:rFonts w:ascii="Arial" w:eastAsia="Arial Unicode MS" w:hAnsi="Arial" w:cs="Arial"/>
                <w:b/>
                <w:color w:val="2E74B5" w:themeColor="accent1" w:themeShade="BF"/>
                <w:sz w:val="24"/>
                <w:szCs w:val="24"/>
              </w:rPr>
              <w:t xml:space="preserve">GONZÁLEZ ZARZOSA </w:t>
            </w:r>
          </w:p>
          <w:p w:rsidR="00EE0D15" w:rsidRPr="00D61397" w:rsidRDefault="00EE0D15" w:rsidP="00A24C95">
            <w:pPr>
              <w:spacing w:after="0" w:line="276" w:lineRule="auto"/>
              <w:ind w:left="360" w:firstLine="708"/>
              <w:jc w:val="center"/>
              <w:rPr>
                <w:rFonts w:ascii="Arial" w:eastAsia="Arial Unicode MS" w:hAnsi="Arial" w:cs="Arial"/>
                <w:b/>
                <w:color w:val="2E74B5" w:themeColor="accent1" w:themeShade="BF"/>
                <w:sz w:val="24"/>
                <w:szCs w:val="24"/>
              </w:rPr>
            </w:pPr>
          </w:p>
          <w:p w:rsidR="00EE0D15" w:rsidRPr="00D61397" w:rsidRDefault="00EE0D15" w:rsidP="00A24C95">
            <w:pPr>
              <w:spacing w:after="0" w:line="276" w:lineRule="auto"/>
              <w:rPr>
                <w:rFonts w:ascii="Arial" w:eastAsia="Arial Unicode MS" w:hAnsi="Arial" w:cs="Arial"/>
                <w:b/>
                <w:color w:val="2E74B5" w:themeColor="accent1" w:themeShade="BF"/>
                <w:sz w:val="24"/>
                <w:szCs w:val="24"/>
              </w:rPr>
            </w:pPr>
            <w:r w:rsidRPr="00D61397">
              <w:rPr>
                <w:rFonts w:ascii="Arial" w:eastAsia="Arial Unicode MS" w:hAnsi="Arial" w:cs="Arial"/>
                <w:b/>
                <w:color w:val="2E74B5" w:themeColor="accent1" w:themeShade="BF"/>
                <w:sz w:val="24"/>
                <w:szCs w:val="24"/>
              </w:rPr>
              <w:t xml:space="preserve">                   </w:t>
            </w:r>
          </w:p>
          <w:p w:rsidR="00EE0D15" w:rsidRPr="00D61397" w:rsidRDefault="00EE0D15" w:rsidP="00A24C95">
            <w:pPr>
              <w:spacing w:after="0" w:line="276" w:lineRule="auto"/>
              <w:rPr>
                <w:rFonts w:ascii="Arial" w:eastAsia="Arial Unicode MS" w:hAnsi="Arial" w:cs="Arial"/>
                <w:b/>
                <w:color w:val="2E74B5" w:themeColor="accent1" w:themeShade="BF"/>
                <w:sz w:val="24"/>
                <w:szCs w:val="24"/>
              </w:rPr>
            </w:pPr>
          </w:p>
        </w:tc>
        <w:tc>
          <w:tcPr>
            <w:tcW w:w="5194" w:type="dxa"/>
            <w:gridSpan w:val="2"/>
          </w:tcPr>
          <w:p w:rsidR="00EE0D15" w:rsidRPr="00D61397" w:rsidRDefault="00EE0D15" w:rsidP="00A24C95">
            <w:pPr>
              <w:spacing w:after="0" w:line="276" w:lineRule="auto"/>
              <w:ind w:left="360" w:firstLine="708"/>
              <w:rPr>
                <w:rFonts w:ascii="Arial" w:eastAsia="Arial Unicode MS" w:hAnsi="Arial" w:cs="Arial"/>
                <w:b/>
                <w:color w:val="2E74B5" w:themeColor="accent1" w:themeShade="BF"/>
                <w:sz w:val="24"/>
                <w:szCs w:val="24"/>
              </w:rPr>
            </w:pPr>
            <w:r w:rsidRPr="00D61397">
              <w:rPr>
                <w:rFonts w:ascii="Arial" w:eastAsia="Arial Unicode MS" w:hAnsi="Arial" w:cs="Arial"/>
                <w:b/>
                <w:color w:val="2E74B5" w:themeColor="accent1" w:themeShade="BF"/>
                <w:sz w:val="24"/>
                <w:szCs w:val="24"/>
              </w:rPr>
              <w:t xml:space="preserve">              COMISIONADO </w:t>
            </w:r>
          </w:p>
          <w:p w:rsidR="00EE0D15" w:rsidRPr="00D61397" w:rsidRDefault="00EE0D15" w:rsidP="00A24C95">
            <w:pPr>
              <w:spacing w:after="0" w:line="276" w:lineRule="auto"/>
              <w:ind w:left="360" w:firstLine="708"/>
              <w:jc w:val="center"/>
              <w:rPr>
                <w:rFonts w:ascii="Arial" w:eastAsia="Arial Unicode MS" w:hAnsi="Arial" w:cs="Arial"/>
                <w:b/>
                <w:color w:val="2E74B5" w:themeColor="accent1" w:themeShade="BF"/>
                <w:sz w:val="24"/>
                <w:szCs w:val="24"/>
              </w:rPr>
            </w:pPr>
          </w:p>
          <w:p w:rsidR="00EE0D15" w:rsidRPr="00D61397" w:rsidRDefault="00EE0D15" w:rsidP="00A24C95">
            <w:pPr>
              <w:spacing w:after="0" w:line="276" w:lineRule="auto"/>
              <w:ind w:left="360" w:firstLine="708"/>
              <w:jc w:val="center"/>
              <w:rPr>
                <w:rFonts w:ascii="Arial" w:eastAsia="Arial Unicode MS" w:hAnsi="Arial" w:cs="Arial"/>
                <w:b/>
                <w:color w:val="2E74B5" w:themeColor="accent1" w:themeShade="BF"/>
                <w:sz w:val="24"/>
                <w:szCs w:val="24"/>
              </w:rPr>
            </w:pPr>
          </w:p>
          <w:p w:rsidR="00EE0D15" w:rsidRPr="00D61397" w:rsidRDefault="00EE0D15" w:rsidP="00A24C95">
            <w:pPr>
              <w:spacing w:after="0" w:line="276" w:lineRule="auto"/>
              <w:rPr>
                <w:rFonts w:ascii="Arial" w:eastAsia="Arial Unicode MS" w:hAnsi="Arial" w:cs="Arial"/>
                <w:b/>
                <w:color w:val="2E74B5" w:themeColor="accent1" w:themeShade="BF"/>
                <w:sz w:val="24"/>
                <w:szCs w:val="24"/>
              </w:rPr>
            </w:pPr>
            <w:r w:rsidRPr="00D61397">
              <w:rPr>
                <w:rFonts w:ascii="Arial" w:eastAsia="Arial Unicode MS" w:hAnsi="Arial" w:cs="Arial"/>
                <w:b/>
                <w:color w:val="2E74B5" w:themeColor="accent1" w:themeShade="BF"/>
                <w:sz w:val="24"/>
                <w:szCs w:val="24"/>
              </w:rPr>
              <w:t xml:space="preserve">                     MTRO. ALEJANDRO </w:t>
            </w:r>
          </w:p>
          <w:p w:rsidR="00EE0D15" w:rsidRPr="00D61397" w:rsidRDefault="00EE0D15" w:rsidP="00A24C95">
            <w:pPr>
              <w:pStyle w:val="corte4fondo"/>
              <w:tabs>
                <w:tab w:val="left" w:pos="567"/>
              </w:tabs>
              <w:spacing w:line="276" w:lineRule="auto"/>
              <w:ind w:firstLine="0"/>
              <w:rPr>
                <w:rFonts w:cs="Arial"/>
                <w:i/>
                <w:color w:val="2E74B5" w:themeColor="accent1" w:themeShade="BF"/>
                <w:sz w:val="10"/>
                <w:szCs w:val="10"/>
              </w:rPr>
            </w:pPr>
            <w:r w:rsidRPr="00D61397">
              <w:rPr>
                <w:rFonts w:eastAsia="Arial Unicode MS" w:cs="Arial"/>
                <w:b/>
                <w:color w:val="2E74B5" w:themeColor="accent1" w:themeShade="BF"/>
                <w:sz w:val="24"/>
                <w:szCs w:val="24"/>
              </w:rPr>
              <w:t xml:space="preserve">                    LAFUENTE TORRES</w:t>
            </w:r>
          </w:p>
          <w:p w:rsidR="00EE0D15" w:rsidRPr="00D61397" w:rsidRDefault="00EE0D15" w:rsidP="00A24C95">
            <w:pPr>
              <w:spacing w:after="0" w:line="276" w:lineRule="auto"/>
              <w:ind w:left="360" w:firstLine="708"/>
              <w:jc w:val="center"/>
              <w:rPr>
                <w:rFonts w:ascii="Arial" w:eastAsia="Arial Unicode MS" w:hAnsi="Arial" w:cs="Arial"/>
                <w:b/>
                <w:color w:val="2E74B5" w:themeColor="accent1" w:themeShade="BF"/>
                <w:sz w:val="24"/>
                <w:szCs w:val="24"/>
              </w:rPr>
            </w:pPr>
          </w:p>
          <w:p w:rsidR="00EE0D15" w:rsidRPr="00D61397" w:rsidRDefault="00EE0D15" w:rsidP="00A24C95">
            <w:pPr>
              <w:pStyle w:val="corte4fondo"/>
              <w:tabs>
                <w:tab w:val="left" w:pos="567"/>
              </w:tabs>
              <w:spacing w:line="276" w:lineRule="auto"/>
              <w:ind w:firstLine="0"/>
              <w:rPr>
                <w:rFonts w:eastAsia="Arial Unicode MS" w:cs="Arial"/>
                <w:b/>
                <w:color w:val="2E74B5" w:themeColor="accent1" w:themeShade="BF"/>
                <w:sz w:val="24"/>
                <w:szCs w:val="24"/>
              </w:rPr>
            </w:pPr>
          </w:p>
        </w:tc>
      </w:tr>
      <w:tr w:rsidR="00D61397" w:rsidRPr="00D61397" w:rsidTr="008741EF">
        <w:trPr>
          <w:trHeight w:val="2085"/>
          <w:jc w:val="center"/>
        </w:trPr>
        <w:tc>
          <w:tcPr>
            <w:tcW w:w="4552" w:type="dxa"/>
          </w:tcPr>
          <w:p w:rsidR="00EE0D15" w:rsidRPr="00D61397" w:rsidRDefault="00354E2B" w:rsidP="00A24C95">
            <w:pPr>
              <w:spacing w:after="0" w:line="276" w:lineRule="auto"/>
              <w:ind w:left="360" w:hanging="360"/>
              <w:jc w:val="center"/>
              <w:rPr>
                <w:rFonts w:ascii="Arial" w:eastAsia="Arial Unicode MS" w:hAnsi="Arial" w:cs="Arial"/>
                <w:b/>
                <w:color w:val="2E74B5" w:themeColor="accent1" w:themeShade="BF"/>
                <w:sz w:val="24"/>
                <w:szCs w:val="24"/>
              </w:rPr>
            </w:pPr>
            <w:r>
              <w:rPr>
                <w:rFonts w:ascii="Arial" w:eastAsia="Arial Unicode MS" w:hAnsi="Arial" w:cs="Arial"/>
                <w:b/>
                <w:color w:val="2E74B5" w:themeColor="accent1" w:themeShade="BF"/>
                <w:sz w:val="24"/>
                <w:szCs w:val="24"/>
              </w:rPr>
              <w:t>COMISIONADA PRESIDENTE</w:t>
            </w:r>
          </w:p>
          <w:p w:rsidR="00EE0D15" w:rsidRPr="00D61397" w:rsidRDefault="00EE0D15" w:rsidP="00A24C95">
            <w:pPr>
              <w:spacing w:after="0" w:line="276" w:lineRule="auto"/>
              <w:ind w:left="360"/>
              <w:rPr>
                <w:rFonts w:ascii="Arial" w:eastAsia="Arial Unicode MS" w:hAnsi="Arial" w:cs="Arial"/>
                <w:b/>
                <w:color w:val="2E74B5" w:themeColor="accent1" w:themeShade="BF"/>
                <w:sz w:val="24"/>
                <w:szCs w:val="24"/>
              </w:rPr>
            </w:pPr>
          </w:p>
          <w:p w:rsidR="00EE0D15" w:rsidRPr="00D61397" w:rsidRDefault="00EE0D15" w:rsidP="00A24C95">
            <w:pPr>
              <w:spacing w:after="0" w:line="276" w:lineRule="auto"/>
              <w:ind w:left="360"/>
              <w:rPr>
                <w:rFonts w:ascii="Arial" w:eastAsia="Arial Unicode MS" w:hAnsi="Arial" w:cs="Arial"/>
                <w:b/>
                <w:color w:val="2E74B5" w:themeColor="accent1" w:themeShade="BF"/>
                <w:sz w:val="24"/>
                <w:szCs w:val="24"/>
              </w:rPr>
            </w:pPr>
          </w:p>
          <w:p w:rsidR="00EE0D15" w:rsidRPr="00D61397" w:rsidRDefault="00EE0D15" w:rsidP="00A24C95">
            <w:pPr>
              <w:spacing w:after="0" w:line="276" w:lineRule="auto"/>
              <w:ind w:left="360"/>
              <w:rPr>
                <w:rFonts w:ascii="Arial" w:eastAsia="Arial Unicode MS" w:hAnsi="Arial" w:cs="Arial"/>
                <w:b/>
                <w:color w:val="2E74B5" w:themeColor="accent1" w:themeShade="BF"/>
                <w:sz w:val="24"/>
                <w:szCs w:val="24"/>
              </w:rPr>
            </w:pPr>
          </w:p>
          <w:p w:rsidR="00EE0D15" w:rsidRPr="00D61397" w:rsidRDefault="00EE0D15" w:rsidP="00A24C95">
            <w:pPr>
              <w:spacing w:after="0" w:line="276" w:lineRule="auto"/>
              <w:jc w:val="center"/>
              <w:rPr>
                <w:rFonts w:ascii="Arial" w:eastAsia="Arial Unicode MS" w:hAnsi="Arial" w:cs="Arial"/>
                <w:b/>
                <w:color w:val="2E74B5" w:themeColor="accent1" w:themeShade="BF"/>
                <w:sz w:val="24"/>
                <w:szCs w:val="24"/>
              </w:rPr>
            </w:pPr>
            <w:r w:rsidRPr="00D61397">
              <w:rPr>
                <w:rFonts w:ascii="Arial" w:eastAsia="Arial Unicode MS" w:hAnsi="Arial" w:cs="Arial"/>
                <w:b/>
                <w:color w:val="2E74B5" w:themeColor="accent1" w:themeShade="BF"/>
                <w:sz w:val="24"/>
                <w:szCs w:val="24"/>
              </w:rPr>
              <w:t xml:space="preserve">LIC. PAULINA SÁNCHEZ </w:t>
            </w:r>
          </w:p>
          <w:p w:rsidR="00EE0D15" w:rsidRPr="00D61397" w:rsidRDefault="00EE0D15" w:rsidP="00A24C95">
            <w:pPr>
              <w:spacing w:after="0" w:line="276" w:lineRule="auto"/>
              <w:jc w:val="center"/>
              <w:rPr>
                <w:rFonts w:ascii="Arial" w:eastAsia="Arial Unicode MS" w:hAnsi="Arial" w:cs="Arial"/>
                <w:b/>
                <w:color w:val="2E74B5" w:themeColor="accent1" w:themeShade="BF"/>
                <w:sz w:val="24"/>
                <w:szCs w:val="24"/>
              </w:rPr>
            </w:pPr>
            <w:r w:rsidRPr="00D61397">
              <w:rPr>
                <w:rFonts w:ascii="Arial" w:eastAsia="Arial Unicode MS" w:hAnsi="Arial" w:cs="Arial"/>
                <w:b/>
                <w:color w:val="2E74B5" w:themeColor="accent1" w:themeShade="BF"/>
                <w:sz w:val="24"/>
                <w:szCs w:val="24"/>
              </w:rPr>
              <w:t>PÉREZ DEL POZO</w:t>
            </w:r>
          </w:p>
          <w:p w:rsidR="00EE0D15" w:rsidRPr="00D61397" w:rsidRDefault="00EE0D15" w:rsidP="00A24C95">
            <w:pPr>
              <w:spacing w:after="0" w:line="276" w:lineRule="auto"/>
              <w:ind w:left="360" w:firstLine="36"/>
              <w:jc w:val="center"/>
              <w:rPr>
                <w:rFonts w:ascii="Arial" w:eastAsia="Arial Unicode MS" w:hAnsi="Arial" w:cs="Arial"/>
                <w:b/>
                <w:color w:val="2E74B5" w:themeColor="accent1" w:themeShade="BF"/>
                <w:sz w:val="24"/>
                <w:szCs w:val="24"/>
              </w:rPr>
            </w:pPr>
          </w:p>
        </w:tc>
        <w:tc>
          <w:tcPr>
            <w:tcW w:w="334" w:type="dxa"/>
            <w:gridSpan w:val="2"/>
          </w:tcPr>
          <w:p w:rsidR="00EE0D15" w:rsidRPr="00D61397" w:rsidRDefault="00EE0D15" w:rsidP="00A24C95">
            <w:pPr>
              <w:spacing w:after="0" w:line="276" w:lineRule="auto"/>
              <w:ind w:left="360" w:firstLine="708"/>
              <w:jc w:val="center"/>
              <w:rPr>
                <w:rFonts w:ascii="Arial" w:eastAsia="Arial Unicode MS" w:hAnsi="Arial" w:cs="Arial"/>
                <w:b/>
                <w:color w:val="2E74B5" w:themeColor="accent1" w:themeShade="BF"/>
                <w:sz w:val="24"/>
                <w:szCs w:val="24"/>
              </w:rPr>
            </w:pPr>
          </w:p>
        </w:tc>
        <w:tc>
          <w:tcPr>
            <w:tcW w:w="5014" w:type="dxa"/>
          </w:tcPr>
          <w:p w:rsidR="00EE0D15" w:rsidRPr="00D61397" w:rsidRDefault="00EE0D15" w:rsidP="00A24C95">
            <w:pPr>
              <w:spacing w:after="0" w:line="276" w:lineRule="auto"/>
              <w:ind w:left="360" w:firstLine="708"/>
              <w:rPr>
                <w:rFonts w:ascii="Arial" w:eastAsia="Arial Unicode MS" w:hAnsi="Arial" w:cs="Arial"/>
                <w:b/>
                <w:color w:val="2E74B5" w:themeColor="accent1" w:themeShade="BF"/>
                <w:sz w:val="24"/>
                <w:szCs w:val="24"/>
              </w:rPr>
            </w:pPr>
            <w:r w:rsidRPr="00D61397">
              <w:rPr>
                <w:rFonts w:ascii="Arial" w:eastAsia="Arial Unicode MS" w:hAnsi="Arial" w:cs="Arial"/>
                <w:b/>
                <w:color w:val="2E74B5" w:themeColor="accent1" w:themeShade="BF"/>
                <w:sz w:val="24"/>
                <w:szCs w:val="24"/>
              </w:rPr>
              <w:t>SECRETARIA DE PLENO</w:t>
            </w:r>
          </w:p>
          <w:p w:rsidR="00EE0D15" w:rsidRPr="00D61397" w:rsidRDefault="00EE0D15" w:rsidP="00A24C95">
            <w:pPr>
              <w:spacing w:after="0" w:line="276" w:lineRule="auto"/>
              <w:ind w:left="360" w:firstLine="708"/>
              <w:jc w:val="center"/>
              <w:rPr>
                <w:rFonts w:ascii="Arial" w:eastAsia="Arial Unicode MS" w:hAnsi="Arial" w:cs="Arial"/>
                <w:b/>
                <w:color w:val="2E74B5" w:themeColor="accent1" w:themeShade="BF"/>
                <w:sz w:val="24"/>
                <w:szCs w:val="24"/>
              </w:rPr>
            </w:pPr>
          </w:p>
          <w:p w:rsidR="00EE0D15" w:rsidRPr="00D61397" w:rsidRDefault="00EE0D15" w:rsidP="00A24C95">
            <w:pPr>
              <w:spacing w:after="0" w:line="276" w:lineRule="auto"/>
              <w:ind w:left="360" w:firstLine="708"/>
              <w:jc w:val="center"/>
              <w:rPr>
                <w:rFonts w:ascii="Arial" w:eastAsia="Arial Unicode MS" w:hAnsi="Arial" w:cs="Arial"/>
                <w:b/>
                <w:color w:val="2E74B5" w:themeColor="accent1" w:themeShade="BF"/>
                <w:sz w:val="24"/>
                <w:szCs w:val="24"/>
              </w:rPr>
            </w:pPr>
          </w:p>
          <w:p w:rsidR="00EE0D15" w:rsidRPr="00D61397" w:rsidRDefault="00EE0D15" w:rsidP="00A24C95">
            <w:pPr>
              <w:spacing w:after="0" w:line="276" w:lineRule="auto"/>
              <w:ind w:left="360" w:firstLine="708"/>
              <w:jc w:val="center"/>
              <w:rPr>
                <w:rFonts w:ascii="Arial" w:eastAsia="Arial Unicode MS" w:hAnsi="Arial" w:cs="Arial"/>
                <w:b/>
                <w:color w:val="2E74B5" w:themeColor="accent1" w:themeShade="BF"/>
                <w:sz w:val="24"/>
                <w:szCs w:val="24"/>
              </w:rPr>
            </w:pPr>
          </w:p>
          <w:p w:rsidR="00EE0D15" w:rsidRPr="00D61397" w:rsidRDefault="00EE0D15" w:rsidP="00A24C95">
            <w:pPr>
              <w:spacing w:after="0" w:line="276" w:lineRule="auto"/>
              <w:ind w:left="360" w:hanging="360"/>
              <w:jc w:val="center"/>
              <w:rPr>
                <w:rFonts w:ascii="Arial" w:eastAsia="Arial Unicode MS" w:hAnsi="Arial" w:cs="Arial"/>
                <w:b/>
                <w:color w:val="2E74B5" w:themeColor="accent1" w:themeShade="BF"/>
                <w:sz w:val="24"/>
                <w:szCs w:val="24"/>
              </w:rPr>
            </w:pPr>
            <w:r w:rsidRPr="00D61397">
              <w:rPr>
                <w:rFonts w:ascii="Arial" w:eastAsia="Arial Unicode MS" w:hAnsi="Arial" w:cs="Arial"/>
                <w:b/>
                <w:color w:val="2E74B5" w:themeColor="accent1" w:themeShade="BF"/>
                <w:sz w:val="24"/>
                <w:szCs w:val="24"/>
              </w:rPr>
              <w:t xml:space="preserve">LIC. ROSA MARÍA MOTILLA GARCÍA </w:t>
            </w:r>
          </w:p>
        </w:tc>
      </w:tr>
    </w:tbl>
    <w:p w:rsidR="00EE0D15" w:rsidRPr="00D61397" w:rsidRDefault="00EE0D15" w:rsidP="00C52C5F">
      <w:pPr>
        <w:pStyle w:val="corte4fondo"/>
        <w:tabs>
          <w:tab w:val="left" w:pos="567"/>
        </w:tabs>
        <w:spacing w:line="276" w:lineRule="auto"/>
        <w:ind w:firstLine="0"/>
        <w:rPr>
          <w:rFonts w:cs="Arial"/>
          <w:color w:val="2E74B5" w:themeColor="accent1" w:themeShade="BF"/>
          <w:sz w:val="24"/>
          <w:szCs w:val="24"/>
        </w:rPr>
      </w:pPr>
      <w:r w:rsidRPr="00D61397">
        <w:rPr>
          <w:rFonts w:cs="Arial"/>
          <w:color w:val="2E74B5" w:themeColor="accent1" w:themeShade="BF"/>
          <w:sz w:val="10"/>
          <w:szCs w:val="10"/>
        </w:rPr>
        <w:t>*</w:t>
      </w:r>
      <w:r w:rsidR="00354E2B" w:rsidRPr="00D61397">
        <w:rPr>
          <w:rFonts w:cs="Arial"/>
          <w:color w:val="2E74B5" w:themeColor="accent1" w:themeShade="BF"/>
          <w:sz w:val="10"/>
          <w:szCs w:val="10"/>
        </w:rPr>
        <w:t xml:space="preserve">ESTAS FIRMAS PERTENECEN A </w:t>
      </w:r>
      <w:r w:rsidR="00354E2B">
        <w:rPr>
          <w:rFonts w:cs="Arial"/>
          <w:color w:val="2E74B5" w:themeColor="accent1" w:themeShade="BF"/>
          <w:sz w:val="10"/>
          <w:szCs w:val="10"/>
        </w:rPr>
        <w:t>LA RESOLUCIÓN DE LA REVISIÓN 524</w:t>
      </w:r>
      <w:r w:rsidR="00354E2B" w:rsidRPr="00D61397">
        <w:rPr>
          <w:rFonts w:cs="Arial"/>
          <w:color w:val="2E74B5" w:themeColor="accent1" w:themeShade="BF"/>
          <w:sz w:val="10"/>
          <w:szCs w:val="10"/>
        </w:rPr>
        <w:t xml:space="preserve">/2018-2 QUE FUE INTERPUESTO CONTRA LA </w:t>
      </w:r>
      <w:r w:rsidR="00354E2B" w:rsidRPr="00D61397">
        <w:rPr>
          <w:rFonts w:cs="Arial"/>
          <w:color w:val="2E74B5" w:themeColor="accent1" w:themeShade="BF"/>
          <w:sz w:val="10"/>
          <w:szCs w:val="10"/>
          <w:lang w:val="es-MX"/>
        </w:rPr>
        <w:t xml:space="preserve"> COMISIÓN ESTATAL DE GARANTÍA DE ACCESO A LA INFORMACÓIN PUBLICA </w:t>
      </w:r>
      <w:r w:rsidR="00354E2B" w:rsidRPr="00D61397">
        <w:rPr>
          <w:rFonts w:cs="Arial"/>
          <w:color w:val="2E74B5" w:themeColor="accent1" w:themeShade="BF"/>
          <w:sz w:val="10"/>
          <w:szCs w:val="10"/>
        </w:rPr>
        <w:t xml:space="preserve">Y QUE FUE APROBADA EN LA SESIÓN EXTRAORDINARIA DEL </w:t>
      </w:r>
      <w:r w:rsidR="00354E2B">
        <w:rPr>
          <w:rFonts w:cs="Arial"/>
          <w:color w:val="2E74B5" w:themeColor="accent1" w:themeShade="BF"/>
          <w:sz w:val="10"/>
          <w:szCs w:val="10"/>
          <w:lang w:val="es-MX"/>
        </w:rPr>
        <w:t xml:space="preserve">12 DOCE DE SEPTIEMBRE </w:t>
      </w:r>
      <w:r w:rsidR="00354E2B" w:rsidRPr="00D61397">
        <w:rPr>
          <w:rFonts w:cs="Arial"/>
          <w:color w:val="2E74B5" w:themeColor="accent1" w:themeShade="BF"/>
          <w:sz w:val="10"/>
          <w:szCs w:val="10"/>
        </w:rPr>
        <w:t>DE 2018 DOS MIL DIECIOCHO.</w:t>
      </w:r>
      <w:r w:rsidR="00C52C5F">
        <w:rPr>
          <w:rFonts w:cs="Arial"/>
          <w:color w:val="2E74B5" w:themeColor="accent1" w:themeShade="BF"/>
          <w:sz w:val="10"/>
          <w:szCs w:val="10"/>
          <w:lang w:val="es-MX"/>
        </w:rPr>
        <w:t xml:space="preserve">     </w:t>
      </w:r>
      <w:bookmarkStart w:id="0" w:name="_GoBack"/>
      <w:bookmarkEnd w:id="0"/>
      <w:r w:rsidR="00C52C5F">
        <w:rPr>
          <w:rFonts w:cs="Arial"/>
          <w:color w:val="2E74B5" w:themeColor="accent1" w:themeShade="BF"/>
          <w:sz w:val="10"/>
          <w:szCs w:val="10"/>
          <w:lang w:val="es-MX"/>
        </w:rPr>
        <w:t xml:space="preserve">                                                                                   </w:t>
      </w:r>
      <w:r w:rsidRPr="00D61397">
        <w:rPr>
          <w:rFonts w:cs="Arial"/>
          <w:i/>
          <w:color w:val="2E74B5" w:themeColor="accent1" w:themeShade="BF"/>
          <w:sz w:val="10"/>
          <w:szCs w:val="10"/>
        </w:rPr>
        <w:t xml:space="preserve">L/MEMH </w:t>
      </w:r>
    </w:p>
    <w:tbl>
      <w:tblPr>
        <w:tblW w:w="9900" w:type="dxa"/>
        <w:jc w:val="center"/>
        <w:tblLook w:val="01E0" w:firstRow="1" w:lastRow="1" w:firstColumn="1" w:lastColumn="1" w:noHBand="0" w:noVBand="0"/>
      </w:tblPr>
      <w:tblGrid>
        <w:gridCol w:w="4552"/>
        <w:gridCol w:w="334"/>
        <w:gridCol w:w="5014"/>
      </w:tblGrid>
      <w:tr w:rsidR="00D61397" w:rsidRPr="00D61397" w:rsidTr="008741EF">
        <w:trPr>
          <w:trHeight w:val="2085"/>
          <w:jc w:val="center"/>
        </w:trPr>
        <w:tc>
          <w:tcPr>
            <w:tcW w:w="4552" w:type="dxa"/>
          </w:tcPr>
          <w:p w:rsidR="00EE0D15" w:rsidRPr="00D61397" w:rsidRDefault="00EE0D15" w:rsidP="00A24C95">
            <w:pPr>
              <w:spacing w:after="0" w:line="276" w:lineRule="auto"/>
              <w:rPr>
                <w:rFonts w:ascii="Arial" w:eastAsia="Arial Unicode MS" w:hAnsi="Arial" w:cs="Arial"/>
                <w:b/>
                <w:color w:val="2E74B5" w:themeColor="accent1" w:themeShade="BF"/>
                <w:sz w:val="10"/>
                <w:szCs w:val="10"/>
              </w:rPr>
            </w:pPr>
          </w:p>
        </w:tc>
        <w:tc>
          <w:tcPr>
            <w:tcW w:w="334" w:type="dxa"/>
          </w:tcPr>
          <w:p w:rsidR="00EE0D15" w:rsidRPr="00D61397" w:rsidRDefault="00EE0D15" w:rsidP="00A24C95">
            <w:pPr>
              <w:spacing w:after="0" w:line="276" w:lineRule="auto"/>
              <w:ind w:left="360" w:firstLine="708"/>
              <w:jc w:val="center"/>
              <w:rPr>
                <w:rFonts w:ascii="Arial" w:eastAsia="Arial Unicode MS" w:hAnsi="Arial" w:cs="Arial"/>
                <w:b/>
                <w:color w:val="2E74B5" w:themeColor="accent1" w:themeShade="BF"/>
                <w:sz w:val="24"/>
                <w:szCs w:val="24"/>
              </w:rPr>
            </w:pPr>
          </w:p>
        </w:tc>
        <w:tc>
          <w:tcPr>
            <w:tcW w:w="5014" w:type="dxa"/>
          </w:tcPr>
          <w:p w:rsidR="00EE0D15" w:rsidRPr="00D61397" w:rsidRDefault="00EE0D15" w:rsidP="00A24C95">
            <w:pPr>
              <w:spacing w:after="0" w:line="276" w:lineRule="auto"/>
              <w:ind w:left="360" w:hanging="360"/>
              <w:jc w:val="center"/>
              <w:rPr>
                <w:rFonts w:ascii="Arial" w:eastAsia="Arial Unicode MS" w:hAnsi="Arial" w:cs="Arial"/>
                <w:b/>
                <w:color w:val="2E74B5" w:themeColor="accent1" w:themeShade="BF"/>
                <w:sz w:val="24"/>
                <w:szCs w:val="24"/>
              </w:rPr>
            </w:pPr>
          </w:p>
        </w:tc>
      </w:tr>
    </w:tbl>
    <w:p w:rsidR="00EE0D15" w:rsidRPr="00D61397" w:rsidRDefault="00EE0D15" w:rsidP="00A24C95">
      <w:pPr>
        <w:pStyle w:val="corte4fondo"/>
        <w:tabs>
          <w:tab w:val="left" w:pos="567"/>
        </w:tabs>
        <w:spacing w:line="276" w:lineRule="auto"/>
        <w:rPr>
          <w:rFonts w:eastAsia="Arial Unicode MS" w:cs="Arial"/>
          <w:color w:val="2E74B5" w:themeColor="accent1" w:themeShade="BF"/>
          <w:sz w:val="24"/>
          <w:szCs w:val="24"/>
          <w:lang w:val="es-MX"/>
        </w:rPr>
      </w:pPr>
    </w:p>
    <w:p w:rsidR="00EE0D15" w:rsidRPr="00D61397" w:rsidRDefault="00EE0D15" w:rsidP="00A24C95">
      <w:pPr>
        <w:pStyle w:val="corte4fondo"/>
        <w:spacing w:line="276" w:lineRule="auto"/>
        <w:rPr>
          <w:rFonts w:cs="Arial"/>
          <w:i/>
          <w:color w:val="2E74B5" w:themeColor="accent1" w:themeShade="BF"/>
          <w:sz w:val="20"/>
          <w:lang w:val="es-MX"/>
        </w:rPr>
      </w:pPr>
    </w:p>
    <w:p w:rsidR="00EE0D15" w:rsidRPr="00D61397" w:rsidRDefault="00EE0D15" w:rsidP="00A24C95">
      <w:pPr>
        <w:pStyle w:val="corte4fondo"/>
        <w:spacing w:line="276" w:lineRule="auto"/>
        <w:rPr>
          <w:rFonts w:cs="Arial"/>
          <w:i/>
          <w:color w:val="2E74B5" w:themeColor="accent1" w:themeShade="BF"/>
          <w:sz w:val="20"/>
          <w:lang w:val="es-MX"/>
        </w:rPr>
      </w:pPr>
    </w:p>
    <w:p w:rsidR="00EE0D15" w:rsidRPr="00D61397" w:rsidRDefault="00EE0D15" w:rsidP="00A24C95">
      <w:pPr>
        <w:pStyle w:val="corte4fondo"/>
        <w:spacing w:line="276" w:lineRule="auto"/>
        <w:rPr>
          <w:rFonts w:cs="Arial"/>
          <w:i/>
          <w:color w:val="2E74B5" w:themeColor="accent1" w:themeShade="BF"/>
          <w:sz w:val="20"/>
          <w:lang w:val="es-MX"/>
        </w:rPr>
      </w:pPr>
    </w:p>
    <w:p w:rsidR="00EE0D15" w:rsidRPr="00D61397" w:rsidRDefault="00EE0D15" w:rsidP="00A24C95">
      <w:pPr>
        <w:spacing w:after="0" w:line="276" w:lineRule="auto"/>
        <w:rPr>
          <w:rFonts w:ascii="Arial" w:hAnsi="Arial" w:cs="Arial"/>
          <w:color w:val="2E74B5" w:themeColor="accent1" w:themeShade="BF"/>
        </w:rPr>
      </w:pPr>
    </w:p>
    <w:p w:rsidR="00EE0D15" w:rsidRPr="00D61397" w:rsidRDefault="00EE0D15" w:rsidP="00A24C95">
      <w:pPr>
        <w:spacing w:after="0" w:line="276" w:lineRule="auto"/>
        <w:rPr>
          <w:rFonts w:ascii="Arial" w:hAnsi="Arial" w:cs="Arial"/>
          <w:color w:val="2E74B5" w:themeColor="accent1" w:themeShade="BF"/>
        </w:rPr>
      </w:pPr>
    </w:p>
    <w:p w:rsidR="00EE0D15" w:rsidRPr="00D61397" w:rsidRDefault="00EE0D15" w:rsidP="00A24C95">
      <w:pPr>
        <w:spacing w:after="0" w:line="276" w:lineRule="auto"/>
        <w:rPr>
          <w:rFonts w:ascii="Arial" w:hAnsi="Arial" w:cs="Arial"/>
          <w:color w:val="2E74B5" w:themeColor="accent1" w:themeShade="BF"/>
        </w:rPr>
      </w:pPr>
    </w:p>
    <w:p w:rsidR="00995B21" w:rsidRPr="00D61397" w:rsidRDefault="00995B21" w:rsidP="00A24C95">
      <w:pPr>
        <w:spacing w:after="0"/>
        <w:rPr>
          <w:color w:val="2E74B5" w:themeColor="accent1" w:themeShade="BF"/>
        </w:rPr>
      </w:pPr>
    </w:p>
    <w:sectPr w:rsidR="00995B21" w:rsidRPr="00D61397" w:rsidSect="00C52C5F">
      <w:headerReference w:type="default" r:id="rId9"/>
      <w:pgSz w:w="12240" w:h="20160" w:code="5"/>
      <w:pgMar w:top="2835" w:right="851" w:bottom="226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1881" w:rsidRDefault="00A41881" w:rsidP="00EE0D15">
      <w:pPr>
        <w:spacing w:after="0" w:line="240" w:lineRule="auto"/>
      </w:pPr>
      <w:r>
        <w:separator/>
      </w:r>
    </w:p>
  </w:endnote>
  <w:endnote w:type="continuationSeparator" w:id="0">
    <w:p w:rsidR="00A41881" w:rsidRDefault="00A41881" w:rsidP="00EE0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1881" w:rsidRDefault="00A41881" w:rsidP="00EE0D15">
      <w:pPr>
        <w:spacing w:after="0" w:line="240" w:lineRule="auto"/>
      </w:pPr>
      <w:r>
        <w:separator/>
      </w:r>
    </w:p>
  </w:footnote>
  <w:footnote w:type="continuationSeparator" w:id="0">
    <w:p w:rsidR="00A41881" w:rsidRDefault="00A41881" w:rsidP="00EE0D15">
      <w:pPr>
        <w:spacing w:after="0" w:line="240" w:lineRule="auto"/>
      </w:pPr>
      <w:r>
        <w:continuationSeparator/>
      </w:r>
    </w:p>
  </w:footnote>
  <w:footnote w:id="1">
    <w:p w:rsidR="00EE0D15" w:rsidRPr="00DA1577" w:rsidRDefault="00EE0D15" w:rsidP="00EE0D15">
      <w:pPr>
        <w:pStyle w:val="Textonotapie"/>
        <w:jc w:val="both"/>
        <w:rPr>
          <w:rFonts w:ascii="Arial" w:hAnsi="Arial" w:cs="Arial"/>
          <w:sz w:val="16"/>
          <w:szCs w:val="16"/>
        </w:rPr>
      </w:pPr>
      <w:r w:rsidRPr="007843EA">
        <w:rPr>
          <w:rStyle w:val="Refdenotaalpie"/>
          <w:rFonts w:ascii="Arial" w:hAnsi="Arial" w:cs="Arial"/>
          <w:color w:val="2E74B5" w:themeColor="accent1" w:themeShade="BF"/>
          <w:sz w:val="16"/>
          <w:szCs w:val="16"/>
        </w:rPr>
        <w:footnoteRef/>
      </w:r>
      <w:r w:rsidRPr="007843EA">
        <w:rPr>
          <w:rFonts w:ascii="Arial" w:hAnsi="Arial" w:cs="Arial"/>
          <w:color w:val="2E74B5" w:themeColor="accent1" w:themeShade="BF"/>
          <w:sz w:val="16"/>
          <w:szCs w:val="16"/>
        </w:rPr>
        <w:t xml:space="preserve"> Visible en la foja 1 de autos. </w:t>
      </w:r>
    </w:p>
  </w:footnote>
  <w:footnote w:id="2">
    <w:p w:rsidR="00EE0D15" w:rsidRDefault="00EE0D15" w:rsidP="00EE0D15">
      <w:pPr>
        <w:pStyle w:val="Textonotapie"/>
      </w:pPr>
      <w:r w:rsidRPr="001712D0">
        <w:rPr>
          <w:rStyle w:val="Refdenotaalpie"/>
        </w:rPr>
        <w:footnoteRef/>
      </w:r>
      <w:r w:rsidRPr="001712D0">
        <w:t xml:space="preserve"> </w:t>
      </w:r>
      <w:r w:rsidR="007843EA">
        <w:rPr>
          <w:rFonts w:ascii="Arial" w:hAnsi="Arial" w:cs="Arial"/>
          <w:sz w:val="16"/>
          <w:szCs w:val="16"/>
        </w:rPr>
        <w:t>Visible en la foja 1,4,5 y 6</w:t>
      </w:r>
      <w:r w:rsidRPr="001712D0">
        <w:rPr>
          <w:rFonts w:ascii="Arial" w:hAnsi="Arial" w:cs="Arial"/>
          <w:sz w:val="16"/>
          <w:szCs w:val="16"/>
        </w:rPr>
        <w:t xml:space="preserve"> de autos.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E02" w:rsidRPr="00D56598" w:rsidRDefault="00F07F52" w:rsidP="00020E02">
    <w:pPr>
      <w:pStyle w:val="Encabezado"/>
      <w:tabs>
        <w:tab w:val="clear" w:pos="4419"/>
        <w:tab w:val="left" w:pos="6804"/>
      </w:tabs>
      <w:jc w:val="right"/>
      <w:rPr>
        <w:rFonts w:ascii="Arial" w:hAnsi="Arial" w:cs="Arial"/>
        <w:color w:val="2E74B5" w:themeColor="accent1" w:themeShade="BF"/>
        <w:sz w:val="18"/>
        <w:szCs w:val="18"/>
      </w:rPr>
    </w:pPr>
    <w:r w:rsidRPr="00D56598">
      <w:rPr>
        <w:color w:val="2E74B5" w:themeColor="accent1" w:themeShade="BF"/>
      </w:rPr>
      <w:t xml:space="preserve">                                                                                                                    </w:t>
    </w:r>
    <w:r w:rsidRPr="00D56598">
      <w:rPr>
        <w:rFonts w:ascii="Arial" w:hAnsi="Arial" w:cs="Arial"/>
        <w:color w:val="2E74B5" w:themeColor="accent1" w:themeShade="BF"/>
      </w:rPr>
      <w:t xml:space="preserve">                                                                      </w:t>
    </w:r>
    <w:r w:rsidRPr="00D56598">
      <w:rPr>
        <w:rFonts w:ascii="Arial" w:hAnsi="Arial" w:cs="Arial"/>
        <w:color w:val="2E74B5" w:themeColor="accent1" w:themeShade="BF"/>
        <w:sz w:val="18"/>
        <w:szCs w:val="18"/>
      </w:rPr>
      <w:fldChar w:fldCharType="begin"/>
    </w:r>
    <w:r w:rsidRPr="00D56598">
      <w:rPr>
        <w:rFonts w:ascii="Arial" w:hAnsi="Arial" w:cs="Arial"/>
        <w:color w:val="2E74B5" w:themeColor="accent1" w:themeShade="BF"/>
        <w:sz w:val="18"/>
        <w:szCs w:val="18"/>
      </w:rPr>
      <w:instrText xml:space="preserve"> PAGE   \* MERGEFORMAT </w:instrText>
    </w:r>
    <w:r w:rsidRPr="00D56598">
      <w:rPr>
        <w:rFonts w:ascii="Arial" w:hAnsi="Arial" w:cs="Arial"/>
        <w:color w:val="2E74B5" w:themeColor="accent1" w:themeShade="BF"/>
        <w:sz w:val="18"/>
        <w:szCs w:val="18"/>
      </w:rPr>
      <w:fldChar w:fldCharType="separate"/>
    </w:r>
    <w:r w:rsidR="00C52C5F">
      <w:rPr>
        <w:rFonts w:ascii="Arial" w:hAnsi="Arial" w:cs="Arial"/>
        <w:noProof/>
        <w:color w:val="2E74B5" w:themeColor="accent1" w:themeShade="BF"/>
        <w:sz w:val="18"/>
        <w:szCs w:val="18"/>
      </w:rPr>
      <w:t>9</w:t>
    </w:r>
    <w:r w:rsidRPr="00D56598">
      <w:rPr>
        <w:rFonts w:ascii="Arial" w:hAnsi="Arial" w:cs="Arial"/>
        <w:color w:val="2E74B5" w:themeColor="accent1" w:themeShade="BF"/>
        <w:sz w:val="18"/>
        <w:szCs w:val="18"/>
      </w:rPr>
      <w:fldChar w:fldCharType="end"/>
    </w:r>
    <w:r w:rsidRPr="00D56598">
      <w:rPr>
        <w:rFonts w:ascii="Arial" w:hAnsi="Arial" w:cs="Arial"/>
        <w:color w:val="2E74B5" w:themeColor="accent1" w:themeShade="BF"/>
        <w:sz w:val="18"/>
        <w:szCs w:val="18"/>
      </w:rPr>
      <w:t xml:space="preserve">                                          </w:t>
    </w:r>
    <w:r w:rsidRPr="00D56598">
      <w:rPr>
        <w:rFonts w:ascii="Arial" w:hAnsi="Arial" w:cs="Arial"/>
        <w:b/>
        <w:color w:val="2E74B5" w:themeColor="accent1" w:themeShade="BF"/>
        <w:sz w:val="18"/>
        <w:szCs w:val="18"/>
      </w:rPr>
      <w:t xml:space="preserve">RECURSO DE REVISIÓN  </w:t>
    </w:r>
    <w:r w:rsidR="00EE0D15">
      <w:rPr>
        <w:rFonts w:ascii="Arial" w:hAnsi="Arial" w:cs="Arial"/>
        <w:b/>
        <w:color w:val="2E74B5" w:themeColor="accent1" w:themeShade="BF"/>
        <w:sz w:val="18"/>
        <w:szCs w:val="18"/>
      </w:rPr>
      <w:t>524</w:t>
    </w:r>
    <w:r w:rsidRPr="00D56598">
      <w:rPr>
        <w:rFonts w:ascii="Arial" w:hAnsi="Arial" w:cs="Arial"/>
        <w:b/>
        <w:color w:val="2E74B5" w:themeColor="accent1" w:themeShade="BF"/>
        <w:sz w:val="18"/>
        <w:szCs w:val="18"/>
      </w:rPr>
      <w:t>/2018</w:t>
    </w:r>
    <w:r>
      <w:rPr>
        <w:rFonts w:ascii="Arial" w:hAnsi="Arial" w:cs="Arial"/>
        <w:b/>
        <w:color w:val="2E74B5" w:themeColor="accent1" w:themeShade="BF"/>
        <w:sz w:val="18"/>
        <w:szCs w:val="18"/>
      </w:rPr>
      <w:t>-2</w:t>
    </w:r>
  </w:p>
  <w:p w:rsidR="00020E02" w:rsidRPr="00D56598" w:rsidRDefault="00F07F52">
    <w:pPr>
      <w:pStyle w:val="Encabezado"/>
      <w:rPr>
        <w:color w:val="2E74B5" w:themeColor="accent1" w:themeShade="BF"/>
      </w:rPr>
    </w:pPr>
    <w:r w:rsidRPr="00D56598">
      <w:rPr>
        <w:color w:val="2E74B5" w:themeColor="accent1" w:themeShade="BF"/>
      </w:rPr>
      <w:t xml:space="preserve">       </w:t>
    </w:r>
  </w:p>
  <w:p w:rsidR="00020E02" w:rsidRDefault="00A41881">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D15"/>
    <w:rsid w:val="000462C0"/>
    <w:rsid w:val="001012EC"/>
    <w:rsid w:val="001043EA"/>
    <w:rsid w:val="00354E2B"/>
    <w:rsid w:val="00465EC0"/>
    <w:rsid w:val="0047059E"/>
    <w:rsid w:val="004B6081"/>
    <w:rsid w:val="00524E95"/>
    <w:rsid w:val="007843EA"/>
    <w:rsid w:val="00790922"/>
    <w:rsid w:val="008437AC"/>
    <w:rsid w:val="00995B21"/>
    <w:rsid w:val="00A24C95"/>
    <w:rsid w:val="00A41881"/>
    <w:rsid w:val="00C463CE"/>
    <w:rsid w:val="00C52C5F"/>
    <w:rsid w:val="00D61397"/>
    <w:rsid w:val="00EE0D15"/>
    <w:rsid w:val="00F07F52"/>
    <w:rsid w:val="00FA0ABD"/>
    <w:rsid w:val="00FA129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A2D5"/>
  <w15:chartTrackingRefBased/>
  <w15:docId w15:val="{775250AC-920D-4D94-9065-0D07BAC14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0D15"/>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EE0D15"/>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EE0D15"/>
    <w:rPr>
      <w:rFonts w:ascii="Calibri" w:eastAsia="Calibri" w:hAnsi="Calibri" w:cs="Times New Roman"/>
      <w:sz w:val="20"/>
      <w:szCs w:val="20"/>
    </w:rPr>
  </w:style>
  <w:style w:type="paragraph" w:styleId="Encabezado">
    <w:name w:val="header"/>
    <w:basedOn w:val="Normal"/>
    <w:link w:val="EncabezadoCar"/>
    <w:unhideWhenUsed/>
    <w:rsid w:val="00EE0D15"/>
    <w:pPr>
      <w:tabs>
        <w:tab w:val="center" w:pos="4419"/>
        <w:tab w:val="right" w:pos="8838"/>
      </w:tabs>
      <w:spacing w:after="0" w:line="240" w:lineRule="auto"/>
    </w:pPr>
  </w:style>
  <w:style w:type="character" w:customStyle="1" w:styleId="EncabezadoCar">
    <w:name w:val="Encabezado Car"/>
    <w:basedOn w:val="Fuentedeprrafopredeter"/>
    <w:link w:val="Encabezado"/>
    <w:rsid w:val="00EE0D15"/>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EE0D15"/>
    <w:rPr>
      <w:vertAlign w:val="superscript"/>
    </w:rPr>
  </w:style>
  <w:style w:type="paragraph" w:customStyle="1" w:styleId="corte4fondo">
    <w:name w:val="corte4 fondo"/>
    <w:basedOn w:val="Normal"/>
    <w:link w:val="corte4fondoCar1"/>
    <w:qFormat/>
    <w:rsid w:val="00EE0D15"/>
    <w:pPr>
      <w:spacing w:after="0" w:line="360" w:lineRule="auto"/>
      <w:ind w:firstLine="709"/>
      <w:jc w:val="both"/>
    </w:pPr>
    <w:rPr>
      <w:rFonts w:ascii="Arial" w:eastAsia="Times New Roman" w:hAnsi="Arial"/>
      <w:sz w:val="30"/>
      <w:szCs w:val="20"/>
      <w:lang w:val="x-none" w:eastAsia="es-MX"/>
    </w:rPr>
  </w:style>
  <w:style w:type="character" w:customStyle="1" w:styleId="corte4fondoCar1">
    <w:name w:val="corte4 fondo Car1"/>
    <w:link w:val="corte4fondo"/>
    <w:rsid w:val="00EE0D15"/>
    <w:rPr>
      <w:rFonts w:ascii="Arial" w:eastAsia="Times New Roman" w:hAnsi="Arial" w:cs="Times New Roman"/>
      <w:sz w:val="30"/>
      <w:szCs w:val="20"/>
      <w:lang w:val="x-none" w:eastAsia="es-MX"/>
    </w:rPr>
  </w:style>
  <w:style w:type="paragraph" w:customStyle="1" w:styleId="Default">
    <w:name w:val="Default"/>
    <w:rsid w:val="00EE0D15"/>
    <w:pPr>
      <w:autoSpaceDE w:val="0"/>
      <w:autoSpaceDN w:val="0"/>
      <w:adjustRightInd w:val="0"/>
      <w:spacing w:after="0" w:line="240" w:lineRule="auto"/>
    </w:pPr>
    <w:rPr>
      <w:rFonts w:ascii="Arial" w:eastAsia="Calibri" w:hAnsi="Arial" w:cs="Arial"/>
      <w:color w:val="000000"/>
      <w:sz w:val="24"/>
      <w:szCs w:val="24"/>
      <w:lang w:eastAsia="es-MX"/>
    </w:rPr>
  </w:style>
  <w:style w:type="character" w:styleId="Hipervnculo">
    <w:name w:val="Hyperlink"/>
    <w:uiPriority w:val="99"/>
    <w:unhideWhenUsed/>
    <w:rsid w:val="00EE0D15"/>
    <w:rPr>
      <w:color w:val="0000FF"/>
      <w:u w:val="single"/>
    </w:rPr>
  </w:style>
  <w:style w:type="paragraph" w:styleId="Piedepgina">
    <w:name w:val="footer"/>
    <w:basedOn w:val="Normal"/>
    <w:link w:val="PiedepginaCar"/>
    <w:uiPriority w:val="99"/>
    <w:unhideWhenUsed/>
    <w:rsid w:val="00EE0D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0D1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844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9</Pages>
  <Words>3268</Words>
  <Characters>17978</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6</cp:revision>
  <dcterms:created xsi:type="dcterms:W3CDTF">2018-09-11T16:51:00Z</dcterms:created>
  <dcterms:modified xsi:type="dcterms:W3CDTF">2018-09-21T14:08:00Z</dcterms:modified>
</cp:coreProperties>
</file>