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D7B" w:rsidRPr="00A40225" w:rsidRDefault="00884D7B" w:rsidP="00A40225">
      <w:pPr>
        <w:pStyle w:val="corte1datos"/>
        <w:tabs>
          <w:tab w:val="left" w:pos="4820"/>
        </w:tabs>
        <w:spacing w:line="276" w:lineRule="auto"/>
        <w:jc w:val="right"/>
        <w:rPr>
          <w:rFonts w:cs="Arial"/>
          <w:color w:val="2E74B5" w:themeColor="accent1" w:themeShade="BF"/>
          <w:sz w:val="24"/>
          <w:szCs w:val="24"/>
          <w:lang w:val="es-MX"/>
        </w:rPr>
      </w:pPr>
      <w:r w:rsidRPr="00A40225">
        <w:rPr>
          <w:rFonts w:cs="Arial"/>
          <w:color w:val="2E74B5" w:themeColor="accent1" w:themeShade="BF"/>
          <w:sz w:val="24"/>
          <w:szCs w:val="24"/>
        </w:rPr>
        <w:t xml:space="preserve">RECURSO DE REVISIÓN  </w:t>
      </w:r>
      <w:r w:rsidRPr="00A40225">
        <w:rPr>
          <w:rFonts w:cs="Arial"/>
          <w:color w:val="2E74B5" w:themeColor="accent1" w:themeShade="BF"/>
          <w:sz w:val="24"/>
          <w:szCs w:val="24"/>
          <w:lang w:val="es-MX"/>
        </w:rPr>
        <w:t>506/</w:t>
      </w:r>
      <w:r w:rsidRPr="00A40225">
        <w:rPr>
          <w:rFonts w:cs="Arial"/>
          <w:color w:val="2E74B5" w:themeColor="accent1" w:themeShade="BF"/>
          <w:sz w:val="24"/>
          <w:szCs w:val="24"/>
        </w:rPr>
        <w:t>201</w:t>
      </w:r>
      <w:r w:rsidRPr="00A40225">
        <w:rPr>
          <w:rFonts w:cs="Arial"/>
          <w:color w:val="2E74B5" w:themeColor="accent1" w:themeShade="BF"/>
          <w:sz w:val="24"/>
          <w:szCs w:val="24"/>
          <w:lang w:val="es-MX"/>
        </w:rPr>
        <w:t>8-2</w:t>
      </w:r>
    </w:p>
    <w:p w:rsidR="00884D7B" w:rsidRPr="00A40225" w:rsidRDefault="00884D7B" w:rsidP="00A40225">
      <w:pPr>
        <w:pStyle w:val="corte1datos"/>
        <w:spacing w:line="276" w:lineRule="auto"/>
        <w:jc w:val="both"/>
        <w:rPr>
          <w:rFonts w:cs="Arial"/>
          <w:color w:val="2E74B5" w:themeColor="accent1" w:themeShade="BF"/>
          <w:sz w:val="24"/>
          <w:szCs w:val="24"/>
        </w:rPr>
      </w:pPr>
    </w:p>
    <w:p w:rsidR="00884D7B" w:rsidRPr="00A40225" w:rsidRDefault="00884D7B" w:rsidP="00A40225">
      <w:pPr>
        <w:pStyle w:val="corte1datos"/>
        <w:spacing w:line="276" w:lineRule="auto"/>
        <w:jc w:val="both"/>
        <w:rPr>
          <w:rFonts w:cs="Arial"/>
          <w:color w:val="2E74B5" w:themeColor="accent1" w:themeShade="BF"/>
          <w:sz w:val="24"/>
          <w:szCs w:val="24"/>
        </w:rPr>
      </w:pPr>
    </w:p>
    <w:p w:rsidR="00884D7B" w:rsidRPr="00A40225" w:rsidRDefault="00884D7B" w:rsidP="00A40225">
      <w:pPr>
        <w:spacing w:after="0"/>
        <w:ind w:left="2552"/>
        <w:jc w:val="both"/>
        <w:rPr>
          <w:rFonts w:ascii="Arial" w:eastAsia="Times New Roman" w:hAnsi="Arial" w:cs="Arial"/>
          <w:b/>
          <w:caps/>
          <w:color w:val="2E74B5" w:themeColor="accent1" w:themeShade="BF"/>
          <w:sz w:val="24"/>
          <w:szCs w:val="24"/>
          <w:lang w:eastAsia="es-MX"/>
        </w:rPr>
      </w:pPr>
    </w:p>
    <w:p w:rsidR="00884D7B" w:rsidRPr="00A40225" w:rsidRDefault="00884D7B" w:rsidP="00A40225">
      <w:pPr>
        <w:spacing w:after="0"/>
        <w:jc w:val="right"/>
        <w:rPr>
          <w:rFonts w:ascii="Arial" w:eastAsia="Times New Roman" w:hAnsi="Arial" w:cs="Arial"/>
          <w:b/>
          <w:caps/>
          <w:color w:val="2E74B5" w:themeColor="accent1" w:themeShade="BF"/>
          <w:sz w:val="24"/>
          <w:szCs w:val="24"/>
          <w:lang w:eastAsia="es-MX"/>
        </w:rPr>
      </w:pPr>
      <w:r w:rsidRPr="00A40225">
        <w:rPr>
          <w:rFonts w:ascii="Arial" w:eastAsia="Times New Roman" w:hAnsi="Arial" w:cs="Arial"/>
          <w:b/>
          <w:caps/>
          <w:color w:val="2E74B5" w:themeColor="accent1" w:themeShade="BF"/>
          <w:sz w:val="24"/>
          <w:szCs w:val="24"/>
          <w:lang w:eastAsia="es-MX"/>
        </w:rPr>
        <w:t xml:space="preserve">COMISIONADO PONENTE: </w:t>
      </w:r>
    </w:p>
    <w:p w:rsidR="00884D7B" w:rsidRPr="00A40225" w:rsidRDefault="00884D7B" w:rsidP="00A40225">
      <w:pPr>
        <w:spacing w:after="0"/>
        <w:jc w:val="right"/>
        <w:rPr>
          <w:rFonts w:ascii="Arial" w:eastAsia="Times New Roman" w:hAnsi="Arial" w:cs="Arial"/>
          <w:b/>
          <w:caps/>
          <w:color w:val="2E74B5" w:themeColor="accent1" w:themeShade="BF"/>
          <w:sz w:val="24"/>
          <w:szCs w:val="24"/>
          <w:lang w:eastAsia="es-MX"/>
        </w:rPr>
      </w:pPr>
      <w:r w:rsidRPr="00A40225">
        <w:rPr>
          <w:rFonts w:ascii="Arial" w:eastAsia="Times New Roman" w:hAnsi="Arial" w:cs="Arial"/>
          <w:b/>
          <w:caps/>
          <w:color w:val="2E74B5" w:themeColor="accent1" w:themeShade="BF"/>
          <w:sz w:val="24"/>
          <w:szCs w:val="24"/>
          <w:lang w:eastAsia="es-MX"/>
        </w:rPr>
        <w:t>pAULINA SÁNCHEZ PÉREZ DEL POZO</w:t>
      </w:r>
    </w:p>
    <w:p w:rsidR="00884D7B" w:rsidRPr="00A40225" w:rsidRDefault="00884D7B" w:rsidP="00A40225">
      <w:pPr>
        <w:spacing w:after="0"/>
        <w:jc w:val="right"/>
        <w:rPr>
          <w:rFonts w:ascii="Arial" w:eastAsia="Times New Roman" w:hAnsi="Arial" w:cs="Arial"/>
          <w:b/>
          <w:caps/>
          <w:color w:val="2E74B5" w:themeColor="accent1" w:themeShade="BF"/>
          <w:sz w:val="24"/>
          <w:szCs w:val="24"/>
          <w:lang w:eastAsia="es-MX"/>
        </w:rPr>
      </w:pPr>
    </w:p>
    <w:p w:rsidR="00884D7B" w:rsidRPr="00A40225" w:rsidRDefault="00884D7B" w:rsidP="00A40225">
      <w:pPr>
        <w:spacing w:after="0"/>
        <w:jc w:val="right"/>
        <w:rPr>
          <w:rFonts w:ascii="Arial" w:eastAsia="Times New Roman" w:hAnsi="Arial" w:cs="Arial"/>
          <w:b/>
          <w:caps/>
          <w:color w:val="2E74B5" w:themeColor="accent1" w:themeShade="BF"/>
          <w:sz w:val="24"/>
          <w:szCs w:val="24"/>
          <w:lang w:eastAsia="es-MX"/>
        </w:rPr>
      </w:pPr>
      <w:r w:rsidRPr="00A40225">
        <w:rPr>
          <w:rFonts w:ascii="Arial" w:eastAsia="Times New Roman" w:hAnsi="Arial" w:cs="Arial"/>
          <w:b/>
          <w:caps/>
          <w:color w:val="2E74B5" w:themeColor="accent1" w:themeShade="BF"/>
          <w:sz w:val="24"/>
          <w:szCs w:val="24"/>
          <w:lang w:eastAsia="es-MX"/>
        </w:rPr>
        <w:t>MATERIA:</w:t>
      </w:r>
    </w:p>
    <w:p w:rsidR="00884D7B" w:rsidRPr="00A40225" w:rsidRDefault="00884D7B" w:rsidP="00A40225">
      <w:pPr>
        <w:spacing w:after="0"/>
        <w:jc w:val="right"/>
        <w:rPr>
          <w:rFonts w:ascii="Arial" w:eastAsia="Times New Roman" w:hAnsi="Arial" w:cs="Arial"/>
          <w:b/>
          <w:caps/>
          <w:color w:val="2E74B5" w:themeColor="accent1" w:themeShade="BF"/>
          <w:sz w:val="24"/>
          <w:szCs w:val="24"/>
          <w:lang w:eastAsia="es-MX"/>
        </w:rPr>
      </w:pPr>
      <w:r w:rsidRPr="00A40225">
        <w:rPr>
          <w:rFonts w:ascii="Arial" w:eastAsia="Times New Roman" w:hAnsi="Arial" w:cs="Arial"/>
          <w:b/>
          <w:caps/>
          <w:color w:val="2E74B5" w:themeColor="accent1" w:themeShade="BF"/>
          <w:sz w:val="24"/>
          <w:szCs w:val="24"/>
          <w:lang w:eastAsia="es-MX"/>
        </w:rPr>
        <w:t>ACCESO A LA INFORMACIÓN PÚBLICA</w:t>
      </w:r>
    </w:p>
    <w:p w:rsidR="00884D7B" w:rsidRPr="00A40225" w:rsidRDefault="00884D7B" w:rsidP="00A40225">
      <w:pPr>
        <w:spacing w:after="0"/>
        <w:jc w:val="right"/>
        <w:rPr>
          <w:rFonts w:ascii="Arial" w:eastAsia="Times New Roman" w:hAnsi="Arial" w:cs="Arial"/>
          <w:b/>
          <w:caps/>
          <w:color w:val="2E74B5" w:themeColor="accent1" w:themeShade="BF"/>
          <w:sz w:val="24"/>
          <w:szCs w:val="24"/>
          <w:lang w:eastAsia="es-MX"/>
        </w:rPr>
      </w:pPr>
    </w:p>
    <w:p w:rsidR="00884D7B" w:rsidRPr="00A40225" w:rsidRDefault="00884D7B" w:rsidP="00A40225">
      <w:pPr>
        <w:spacing w:after="0"/>
        <w:jc w:val="right"/>
        <w:rPr>
          <w:rFonts w:ascii="Arial" w:eastAsia="Times New Roman" w:hAnsi="Arial" w:cs="Arial"/>
          <w:b/>
          <w:caps/>
          <w:color w:val="2E74B5" w:themeColor="accent1" w:themeShade="BF"/>
          <w:sz w:val="24"/>
          <w:szCs w:val="24"/>
          <w:lang w:eastAsia="es-MX"/>
        </w:rPr>
      </w:pPr>
      <w:r w:rsidRPr="00A40225">
        <w:rPr>
          <w:rFonts w:ascii="Arial" w:eastAsia="Times New Roman" w:hAnsi="Arial" w:cs="Arial"/>
          <w:b/>
          <w:color w:val="2E74B5" w:themeColor="accent1" w:themeShade="BF"/>
          <w:sz w:val="24"/>
          <w:szCs w:val="24"/>
          <w:lang w:eastAsia="es-MX"/>
        </w:rPr>
        <w:t>SUJETO OBLIGADO:</w:t>
      </w:r>
    </w:p>
    <w:p w:rsidR="00884D7B" w:rsidRPr="00A40225" w:rsidRDefault="00884D7B" w:rsidP="00A40225">
      <w:pPr>
        <w:spacing w:after="0"/>
        <w:jc w:val="right"/>
        <w:rPr>
          <w:rFonts w:cs="Arial"/>
          <w:color w:val="2E74B5" w:themeColor="accent1" w:themeShade="BF"/>
          <w:sz w:val="24"/>
          <w:szCs w:val="24"/>
        </w:rPr>
      </w:pPr>
      <w:r w:rsidRPr="00A40225">
        <w:rPr>
          <w:rFonts w:ascii="Arial" w:eastAsia="Times New Roman" w:hAnsi="Arial" w:cs="Arial"/>
          <w:b/>
          <w:color w:val="2E74B5" w:themeColor="accent1" w:themeShade="BF"/>
          <w:sz w:val="24"/>
          <w:szCs w:val="24"/>
          <w:lang w:eastAsia="es-MX"/>
        </w:rPr>
        <w:t>COMISIÓN ESTATAL DE GARANTÍA DE ACCESO A LA INFORMACIÓN PÚBLICA.</w:t>
      </w:r>
    </w:p>
    <w:p w:rsidR="00884D7B" w:rsidRPr="00A40225" w:rsidRDefault="00884D7B" w:rsidP="00A40225">
      <w:pPr>
        <w:pStyle w:val="corte2ponente"/>
        <w:spacing w:line="276" w:lineRule="auto"/>
        <w:rPr>
          <w:rFonts w:cs="Arial"/>
          <w:color w:val="2E74B5" w:themeColor="accent1" w:themeShade="BF"/>
          <w:sz w:val="24"/>
          <w:szCs w:val="24"/>
        </w:rPr>
      </w:pPr>
    </w:p>
    <w:p w:rsidR="00884D7B" w:rsidRPr="00A40225" w:rsidRDefault="00884D7B" w:rsidP="00A40225">
      <w:pPr>
        <w:spacing w:after="0"/>
        <w:rPr>
          <w:rFonts w:ascii="Arial" w:eastAsia="Times New Roman" w:hAnsi="Arial" w:cs="Arial"/>
          <w:b/>
          <w:caps/>
          <w:color w:val="2E74B5" w:themeColor="accent1" w:themeShade="BF"/>
          <w:sz w:val="24"/>
          <w:szCs w:val="24"/>
          <w:lang w:eastAsia="es-MX"/>
        </w:rPr>
      </w:pPr>
    </w:p>
    <w:p w:rsidR="00884D7B" w:rsidRPr="00A40225" w:rsidRDefault="00884D7B" w:rsidP="00A40225">
      <w:pPr>
        <w:spacing w:after="0"/>
        <w:rPr>
          <w:rFonts w:ascii="Arial" w:eastAsia="Times New Roman" w:hAnsi="Arial" w:cs="Arial"/>
          <w:b/>
          <w:caps/>
          <w:color w:val="2E74B5" w:themeColor="accent1" w:themeShade="BF"/>
          <w:sz w:val="24"/>
          <w:szCs w:val="24"/>
          <w:lang w:eastAsia="es-MX"/>
        </w:rPr>
      </w:pPr>
    </w:p>
    <w:p w:rsidR="00884D7B" w:rsidRPr="00A40225" w:rsidRDefault="00884D7B" w:rsidP="00A40225">
      <w:pPr>
        <w:spacing w:after="0"/>
        <w:jc w:val="both"/>
        <w:rPr>
          <w:rFonts w:ascii="Arial" w:eastAsia="Times New Roman" w:hAnsi="Arial" w:cs="Arial"/>
          <w:b/>
          <w:color w:val="2E74B5" w:themeColor="accent1" w:themeShade="BF"/>
          <w:sz w:val="24"/>
          <w:szCs w:val="24"/>
          <w:vertAlign w:val="subscript"/>
          <w:lang w:eastAsia="es-MX"/>
        </w:rPr>
      </w:pPr>
      <w:r w:rsidRPr="00A40225">
        <w:rPr>
          <w:rFonts w:ascii="Arial" w:eastAsia="Times New Roman" w:hAnsi="Arial" w:cs="Arial"/>
          <w:color w:val="2E74B5" w:themeColor="accent1" w:themeShade="BF"/>
          <w:sz w:val="24"/>
          <w:szCs w:val="24"/>
          <w:lang w:eastAsia="es-MX"/>
        </w:rPr>
        <w:tab/>
        <w:t>San Luis Potosí, San Luis Potosí. Acuerdo del Pleno de la Comisión Estatal de Garantía de Acceso a la Información Pública, correspondiente a la sesión del 12 doce de septiembre de 2018 dos mil dieciocho.</w:t>
      </w:r>
      <w:r w:rsidRPr="00A40225">
        <w:rPr>
          <w:rFonts w:ascii="Arial" w:eastAsia="Times New Roman" w:hAnsi="Arial" w:cs="Arial"/>
          <w:b/>
          <w:color w:val="2E74B5" w:themeColor="accent1" w:themeShade="BF"/>
          <w:sz w:val="24"/>
          <w:szCs w:val="24"/>
          <w:vertAlign w:val="subscript"/>
          <w:lang w:eastAsia="es-MX"/>
        </w:rPr>
        <w:t xml:space="preserve"> </w:t>
      </w:r>
    </w:p>
    <w:p w:rsidR="00884D7B" w:rsidRPr="00A40225" w:rsidRDefault="00884D7B" w:rsidP="00A40225">
      <w:pPr>
        <w:pStyle w:val="corte4fondo"/>
        <w:spacing w:line="276" w:lineRule="auto"/>
        <w:ind w:firstLine="0"/>
        <w:rPr>
          <w:rFonts w:cs="Arial"/>
          <w:b/>
          <w:color w:val="2E74B5" w:themeColor="accent1" w:themeShade="BF"/>
          <w:sz w:val="24"/>
          <w:szCs w:val="24"/>
        </w:rPr>
      </w:pPr>
    </w:p>
    <w:p w:rsidR="00884D7B" w:rsidRPr="00A40225" w:rsidRDefault="00884D7B" w:rsidP="00A40225">
      <w:pPr>
        <w:pStyle w:val="corte4fondo"/>
        <w:spacing w:line="276" w:lineRule="auto"/>
        <w:rPr>
          <w:rFonts w:cs="Arial"/>
          <w:color w:val="2E74B5" w:themeColor="accent1" w:themeShade="BF"/>
          <w:sz w:val="24"/>
          <w:szCs w:val="24"/>
          <w:lang w:val="es-MX"/>
        </w:rPr>
      </w:pPr>
      <w:r w:rsidRPr="00A40225">
        <w:rPr>
          <w:rFonts w:cs="Arial"/>
          <w:b/>
          <w:color w:val="2E74B5" w:themeColor="accent1" w:themeShade="BF"/>
          <w:sz w:val="24"/>
          <w:szCs w:val="24"/>
        </w:rPr>
        <w:t>VISTOS</w:t>
      </w:r>
      <w:r w:rsidRPr="00A40225">
        <w:rPr>
          <w:rFonts w:cs="Arial"/>
          <w:color w:val="2E74B5" w:themeColor="accent1" w:themeShade="BF"/>
          <w:sz w:val="24"/>
          <w:szCs w:val="24"/>
          <w:lang w:val="es-MX"/>
        </w:rPr>
        <w:t>,</w:t>
      </w:r>
      <w:r w:rsidRPr="00A40225">
        <w:rPr>
          <w:rFonts w:cs="Arial"/>
          <w:color w:val="2E74B5" w:themeColor="accent1" w:themeShade="BF"/>
          <w:sz w:val="24"/>
          <w:szCs w:val="24"/>
        </w:rPr>
        <w:t xml:space="preserve"> para resolver</w:t>
      </w:r>
      <w:r w:rsidRPr="00A40225">
        <w:rPr>
          <w:rFonts w:cs="Arial"/>
          <w:color w:val="2E74B5" w:themeColor="accent1" w:themeShade="BF"/>
          <w:sz w:val="24"/>
          <w:szCs w:val="24"/>
          <w:lang w:val="es-MX"/>
        </w:rPr>
        <w:t>,</w:t>
      </w:r>
      <w:r w:rsidRPr="00A40225">
        <w:rPr>
          <w:rFonts w:cs="Arial"/>
          <w:color w:val="2E74B5" w:themeColor="accent1" w:themeShade="BF"/>
          <w:sz w:val="24"/>
          <w:szCs w:val="24"/>
        </w:rPr>
        <w:t xml:space="preserve"> los autos del recurso de revisión identificado al rubro; y</w:t>
      </w:r>
    </w:p>
    <w:p w:rsidR="00884D7B" w:rsidRPr="00A40225" w:rsidRDefault="00884D7B" w:rsidP="00A40225">
      <w:pPr>
        <w:pStyle w:val="corte4fondo"/>
        <w:spacing w:line="276" w:lineRule="auto"/>
        <w:rPr>
          <w:rFonts w:cs="Arial"/>
          <w:color w:val="2E74B5" w:themeColor="accent1" w:themeShade="BF"/>
          <w:sz w:val="24"/>
          <w:szCs w:val="24"/>
          <w:lang w:val="es-MX"/>
        </w:rPr>
      </w:pPr>
    </w:p>
    <w:p w:rsidR="00884D7B" w:rsidRPr="00A40225" w:rsidRDefault="00884D7B" w:rsidP="00A40225">
      <w:pPr>
        <w:pStyle w:val="corte4fondo"/>
        <w:spacing w:line="276" w:lineRule="auto"/>
        <w:jc w:val="center"/>
        <w:rPr>
          <w:rFonts w:cs="Arial"/>
          <w:color w:val="2E74B5" w:themeColor="accent1" w:themeShade="BF"/>
          <w:sz w:val="24"/>
          <w:szCs w:val="24"/>
          <w:lang w:val="es-MX"/>
        </w:rPr>
      </w:pPr>
      <w:r w:rsidRPr="00A40225">
        <w:rPr>
          <w:rFonts w:cs="Arial"/>
          <w:b/>
          <w:color w:val="2E74B5" w:themeColor="accent1" w:themeShade="BF"/>
          <w:sz w:val="24"/>
          <w:szCs w:val="24"/>
          <w:lang w:val="es-MX"/>
        </w:rPr>
        <w:t>RESULTANDO</w:t>
      </w:r>
      <w:r w:rsidRPr="00A40225">
        <w:rPr>
          <w:rFonts w:cs="Arial"/>
          <w:color w:val="2E74B5" w:themeColor="accent1" w:themeShade="BF"/>
          <w:sz w:val="24"/>
          <w:szCs w:val="24"/>
          <w:lang w:val="es-MX"/>
        </w:rPr>
        <w:t>:</w:t>
      </w:r>
    </w:p>
    <w:p w:rsidR="00884D7B" w:rsidRPr="00A40225" w:rsidRDefault="00884D7B" w:rsidP="00A40225">
      <w:pPr>
        <w:pStyle w:val="corte4fondo"/>
        <w:spacing w:line="276" w:lineRule="auto"/>
        <w:jc w:val="center"/>
        <w:rPr>
          <w:rFonts w:cs="Arial"/>
          <w:color w:val="2E74B5" w:themeColor="accent1" w:themeShade="BF"/>
          <w:sz w:val="24"/>
          <w:szCs w:val="24"/>
          <w:lang w:val="es-MX"/>
        </w:rPr>
      </w:pPr>
    </w:p>
    <w:p w:rsidR="00884D7B" w:rsidRPr="00A40225" w:rsidRDefault="00884D7B" w:rsidP="00A40225">
      <w:pPr>
        <w:pStyle w:val="corte4fondo"/>
        <w:spacing w:line="276" w:lineRule="auto"/>
        <w:rPr>
          <w:rFonts w:cs="Arial"/>
          <w:color w:val="2E74B5" w:themeColor="accent1" w:themeShade="BF"/>
          <w:sz w:val="24"/>
          <w:szCs w:val="24"/>
          <w:lang w:val="es-MX"/>
        </w:rPr>
      </w:pPr>
      <w:r w:rsidRPr="00A40225">
        <w:rPr>
          <w:rFonts w:cs="Arial"/>
          <w:b/>
          <w:color w:val="2E74B5" w:themeColor="accent1" w:themeShade="BF"/>
          <w:sz w:val="24"/>
          <w:szCs w:val="24"/>
          <w:lang w:val="es-MX"/>
        </w:rPr>
        <w:t xml:space="preserve">PRIMERO. Solicitud de acceso a la información pública. </w:t>
      </w:r>
      <w:r w:rsidRPr="00A40225">
        <w:rPr>
          <w:rFonts w:cs="Arial"/>
          <w:color w:val="2E74B5" w:themeColor="accent1" w:themeShade="BF"/>
          <w:sz w:val="24"/>
          <w:szCs w:val="24"/>
          <w:lang w:val="es-MX"/>
        </w:rPr>
        <w:t xml:space="preserve">Según consta en la Plataforma Nacional de Transparencia en el folio </w:t>
      </w:r>
      <w:r w:rsidRPr="00A40225">
        <w:rPr>
          <w:rFonts w:cs="Arial"/>
          <w:b/>
          <w:color w:val="2E74B5" w:themeColor="accent1" w:themeShade="BF"/>
          <w:sz w:val="24"/>
          <w:szCs w:val="24"/>
          <w:lang w:val="es-MX"/>
        </w:rPr>
        <w:t>00</w:t>
      </w:r>
      <w:r w:rsidR="00D86FC4" w:rsidRPr="00A40225">
        <w:rPr>
          <w:rFonts w:cs="Arial"/>
          <w:b/>
          <w:color w:val="2E74B5" w:themeColor="accent1" w:themeShade="BF"/>
          <w:sz w:val="24"/>
          <w:szCs w:val="24"/>
          <w:lang w:val="es-MX"/>
        </w:rPr>
        <w:t>363418</w:t>
      </w:r>
      <w:r w:rsidRPr="00A40225">
        <w:rPr>
          <w:rFonts w:cs="Arial"/>
          <w:b/>
          <w:color w:val="2E74B5" w:themeColor="accent1" w:themeShade="BF"/>
          <w:sz w:val="24"/>
          <w:szCs w:val="24"/>
          <w:lang w:val="es-MX"/>
        </w:rPr>
        <w:t xml:space="preserve"> </w:t>
      </w:r>
      <w:r w:rsidRPr="00A40225">
        <w:rPr>
          <w:rFonts w:cs="Arial"/>
          <w:color w:val="2E74B5" w:themeColor="accent1" w:themeShade="BF"/>
          <w:sz w:val="24"/>
          <w:szCs w:val="24"/>
          <w:lang w:val="es-MX"/>
        </w:rPr>
        <w:t xml:space="preserve">cero, cero,  </w:t>
      </w:r>
      <w:r w:rsidR="00D86FC4" w:rsidRPr="00A40225">
        <w:rPr>
          <w:rFonts w:cs="Arial"/>
          <w:color w:val="2E74B5" w:themeColor="accent1" w:themeShade="BF"/>
          <w:sz w:val="24"/>
          <w:szCs w:val="24"/>
          <w:lang w:val="es-MX"/>
        </w:rPr>
        <w:t xml:space="preserve">trecientos sesenta y tres mil cuatrocientos dieciocho </w:t>
      </w:r>
      <w:r w:rsidRPr="00A40225">
        <w:rPr>
          <w:rFonts w:cs="Arial"/>
          <w:color w:val="2E74B5" w:themeColor="accent1" w:themeShade="BF"/>
          <w:sz w:val="24"/>
          <w:szCs w:val="24"/>
          <w:lang w:val="es-MX"/>
        </w:rPr>
        <w:t xml:space="preserve">el </w:t>
      </w:r>
      <w:r w:rsidR="00D86FC4" w:rsidRPr="00A40225">
        <w:rPr>
          <w:rFonts w:cs="Arial"/>
          <w:color w:val="2E74B5" w:themeColor="accent1" w:themeShade="BF"/>
          <w:sz w:val="24"/>
          <w:szCs w:val="24"/>
          <w:lang w:val="es-MX"/>
        </w:rPr>
        <w:t xml:space="preserve">15 quince de mayo de 2018 dos mil dieciocho la </w:t>
      </w:r>
      <w:r w:rsidR="00D86FC4" w:rsidRPr="00A40225">
        <w:rPr>
          <w:rFonts w:cs="Arial"/>
          <w:b/>
          <w:color w:val="2E74B5" w:themeColor="accent1" w:themeShade="BF"/>
          <w:sz w:val="24"/>
          <w:szCs w:val="24"/>
        </w:rPr>
        <w:t xml:space="preserve">Comisión Estatal de Garantía de Acceso a la Información Pública </w:t>
      </w:r>
      <w:r w:rsidRPr="00A40225">
        <w:rPr>
          <w:rFonts w:cs="Arial"/>
          <w:color w:val="2E74B5" w:themeColor="accent1" w:themeShade="BF"/>
          <w:sz w:val="24"/>
          <w:szCs w:val="24"/>
          <w:lang w:val="es-MX"/>
        </w:rPr>
        <w:t>recibió una solicitud de acceso a la información pública en donde se le pidió la información siguiente</w:t>
      </w:r>
      <w:r w:rsidRPr="00A40225">
        <w:rPr>
          <w:rStyle w:val="Refdenotaalpie"/>
          <w:rFonts w:cs="Arial"/>
          <w:color w:val="2E74B5" w:themeColor="accent1" w:themeShade="BF"/>
          <w:sz w:val="24"/>
          <w:szCs w:val="24"/>
          <w:lang w:val="es-MX"/>
        </w:rPr>
        <w:footnoteReference w:id="1"/>
      </w:r>
      <w:r w:rsidRPr="00A40225">
        <w:rPr>
          <w:rFonts w:cs="Arial"/>
          <w:color w:val="2E74B5" w:themeColor="accent1" w:themeShade="BF"/>
          <w:sz w:val="24"/>
          <w:szCs w:val="24"/>
          <w:lang w:val="es-MX"/>
        </w:rPr>
        <w:t>:</w:t>
      </w:r>
    </w:p>
    <w:p w:rsidR="00B22682" w:rsidRPr="00A40225" w:rsidRDefault="00B22682" w:rsidP="00A40225">
      <w:pPr>
        <w:pStyle w:val="corte4fondo"/>
        <w:spacing w:line="276" w:lineRule="auto"/>
        <w:rPr>
          <w:rFonts w:cs="Arial"/>
          <w:color w:val="2E74B5" w:themeColor="accent1" w:themeShade="BF"/>
          <w:sz w:val="24"/>
          <w:szCs w:val="24"/>
          <w:lang w:val="es-MX"/>
        </w:rPr>
      </w:pPr>
    </w:p>
    <w:p w:rsidR="00884D7B" w:rsidRDefault="00D86FC4" w:rsidP="00A40225">
      <w:pPr>
        <w:spacing w:after="0"/>
        <w:jc w:val="both"/>
        <w:rPr>
          <w:rFonts w:ascii="Arial" w:hAnsi="Arial" w:cs="Arial"/>
          <w:color w:val="2E74B5" w:themeColor="accent1" w:themeShade="BF"/>
          <w:sz w:val="24"/>
          <w:szCs w:val="24"/>
        </w:rPr>
      </w:pPr>
      <w:r w:rsidRPr="00A40225">
        <w:rPr>
          <w:rFonts w:ascii="Arial" w:hAnsi="Arial" w:cs="Arial"/>
          <w:noProof/>
          <w:color w:val="2E74B5" w:themeColor="accent1" w:themeShade="BF"/>
          <w:sz w:val="24"/>
          <w:szCs w:val="24"/>
          <w:lang w:eastAsia="es-MX"/>
        </w:rPr>
        <w:drawing>
          <wp:inline distT="0" distB="0" distL="0" distR="0" wp14:anchorId="4BF6596E" wp14:editId="44D1A960">
            <wp:extent cx="5422900" cy="1506931"/>
            <wp:effectExtent l="0" t="0" r="635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6592" cy="1507957"/>
                    </a:xfrm>
                    <a:prstGeom prst="rect">
                      <a:avLst/>
                    </a:prstGeom>
                    <a:noFill/>
                    <a:ln>
                      <a:noFill/>
                    </a:ln>
                  </pic:spPr>
                </pic:pic>
              </a:graphicData>
            </a:graphic>
          </wp:inline>
        </w:drawing>
      </w:r>
    </w:p>
    <w:p w:rsidR="00AB72E0" w:rsidRPr="00A40225" w:rsidRDefault="00AB72E0" w:rsidP="00A40225">
      <w:pPr>
        <w:spacing w:after="0"/>
        <w:jc w:val="both"/>
        <w:rPr>
          <w:rFonts w:ascii="Arial" w:hAnsi="Arial" w:cs="Arial"/>
          <w:color w:val="2E74B5" w:themeColor="accent1" w:themeShade="BF"/>
          <w:sz w:val="24"/>
          <w:szCs w:val="24"/>
        </w:rPr>
      </w:pPr>
    </w:p>
    <w:p w:rsidR="00884D7B" w:rsidRPr="00A40225" w:rsidRDefault="00241A3A" w:rsidP="00A40225">
      <w:pPr>
        <w:pStyle w:val="corte4fondo"/>
        <w:spacing w:line="276" w:lineRule="auto"/>
        <w:ind w:left="708" w:firstLine="0"/>
        <w:rPr>
          <w:rFonts w:cs="Arial"/>
          <w:color w:val="2E74B5" w:themeColor="accent1" w:themeShade="BF"/>
          <w:sz w:val="20"/>
          <w:lang w:val="es-MX"/>
        </w:rPr>
      </w:pPr>
      <w:r w:rsidRPr="00A40225">
        <w:rPr>
          <w:rFonts w:cs="Arial"/>
          <w:color w:val="2E74B5" w:themeColor="accent1" w:themeShade="BF"/>
          <w:sz w:val="20"/>
          <w:lang w:val="es-MX"/>
        </w:rPr>
        <w:t>“…Fundamentación normativa por la cual no se ha nombrado al Director General del Sistema Estatal de Documentación y Archivo desde el año 2013, cuando en la ley de archivos del estado (Vigente y aplicable) estipula en su artículo 21 que a continuación menciono: ARTÍCULO 21. El Director General del SEDA será electo por el pleno de la CEGAIP y por unanimidad de votos. Para el efecto, la CEGAIP convocará públicamente a concurso de oposición, proponiendo una terna con los aspirantes mejor evaluados de entre los que elegirá…”</w:t>
      </w:r>
    </w:p>
    <w:p w:rsidR="007C0210" w:rsidRPr="00A40225" w:rsidRDefault="007C0210" w:rsidP="00A40225">
      <w:pPr>
        <w:pStyle w:val="corte4fondo"/>
        <w:spacing w:line="276" w:lineRule="auto"/>
        <w:ind w:left="708" w:firstLine="0"/>
        <w:rPr>
          <w:rFonts w:cs="Arial"/>
          <w:color w:val="2E74B5" w:themeColor="accent1" w:themeShade="BF"/>
          <w:sz w:val="20"/>
          <w:lang w:val="es-MX"/>
        </w:rPr>
      </w:pPr>
    </w:p>
    <w:p w:rsidR="00241A3A" w:rsidRPr="00A40225" w:rsidRDefault="007C0210" w:rsidP="00A40225">
      <w:pPr>
        <w:pStyle w:val="corte4fondo"/>
        <w:spacing w:line="276" w:lineRule="auto"/>
        <w:ind w:firstLine="708"/>
        <w:rPr>
          <w:rFonts w:cs="Arial"/>
          <w:color w:val="2E74B5" w:themeColor="accent1" w:themeShade="BF"/>
          <w:sz w:val="24"/>
          <w:szCs w:val="24"/>
        </w:rPr>
      </w:pPr>
      <w:r w:rsidRPr="00A40225">
        <w:rPr>
          <w:rFonts w:cs="Arial"/>
          <w:b/>
          <w:color w:val="2E74B5" w:themeColor="accent1" w:themeShade="BF"/>
          <w:sz w:val="24"/>
          <w:szCs w:val="24"/>
        </w:rPr>
        <w:t xml:space="preserve">SEGUNDO. Respuesta a la solicitud de acceso a la información pública. </w:t>
      </w:r>
      <w:r w:rsidRPr="00A40225">
        <w:rPr>
          <w:rFonts w:cs="Arial"/>
          <w:color w:val="2E74B5" w:themeColor="accent1" w:themeShade="BF"/>
          <w:sz w:val="24"/>
          <w:szCs w:val="24"/>
        </w:rPr>
        <w:t xml:space="preserve">El </w:t>
      </w:r>
      <w:r w:rsidRPr="00A40225">
        <w:rPr>
          <w:rFonts w:cs="Arial"/>
          <w:color w:val="2E74B5" w:themeColor="accent1" w:themeShade="BF"/>
          <w:sz w:val="24"/>
          <w:szCs w:val="24"/>
          <w:lang w:val="es-MX"/>
        </w:rPr>
        <w:t xml:space="preserve">12 doce de junio </w:t>
      </w:r>
      <w:r w:rsidRPr="00A40225">
        <w:rPr>
          <w:rFonts w:cs="Arial"/>
          <w:color w:val="2E74B5" w:themeColor="accent1" w:themeShade="BF"/>
          <w:sz w:val="24"/>
          <w:szCs w:val="24"/>
        </w:rPr>
        <w:t>de 2018 dos mil dieciocho el sujeto obligado</w:t>
      </w:r>
      <w:r w:rsidRPr="00A40225">
        <w:rPr>
          <w:rFonts w:cs="Arial"/>
          <w:b/>
          <w:color w:val="2E74B5" w:themeColor="accent1" w:themeShade="BF"/>
          <w:sz w:val="24"/>
          <w:szCs w:val="24"/>
        </w:rPr>
        <w:t xml:space="preserve"> </w:t>
      </w:r>
      <w:r w:rsidRPr="00A40225">
        <w:rPr>
          <w:rFonts w:cs="Arial"/>
          <w:color w:val="2E74B5" w:themeColor="accent1" w:themeShade="BF"/>
          <w:sz w:val="24"/>
          <w:szCs w:val="24"/>
        </w:rPr>
        <w:t>notificó al solicitante, por el mismo medio electrónico, la respuesta a la solicitud de acceso a la información pública, misma que es como sigue:</w:t>
      </w:r>
    </w:p>
    <w:p w:rsidR="007C0210" w:rsidRPr="00A40225" w:rsidRDefault="007C0210" w:rsidP="00A40225">
      <w:pPr>
        <w:pStyle w:val="corte4fondo"/>
        <w:spacing w:line="276" w:lineRule="auto"/>
        <w:ind w:firstLine="708"/>
        <w:rPr>
          <w:rFonts w:cs="Arial"/>
          <w:color w:val="2E74B5" w:themeColor="accent1" w:themeShade="BF"/>
          <w:sz w:val="24"/>
          <w:szCs w:val="24"/>
        </w:rPr>
      </w:pPr>
    </w:p>
    <w:p w:rsidR="007C0210" w:rsidRPr="00A40225" w:rsidRDefault="007C0210" w:rsidP="00A40225">
      <w:pPr>
        <w:pStyle w:val="corte4fondo"/>
        <w:spacing w:line="276" w:lineRule="auto"/>
        <w:ind w:firstLine="0"/>
        <w:rPr>
          <w:rFonts w:cs="Arial"/>
          <w:color w:val="2E74B5" w:themeColor="accent1" w:themeShade="BF"/>
          <w:sz w:val="20"/>
          <w:lang w:val="es-MX"/>
        </w:rPr>
      </w:pPr>
      <w:r w:rsidRPr="00A40225">
        <w:rPr>
          <w:rFonts w:cs="Arial"/>
          <w:noProof/>
          <w:color w:val="2E74B5" w:themeColor="accent1" w:themeShade="BF"/>
          <w:sz w:val="20"/>
          <w:lang w:val="es-MX"/>
        </w:rPr>
        <w:drawing>
          <wp:inline distT="0" distB="0" distL="0" distR="0" wp14:anchorId="3A5BAE9A" wp14:editId="6A4624E8">
            <wp:extent cx="5422900" cy="1733384"/>
            <wp:effectExtent l="0" t="0" r="635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31474" cy="1736125"/>
                    </a:xfrm>
                    <a:prstGeom prst="rect">
                      <a:avLst/>
                    </a:prstGeom>
                    <a:noFill/>
                    <a:ln>
                      <a:noFill/>
                    </a:ln>
                  </pic:spPr>
                </pic:pic>
              </a:graphicData>
            </a:graphic>
          </wp:inline>
        </w:drawing>
      </w:r>
    </w:p>
    <w:p w:rsidR="007C0210" w:rsidRPr="00A40225" w:rsidRDefault="007C0210" w:rsidP="00A40225">
      <w:pPr>
        <w:pStyle w:val="corte4fondo"/>
        <w:spacing w:line="276" w:lineRule="auto"/>
        <w:rPr>
          <w:rFonts w:cs="Arial"/>
          <w:b/>
          <w:color w:val="2E74B5" w:themeColor="accent1" w:themeShade="BF"/>
          <w:sz w:val="24"/>
          <w:szCs w:val="24"/>
        </w:rPr>
      </w:pPr>
    </w:p>
    <w:p w:rsidR="00884D7B" w:rsidRPr="00A40225" w:rsidRDefault="007C0210" w:rsidP="00A40225">
      <w:pPr>
        <w:pStyle w:val="corte4fondo"/>
        <w:spacing w:line="276" w:lineRule="auto"/>
        <w:rPr>
          <w:rFonts w:cs="Arial"/>
          <w:color w:val="2E74B5" w:themeColor="accent1" w:themeShade="BF"/>
          <w:sz w:val="24"/>
          <w:szCs w:val="24"/>
        </w:rPr>
      </w:pPr>
      <w:r w:rsidRPr="00A40225">
        <w:rPr>
          <w:rFonts w:cs="Arial"/>
          <w:b/>
          <w:color w:val="2E74B5" w:themeColor="accent1" w:themeShade="BF"/>
          <w:sz w:val="24"/>
          <w:szCs w:val="24"/>
          <w:lang w:val="es-MX"/>
        </w:rPr>
        <w:t>TERCERO</w:t>
      </w:r>
      <w:r w:rsidR="00884D7B" w:rsidRPr="00A40225">
        <w:rPr>
          <w:rFonts w:cs="Arial"/>
          <w:b/>
          <w:color w:val="2E74B5" w:themeColor="accent1" w:themeShade="BF"/>
          <w:sz w:val="24"/>
          <w:szCs w:val="24"/>
        </w:rPr>
        <w:t xml:space="preserve">. Interposición del recurso. </w:t>
      </w:r>
      <w:r w:rsidR="00884D7B" w:rsidRPr="00A40225">
        <w:rPr>
          <w:rFonts w:cs="Arial"/>
          <w:color w:val="2E74B5" w:themeColor="accent1" w:themeShade="BF"/>
          <w:sz w:val="24"/>
          <w:szCs w:val="24"/>
        </w:rPr>
        <w:t xml:space="preserve">El </w:t>
      </w:r>
      <w:r w:rsidR="00241A3A" w:rsidRPr="00A40225">
        <w:rPr>
          <w:rFonts w:cs="Arial"/>
          <w:color w:val="2E74B5" w:themeColor="accent1" w:themeShade="BF"/>
          <w:sz w:val="24"/>
          <w:szCs w:val="24"/>
          <w:lang w:val="es-MX"/>
        </w:rPr>
        <w:t xml:space="preserve">13 trece </w:t>
      </w:r>
      <w:r w:rsidR="00884D7B" w:rsidRPr="00A40225">
        <w:rPr>
          <w:rFonts w:cs="Arial"/>
          <w:color w:val="2E74B5" w:themeColor="accent1" w:themeShade="BF"/>
          <w:sz w:val="24"/>
          <w:szCs w:val="24"/>
        </w:rPr>
        <w:t xml:space="preserve">de junio de 2018 dos mil dieciocho, a través del Sistema de Gestión de Medios de Impugnación, el solicitante de la información interpuso recurso de revisión en contra de la respuesta mencionada en el punto anterior, mismo que quedó presentado ante la Oficialía de Partes de esta Comisión Estatal de Garantía de Acceso a la Información Pública el día </w:t>
      </w:r>
      <w:r w:rsidR="00241A3A" w:rsidRPr="00A40225">
        <w:rPr>
          <w:rFonts w:cs="Arial"/>
          <w:color w:val="2E74B5" w:themeColor="accent1" w:themeShade="BF"/>
          <w:sz w:val="24"/>
          <w:szCs w:val="24"/>
          <w:lang w:val="es-MX"/>
        </w:rPr>
        <w:t xml:space="preserve">14 catorce </w:t>
      </w:r>
      <w:r w:rsidR="00884D7B" w:rsidRPr="00A40225">
        <w:rPr>
          <w:rFonts w:cs="Arial"/>
          <w:color w:val="2E74B5" w:themeColor="accent1" w:themeShade="BF"/>
          <w:sz w:val="24"/>
          <w:szCs w:val="24"/>
        </w:rPr>
        <w:t>del referido mes y año, esto es, al día hábil siguiente al que fue interpuesto, por haber sido interpuesto ante el sistema posterior a la hora establecida, de conformidad con el Acuerdo de Pleno S.O. CEGAIP-208/2014 emitido en Sesión Ordinaria de 15 de enero de 2018 dos mil dieciocho.</w:t>
      </w:r>
    </w:p>
    <w:p w:rsidR="00884D7B" w:rsidRPr="00A40225" w:rsidRDefault="00884D7B" w:rsidP="00A40225">
      <w:pPr>
        <w:spacing w:after="0"/>
        <w:ind w:firstLine="709"/>
        <w:jc w:val="both"/>
        <w:rPr>
          <w:rFonts w:ascii="Arial" w:eastAsia="Times New Roman" w:hAnsi="Arial" w:cs="Arial"/>
          <w:color w:val="2E74B5" w:themeColor="accent1" w:themeShade="BF"/>
          <w:sz w:val="24"/>
          <w:szCs w:val="24"/>
          <w:lang w:eastAsia="es-MX"/>
        </w:rPr>
      </w:pPr>
      <w:r w:rsidRPr="00A40225">
        <w:rPr>
          <w:rFonts w:ascii="Arial" w:eastAsia="Times New Roman" w:hAnsi="Arial" w:cs="Arial"/>
          <w:color w:val="2E74B5" w:themeColor="accent1" w:themeShade="BF"/>
          <w:sz w:val="24"/>
          <w:szCs w:val="24"/>
          <w:lang w:eastAsia="es-MX"/>
        </w:rPr>
        <w:t xml:space="preserve"> </w:t>
      </w:r>
    </w:p>
    <w:p w:rsidR="00884D7B" w:rsidRPr="00A40225" w:rsidRDefault="007C0210" w:rsidP="00A40225">
      <w:pPr>
        <w:pStyle w:val="corte4fondo"/>
        <w:spacing w:line="276" w:lineRule="auto"/>
        <w:rPr>
          <w:rFonts w:cs="Arial"/>
          <w:color w:val="2E74B5" w:themeColor="accent1" w:themeShade="BF"/>
          <w:sz w:val="24"/>
          <w:szCs w:val="24"/>
          <w:lang w:val="es-MX"/>
        </w:rPr>
      </w:pPr>
      <w:r w:rsidRPr="00A40225">
        <w:rPr>
          <w:rFonts w:cs="Arial"/>
          <w:b/>
          <w:color w:val="2E74B5" w:themeColor="accent1" w:themeShade="BF"/>
          <w:sz w:val="24"/>
          <w:szCs w:val="24"/>
          <w:lang w:val="es-MX"/>
        </w:rPr>
        <w:t>CUARTO</w:t>
      </w:r>
      <w:r w:rsidR="00884D7B" w:rsidRPr="00A40225">
        <w:rPr>
          <w:rFonts w:cs="Arial"/>
          <w:b/>
          <w:color w:val="2E74B5" w:themeColor="accent1" w:themeShade="BF"/>
          <w:sz w:val="24"/>
          <w:szCs w:val="24"/>
          <w:lang w:val="es-MX"/>
        </w:rPr>
        <w:t xml:space="preserve">. Trámite del recurso de revisión ante esta Comisión Estatal de Garantía de Acceso a la Información Pública. </w:t>
      </w:r>
      <w:r w:rsidR="00884D7B" w:rsidRPr="00A40225">
        <w:rPr>
          <w:rFonts w:cs="Arial"/>
          <w:color w:val="2E74B5" w:themeColor="accent1" w:themeShade="BF"/>
          <w:sz w:val="24"/>
          <w:szCs w:val="24"/>
          <w:lang w:val="es-MX"/>
        </w:rPr>
        <w:t xml:space="preserve">Mediante auto del </w:t>
      </w:r>
      <w:r w:rsidR="00241A3A" w:rsidRPr="00A40225">
        <w:rPr>
          <w:rFonts w:cs="Arial"/>
          <w:color w:val="2E74B5" w:themeColor="accent1" w:themeShade="BF"/>
          <w:sz w:val="24"/>
          <w:szCs w:val="24"/>
          <w:lang w:val="es-MX"/>
        </w:rPr>
        <w:t xml:space="preserve">15 quince de junio de 2018 dos mil dieciocho </w:t>
      </w:r>
      <w:r w:rsidR="00884D7B" w:rsidRPr="00A40225">
        <w:rPr>
          <w:rFonts w:cs="Arial"/>
          <w:color w:val="2E74B5" w:themeColor="accent1" w:themeShade="BF"/>
          <w:sz w:val="24"/>
          <w:szCs w:val="24"/>
          <w:lang w:val="es-MX"/>
        </w:rPr>
        <w:t xml:space="preserve">la presidencia de esta Comisión de Transparencia tuvo por recibido el recurso de revisión, por lo </w:t>
      </w:r>
      <w:r w:rsidR="00241A3A" w:rsidRPr="00A40225">
        <w:rPr>
          <w:rFonts w:cs="Arial"/>
          <w:color w:val="2E74B5" w:themeColor="accent1" w:themeShade="BF"/>
          <w:sz w:val="24"/>
          <w:szCs w:val="24"/>
          <w:lang w:val="es-MX"/>
        </w:rPr>
        <w:t>que,</w:t>
      </w:r>
      <w:r w:rsidR="00884D7B" w:rsidRPr="00A40225">
        <w:rPr>
          <w:rFonts w:cs="Arial"/>
          <w:color w:val="2E74B5" w:themeColor="accent1" w:themeShade="BF"/>
          <w:sz w:val="24"/>
          <w:szCs w:val="24"/>
          <w:lang w:val="es-MX"/>
        </w:rPr>
        <w:t xml:space="preserve"> por razón de turno, tocó conocer a la ponencia de la </w:t>
      </w:r>
      <w:r w:rsidR="00241A3A" w:rsidRPr="00A40225">
        <w:rPr>
          <w:rFonts w:cs="Arial"/>
          <w:color w:val="2E74B5" w:themeColor="accent1" w:themeShade="BF"/>
          <w:sz w:val="24"/>
          <w:szCs w:val="24"/>
        </w:rPr>
        <w:t>Licenciada Paulina Sánchez Pérez del Pozo</w:t>
      </w:r>
      <w:r w:rsidR="00241A3A" w:rsidRPr="00A40225">
        <w:rPr>
          <w:rFonts w:cs="Arial"/>
          <w:color w:val="2E74B5" w:themeColor="accent1" w:themeShade="BF"/>
          <w:sz w:val="24"/>
          <w:szCs w:val="24"/>
          <w:lang w:val="es-MX"/>
        </w:rPr>
        <w:t xml:space="preserve"> </w:t>
      </w:r>
      <w:r w:rsidR="00884D7B" w:rsidRPr="00A40225">
        <w:rPr>
          <w:rFonts w:cs="Arial"/>
          <w:color w:val="2E74B5" w:themeColor="accent1" w:themeShade="BF"/>
          <w:sz w:val="24"/>
          <w:szCs w:val="24"/>
          <w:lang w:val="es-MX"/>
        </w:rPr>
        <w:t>por lo que se le turnó dicho expediente para que procediera, previo su análisis, a su admisión o desechamiento según fuera el caso.</w:t>
      </w:r>
    </w:p>
    <w:p w:rsidR="00884D7B" w:rsidRPr="00A40225" w:rsidRDefault="00884D7B" w:rsidP="00A40225">
      <w:pPr>
        <w:pStyle w:val="corte4fondo"/>
        <w:spacing w:line="276" w:lineRule="auto"/>
        <w:rPr>
          <w:rFonts w:cs="Arial"/>
          <w:color w:val="2E74B5" w:themeColor="accent1" w:themeShade="BF"/>
          <w:sz w:val="24"/>
          <w:szCs w:val="24"/>
          <w:lang w:val="es-MX"/>
        </w:rPr>
      </w:pPr>
    </w:p>
    <w:p w:rsidR="00884D7B" w:rsidRPr="00A40225" w:rsidRDefault="007C0210" w:rsidP="00A40225">
      <w:pPr>
        <w:pStyle w:val="corte4fondo"/>
        <w:spacing w:line="276" w:lineRule="auto"/>
        <w:rPr>
          <w:rFonts w:cs="Arial"/>
          <w:color w:val="2E74B5" w:themeColor="accent1" w:themeShade="BF"/>
          <w:sz w:val="24"/>
          <w:szCs w:val="24"/>
          <w:lang w:val="es-MX"/>
        </w:rPr>
      </w:pPr>
      <w:r w:rsidRPr="00A40225">
        <w:rPr>
          <w:rFonts w:cs="Arial"/>
          <w:b/>
          <w:color w:val="2E74B5" w:themeColor="accent1" w:themeShade="BF"/>
          <w:sz w:val="24"/>
          <w:szCs w:val="24"/>
          <w:lang w:val="es-MX"/>
        </w:rPr>
        <w:t>QUINTO</w:t>
      </w:r>
      <w:r w:rsidR="00884D7B" w:rsidRPr="00A40225">
        <w:rPr>
          <w:rFonts w:cs="Arial"/>
          <w:b/>
          <w:color w:val="2E74B5" w:themeColor="accent1" w:themeShade="BF"/>
          <w:sz w:val="24"/>
          <w:szCs w:val="24"/>
          <w:lang w:val="es-MX"/>
        </w:rPr>
        <w:t xml:space="preserve">. Auto de admisión y trámite. </w:t>
      </w:r>
      <w:r w:rsidR="00884D7B" w:rsidRPr="00A40225">
        <w:rPr>
          <w:rFonts w:cs="Arial"/>
          <w:color w:val="2E74B5" w:themeColor="accent1" w:themeShade="BF"/>
          <w:sz w:val="24"/>
          <w:szCs w:val="24"/>
          <w:lang w:val="es-MX"/>
        </w:rPr>
        <w:t xml:space="preserve">Por proveído del </w:t>
      </w:r>
      <w:r w:rsidR="00B22682" w:rsidRPr="00A40225">
        <w:rPr>
          <w:rFonts w:cs="Arial"/>
          <w:color w:val="2E74B5" w:themeColor="accent1" w:themeShade="BF"/>
          <w:sz w:val="24"/>
          <w:szCs w:val="24"/>
          <w:lang w:val="es-MX"/>
        </w:rPr>
        <w:t xml:space="preserve">21 veintiuno de junio </w:t>
      </w:r>
      <w:r w:rsidR="00241A3A" w:rsidRPr="00A40225">
        <w:rPr>
          <w:rFonts w:cs="Arial"/>
          <w:color w:val="2E74B5" w:themeColor="accent1" w:themeShade="BF"/>
          <w:sz w:val="24"/>
          <w:szCs w:val="24"/>
          <w:lang w:val="es-MX"/>
        </w:rPr>
        <w:t xml:space="preserve">de 2018 dos mil dieciocho </w:t>
      </w:r>
      <w:r w:rsidR="00884D7B" w:rsidRPr="00A40225">
        <w:rPr>
          <w:rFonts w:cs="Arial"/>
          <w:color w:val="2E74B5" w:themeColor="accent1" w:themeShade="BF"/>
          <w:sz w:val="24"/>
          <w:szCs w:val="24"/>
          <w:lang w:val="es-MX"/>
        </w:rPr>
        <w:t>la Comisionado Ponente:</w:t>
      </w:r>
    </w:p>
    <w:p w:rsidR="00884D7B" w:rsidRPr="00A40225" w:rsidRDefault="00884D7B" w:rsidP="00A40225">
      <w:pPr>
        <w:pStyle w:val="corte4fondo"/>
        <w:spacing w:line="276" w:lineRule="auto"/>
        <w:rPr>
          <w:rFonts w:cs="Arial"/>
          <w:color w:val="2E74B5" w:themeColor="accent1" w:themeShade="BF"/>
          <w:sz w:val="24"/>
          <w:szCs w:val="24"/>
          <w:lang w:val="es-MX"/>
        </w:rPr>
      </w:pPr>
    </w:p>
    <w:p w:rsidR="00884D7B" w:rsidRPr="00A40225" w:rsidRDefault="00884D7B" w:rsidP="00A40225">
      <w:pPr>
        <w:pStyle w:val="corte4fondo"/>
        <w:numPr>
          <w:ilvl w:val="0"/>
          <w:numId w:val="2"/>
        </w:numPr>
        <w:spacing w:line="276" w:lineRule="auto"/>
        <w:rPr>
          <w:rFonts w:cs="Arial"/>
          <w:color w:val="2E74B5" w:themeColor="accent1" w:themeShade="BF"/>
          <w:sz w:val="24"/>
          <w:szCs w:val="24"/>
          <w:lang w:val="es-MX"/>
        </w:rPr>
      </w:pPr>
      <w:r w:rsidRPr="00A40225">
        <w:rPr>
          <w:rFonts w:cs="Arial"/>
          <w:color w:val="2E74B5" w:themeColor="accent1" w:themeShade="BF"/>
          <w:sz w:val="24"/>
          <w:szCs w:val="24"/>
          <w:lang w:val="es-MX"/>
        </w:rPr>
        <w:t>Registró en el Libro de Gobierno el presente expediente como RR-</w:t>
      </w:r>
      <w:r w:rsidR="00B22682" w:rsidRPr="00A40225">
        <w:rPr>
          <w:rFonts w:cs="Arial"/>
          <w:color w:val="2E74B5" w:themeColor="accent1" w:themeShade="BF"/>
          <w:sz w:val="24"/>
          <w:szCs w:val="24"/>
          <w:lang w:val="es-MX"/>
        </w:rPr>
        <w:t>506/2018</w:t>
      </w:r>
      <w:r w:rsidRPr="00A40225">
        <w:rPr>
          <w:rFonts w:cs="Arial"/>
          <w:color w:val="2E74B5" w:themeColor="accent1" w:themeShade="BF"/>
          <w:sz w:val="24"/>
          <w:szCs w:val="24"/>
          <w:lang w:val="es-MX"/>
        </w:rPr>
        <w:t>-2 PLATAFORMA.</w:t>
      </w:r>
    </w:p>
    <w:p w:rsidR="00884D7B" w:rsidRPr="00A40225" w:rsidRDefault="00884D7B" w:rsidP="00A40225">
      <w:pPr>
        <w:pStyle w:val="corte4fondo"/>
        <w:numPr>
          <w:ilvl w:val="0"/>
          <w:numId w:val="2"/>
        </w:numPr>
        <w:spacing w:line="276" w:lineRule="auto"/>
        <w:rPr>
          <w:rFonts w:cs="Arial"/>
          <w:color w:val="2E74B5" w:themeColor="accent1" w:themeShade="BF"/>
          <w:sz w:val="24"/>
          <w:szCs w:val="24"/>
          <w:lang w:val="es-MX"/>
        </w:rPr>
      </w:pPr>
      <w:r w:rsidRPr="00A40225">
        <w:rPr>
          <w:rFonts w:cs="Arial"/>
          <w:color w:val="2E74B5" w:themeColor="accent1" w:themeShade="BF"/>
          <w:sz w:val="24"/>
          <w:szCs w:val="24"/>
          <w:lang w:val="es-MX"/>
        </w:rPr>
        <w:t>Admitió a trámite el presente recurso de revisión.</w:t>
      </w:r>
    </w:p>
    <w:p w:rsidR="00884D7B" w:rsidRPr="00A40225" w:rsidRDefault="00884D7B" w:rsidP="00A40225">
      <w:pPr>
        <w:pStyle w:val="corte4fondo"/>
        <w:numPr>
          <w:ilvl w:val="0"/>
          <w:numId w:val="2"/>
        </w:numPr>
        <w:spacing w:line="276" w:lineRule="auto"/>
        <w:rPr>
          <w:rFonts w:cs="Arial"/>
          <w:b/>
          <w:color w:val="2E74B5" w:themeColor="accent1" w:themeShade="BF"/>
          <w:sz w:val="24"/>
          <w:szCs w:val="24"/>
          <w:lang w:val="es-MX"/>
        </w:rPr>
      </w:pPr>
      <w:r w:rsidRPr="00A40225">
        <w:rPr>
          <w:rFonts w:cs="Arial"/>
          <w:color w:val="2E74B5" w:themeColor="accent1" w:themeShade="BF"/>
          <w:sz w:val="24"/>
          <w:szCs w:val="24"/>
          <w:lang w:val="es-MX"/>
        </w:rPr>
        <w:t xml:space="preserve">Tuvo como </w:t>
      </w:r>
      <w:r w:rsidR="00E704C4">
        <w:rPr>
          <w:rFonts w:cs="Arial"/>
          <w:color w:val="2E74B5" w:themeColor="accent1" w:themeShade="BF"/>
          <w:sz w:val="24"/>
          <w:szCs w:val="24"/>
          <w:lang w:val="es-MX"/>
        </w:rPr>
        <w:t>sujeto</w:t>
      </w:r>
      <w:r w:rsidRPr="00A40225">
        <w:rPr>
          <w:rFonts w:cs="Arial"/>
          <w:color w:val="2E74B5" w:themeColor="accent1" w:themeShade="BF"/>
          <w:sz w:val="24"/>
          <w:szCs w:val="24"/>
          <w:lang w:val="es-MX"/>
        </w:rPr>
        <w:t xml:space="preserve"> obligado a</w:t>
      </w:r>
      <w:r w:rsidR="00E704C4">
        <w:rPr>
          <w:rFonts w:cs="Arial"/>
          <w:color w:val="2E74B5" w:themeColor="accent1" w:themeShade="BF"/>
          <w:sz w:val="24"/>
          <w:szCs w:val="24"/>
          <w:lang w:val="es-MX"/>
        </w:rPr>
        <w:t xml:space="preserve"> </w:t>
      </w:r>
      <w:r w:rsidRPr="00A40225">
        <w:rPr>
          <w:rFonts w:cs="Arial"/>
          <w:color w:val="2E74B5" w:themeColor="accent1" w:themeShade="BF"/>
          <w:sz w:val="24"/>
          <w:szCs w:val="24"/>
          <w:lang w:val="es-MX"/>
        </w:rPr>
        <w:t>l</w:t>
      </w:r>
      <w:r w:rsidR="00B22682" w:rsidRPr="00A40225">
        <w:rPr>
          <w:rFonts w:cs="Arial"/>
          <w:color w:val="2E74B5" w:themeColor="accent1" w:themeShade="BF"/>
          <w:sz w:val="24"/>
          <w:szCs w:val="24"/>
          <w:lang w:val="es-MX"/>
        </w:rPr>
        <w:t xml:space="preserve">a </w:t>
      </w:r>
      <w:r w:rsidR="00E704C4" w:rsidRPr="00E704C4">
        <w:rPr>
          <w:rFonts w:cs="Arial"/>
          <w:b/>
          <w:color w:val="2E74B5" w:themeColor="accent1" w:themeShade="BF"/>
          <w:sz w:val="24"/>
          <w:szCs w:val="24"/>
          <w:lang w:val="es-MX"/>
        </w:rPr>
        <w:t>COMISIÓN ESTATAL DE GARANTÍA DE ACCESO A LA INFORMACIÓN PÚBLICA DEL ESTADO DE SAN LUIS POTOSÍ POR CONDUCTO DE SU PRESIDENTE A TRAVÉS DEL TITULAR</w:t>
      </w:r>
      <w:r w:rsidR="00E704C4" w:rsidRPr="00A40225">
        <w:rPr>
          <w:rFonts w:cs="Arial"/>
          <w:b/>
          <w:color w:val="2E74B5" w:themeColor="accent1" w:themeShade="BF"/>
          <w:sz w:val="24"/>
          <w:szCs w:val="24"/>
          <w:lang w:val="es-MX"/>
        </w:rPr>
        <w:t xml:space="preserve"> </w:t>
      </w:r>
      <w:r w:rsidR="00B22682" w:rsidRPr="00A40225">
        <w:rPr>
          <w:rFonts w:cs="Arial"/>
          <w:b/>
          <w:color w:val="2E74B5" w:themeColor="accent1" w:themeShade="BF"/>
          <w:sz w:val="24"/>
          <w:szCs w:val="24"/>
          <w:lang w:val="es-MX"/>
        </w:rPr>
        <w:t>DE LA UNIDAD DE TRANSPARENCIA Y DEL DIRECTOR JURÍDICO</w:t>
      </w:r>
      <w:r w:rsidR="00B22682" w:rsidRPr="00A40225">
        <w:rPr>
          <w:rFonts w:cs="Arial"/>
          <w:color w:val="2E74B5" w:themeColor="accent1" w:themeShade="BF"/>
          <w:sz w:val="24"/>
          <w:szCs w:val="24"/>
          <w:lang w:val="es-MX"/>
        </w:rPr>
        <w:t>.</w:t>
      </w:r>
    </w:p>
    <w:p w:rsidR="00884D7B" w:rsidRPr="00A40225" w:rsidRDefault="00884D7B" w:rsidP="00A40225">
      <w:pPr>
        <w:pStyle w:val="corte4fondo"/>
        <w:numPr>
          <w:ilvl w:val="0"/>
          <w:numId w:val="2"/>
        </w:numPr>
        <w:spacing w:line="276" w:lineRule="auto"/>
        <w:rPr>
          <w:rFonts w:cs="Arial"/>
          <w:color w:val="2E74B5" w:themeColor="accent1" w:themeShade="BF"/>
          <w:sz w:val="24"/>
          <w:szCs w:val="24"/>
          <w:lang w:val="es-MX"/>
        </w:rPr>
      </w:pPr>
      <w:r w:rsidRPr="00A40225">
        <w:rPr>
          <w:rFonts w:cs="Arial"/>
          <w:color w:val="2E74B5" w:themeColor="accent1" w:themeShade="BF"/>
          <w:sz w:val="24"/>
          <w:szCs w:val="24"/>
          <w:lang w:val="es-MX"/>
        </w:rPr>
        <w:t xml:space="preserve">Se le tuvo al recurrente por </w:t>
      </w:r>
      <w:r w:rsidR="00B22682" w:rsidRPr="00A40225">
        <w:rPr>
          <w:rFonts w:cs="Arial"/>
          <w:color w:val="2E74B5" w:themeColor="accent1" w:themeShade="BF"/>
          <w:sz w:val="24"/>
          <w:szCs w:val="24"/>
          <w:lang w:val="es-MX"/>
        </w:rPr>
        <w:t>señalada dirección electrónica</w:t>
      </w:r>
      <w:r w:rsidRPr="00A40225">
        <w:rPr>
          <w:rFonts w:cs="Arial"/>
          <w:color w:val="2E74B5" w:themeColor="accent1" w:themeShade="BF"/>
          <w:sz w:val="24"/>
          <w:szCs w:val="24"/>
          <w:lang w:val="es-MX"/>
        </w:rPr>
        <w:t xml:space="preserve"> para oír notificaciones.</w:t>
      </w:r>
    </w:p>
    <w:p w:rsidR="00884D7B" w:rsidRPr="00A40225" w:rsidRDefault="00884D7B" w:rsidP="00A40225">
      <w:pPr>
        <w:pStyle w:val="corte4fondo"/>
        <w:numPr>
          <w:ilvl w:val="0"/>
          <w:numId w:val="2"/>
        </w:numPr>
        <w:spacing w:line="276" w:lineRule="auto"/>
        <w:rPr>
          <w:rFonts w:cs="Arial"/>
          <w:color w:val="2E74B5" w:themeColor="accent1" w:themeShade="BF"/>
          <w:sz w:val="24"/>
          <w:szCs w:val="24"/>
          <w:lang w:val="es-MX"/>
        </w:rPr>
      </w:pPr>
      <w:r w:rsidRPr="00A40225">
        <w:rPr>
          <w:rFonts w:cs="Arial"/>
          <w:color w:val="2E74B5" w:themeColor="accent1" w:themeShade="BF"/>
          <w:sz w:val="24"/>
          <w:szCs w:val="24"/>
          <w:lang w:val="es-MX"/>
        </w:rPr>
        <w:lastRenderedPageBreak/>
        <w:t xml:space="preserve">Se puso a disposición de las partes el expediente para que en un plazo máximo de 7 siete días manifestaran lo que a su derecho conviniera –ofrecer pruebas y alegar–.  </w:t>
      </w:r>
    </w:p>
    <w:p w:rsidR="00884D7B" w:rsidRPr="00A40225" w:rsidRDefault="00884D7B" w:rsidP="00A40225">
      <w:pPr>
        <w:pStyle w:val="corte4fondo"/>
        <w:spacing w:line="276" w:lineRule="auto"/>
        <w:rPr>
          <w:rFonts w:cs="Arial"/>
          <w:color w:val="2E74B5" w:themeColor="accent1" w:themeShade="BF"/>
          <w:sz w:val="24"/>
          <w:szCs w:val="24"/>
          <w:lang w:val="es-MX"/>
        </w:rPr>
      </w:pPr>
    </w:p>
    <w:p w:rsidR="00884D7B" w:rsidRPr="00A40225" w:rsidRDefault="00B22682" w:rsidP="00A40225">
      <w:pPr>
        <w:pStyle w:val="corte4fondo"/>
        <w:spacing w:line="276" w:lineRule="auto"/>
        <w:rPr>
          <w:rFonts w:cs="Arial"/>
          <w:color w:val="2E74B5" w:themeColor="accent1" w:themeShade="BF"/>
          <w:sz w:val="24"/>
          <w:szCs w:val="24"/>
          <w:lang w:val="es-MX"/>
        </w:rPr>
      </w:pPr>
      <w:r w:rsidRPr="00A40225">
        <w:rPr>
          <w:rFonts w:cs="Arial"/>
          <w:color w:val="2E74B5" w:themeColor="accent1" w:themeShade="BF"/>
          <w:sz w:val="24"/>
          <w:szCs w:val="24"/>
          <w:lang w:val="es-MX"/>
        </w:rPr>
        <w:t>Asimismo,</w:t>
      </w:r>
      <w:r w:rsidR="00884D7B" w:rsidRPr="00A40225">
        <w:rPr>
          <w:rFonts w:cs="Arial"/>
          <w:color w:val="2E74B5" w:themeColor="accent1" w:themeShade="BF"/>
          <w:sz w:val="24"/>
          <w:szCs w:val="24"/>
          <w:lang w:val="es-MX"/>
        </w:rPr>
        <w:t xml:space="preserve"> en ese auto la ponente expresó que el sujeto obligado debería informar a esta Comisión de Transparencia si la información que le fue solicitada:</w:t>
      </w:r>
    </w:p>
    <w:p w:rsidR="00884D7B" w:rsidRPr="00A40225" w:rsidRDefault="00884D7B" w:rsidP="00A40225">
      <w:pPr>
        <w:pStyle w:val="corte4fondo"/>
        <w:spacing w:line="276" w:lineRule="auto"/>
        <w:rPr>
          <w:rFonts w:cs="Arial"/>
          <w:color w:val="2E74B5" w:themeColor="accent1" w:themeShade="BF"/>
          <w:sz w:val="24"/>
          <w:szCs w:val="24"/>
          <w:lang w:val="es-MX"/>
        </w:rPr>
      </w:pPr>
    </w:p>
    <w:p w:rsidR="00884D7B" w:rsidRPr="00A40225" w:rsidRDefault="00884D7B" w:rsidP="00A40225">
      <w:pPr>
        <w:pStyle w:val="corte4fondo"/>
        <w:numPr>
          <w:ilvl w:val="0"/>
          <w:numId w:val="1"/>
        </w:numPr>
        <w:spacing w:line="276" w:lineRule="auto"/>
        <w:rPr>
          <w:rFonts w:cs="Arial"/>
          <w:color w:val="2E74B5" w:themeColor="accent1" w:themeShade="BF"/>
          <w:sz w:val="24"/>
          <w:szCs w:val="24"/>
          <w:lang w:val="es-MX"/>
        </w:rPr>
      </w:pPr>
      <w:r w:rsidRPr="00A40225">
        <w:rPr>
          <w:rFonts w:cs="Arial"/>
          <w:color w:val="2E74B5" w:themeColor="accent1" w:themeShade="BF"/>
          <w:sz w:val="24"/>
          <w:szCs w:val="24"/>
          <w:lang w:val="es-MX"/>
        </w:rPr>
        <w:t>Se encontraba en sus archivos.</w:t>
      </w:r>
    </w:p>
    <w:p w:rsidR="00884D7B" w:rsidRPr="00A40225" w:rsidRDefault="00884D7B" w:rsidP="00A40225">
      <w:pPr>
        <w:pStyle w:val="corte4fondo"/>
        <w:numPr>
          <w:ilvl w:val="0"/>
          <w:numId w:val="1"/>
        </w:numPr>
        <w:spacing w:line="276" w:lineRule="auto"/>
        <w:rPr>
          <w:rFonts w:cs="Arial"/>
          <w:color w:val="2E74B5" w:themeColor="accent1" w:themeShade="BF"/>
          <w:sz w:val="24"/>
          <w:szCs w:val="24"/>
          <w:lang w:val="es-MX"/>
        </w:rPr>
      </w:pPr>
      <w:r w:rsidRPr="00A40225">
        <w:rPr>
          <w:rFonts w:cs="Arial"/>
          <w:color w:val="2E74B5" w:themeColor="accent1" w:themeShade="BF"/>
          <w:sz w:val="24"/>
          <w:szCs w:val="24"/>
          <w:lang w:val="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884D7B" w:rsidRPr="00A40225" w:rsidRDefault="00884D7B" w:rsidP="00A40225">
      <w:pPr>
        <w:pStyle w:val="corte4fondo"/>
        <w:numPr>
          <w:ilvl w:val="0"/>
          <w:numId w:val="1"/>
        </w:numPr>
        <w:spacing w:line="276" w:lineRule="auto"/>
        <w:rPr>
          <w:rFonts w:cs="Arial"/>
          <w:color w:val="2E74B5" w:themeColor="accent1" w:themeShade="BF"/>
          <w:sz w:val="24"/>
          <w:szCs w:val="24"/>
          <w:lang w:val="es-MX"/>
        </w:rPr>
      </w:pPr>
      <w:r w:rsidRPr="00A40225">
        <w:rPr>
          <w:rFonts w:cs="Arial"/>
          <w:color w:val="2E74B5" w:themeColor="accent1" w:themeShade="BF"/>
          <w:sz w:val="24"/>
          <w:szCs w:val="24"/>
          <w:lang w:val="es-MX"/>
        </w:rPr>
        <w:t xml:space="preserve">Se encontraba en una de las excepciones del derecho de acceso a la información como impedimento legal para su entrega –cuando se trate de información reservada o confidencial–. </w:t>
      </w:r>
    </w:p>
    <w:p w:rsidR="00884D7B" w:rsidRPr="00A40225" w:rsidRDefault="00884D7B" w:rsidP="00A40225">
      <w:pPr>
        <w:pStyle w:val="corte4fondo"/>
        <w:spacing w:line="276" w:lineRule="auto"/>
        <w:rPr>
          <w:rFonts w:cs="Arial"/>
          <w:color w:val="2E74B5" w:themeColor="accent1" w:themeShade="BF"/>
          <w:sz w:val="24"/>
          <w:szCs w:val="24"/>
          <w:lang w:val="es-MX"/>
        </w:rPr>
      </w:pPr>
    </w:p>
    <w:p w:rsidR="0029690D" w:rsidRPr="00A40225" w:rsidRDefault="0029690D" w:rsidP="00A40225">
      <w:pPr>
        <w:spacing w:after="0"/>
        <w:ind w:firstLine="709"/>
        <w:jc w:val="both"/>
        <w:rPr>
          <w:rFonts w:ascii="Arial" w:eastAsia="Times New Roman" w:hAnsi="Arial" w:cs="Arial"/>
          <w:color w:val="2E74B5" w:themeColor="accent1" w:themeShade="BF"/>
          <w:sz w:val="24"/>
          <w:szCs w:val="24"/>
          <w:lang w:eastAsia="es-MX"/>
        </w:rPr>
      </w:pPr>
      <w:r w:rsidRPr="00A40225">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29690D" w:rsidRPr="00A40225" w:rsidRDefault="0029690D" w:rsidP="00A40225">
      <w:pPr>
        <w:spacing w:after="0"/>
        <w:ind w:firstLine="709"/>
        <w:jc w:val="both"/>
        <w:rPr>
          <w:rFonts w:ascii="Arial" w:eastAsia="Times New Roman" w:hAnsi="Arial" w:cs="Arial"/>
          <w:color w:val="2E74B5" w:themeColor="accent1" w:themeShade="BF"/>
          <w:sz w:val="24"/>
          <w:szCs w:val="24"/>
          <w:lang w:eastAsia="es-MX"/>
        </w:rPr>
      </w:pPr>
    </w:p>
    <w:p w:rsidR="006E692D" w:rsidRPr="00A40225" w:rsidRDefault="0029690D" w:rsidP="00A40225">
      <w:pPr>
        <w:pStyle w:val="corte4fondo"/>
        <w:tabs>
          <w:tab w:val="left" w:pos="0"/>
        </w:tabs>
        <w:spacing w:line="276" w:lineRule="auto"/>
        <w:ind w:firstLine="0"/>
        <w:rPr>
          <w:rFonts w:cs="Arial"/>
          <w:color w:val="2E74B5" w:themeColor="accent1" w:themeShade="BF"/>
          <w:sz w:val="24"/>
          <w:szCs w:val="24"/>
          <w:lang w:val="es-MX"/>
        </w:rPr>
      </w:pPr>
      <w:r w:rsidRPr="00A40225">
        <w:rPr>
          <w:rFonts w:cs="Arial"/>
          <w:b/>
          <w:color w:val="2E74B5" w:themeColor="accent1" w:themeShade="BF"/>
          <w:sz w:val="24"/>
          <w:szCs w:val="24"/>
          <w:lang w:val="es-MX"/>
        </w:rPr>
        <w:tab/>
      </w:r>
      <w:r w:rsidR="007C0210" w:rsidRPr="00A40225">
        <w:rPr>
          <w:rFonts w:cs="Arial"/>
          <w:b/>
          <w:color w:val="2E74B5" w:themeColor="accent1" w:themeShade="BF"/>
          <w:sz w:val="24"/>
          <w:szCs w:val="24"/>
          <w:lang w:val="es-MX"/>
        </w:rPr>
        <w:t>SEXTO</w:t>
      </w:r>
      <w:r w:rsidR="00884D7B" w:rsidRPr="00A40225">
        <w:rPr>
          <w:rFonts w:cs="Arial"/>
          <w:b/>
          <w:color w:val="2E74B5" w:themeColor="accent1" w:themeShade="BF"/>
          <w:sz w:val="24"/>
          <w:szCs w:val="24"/>
          <w:lang w:val="es-MX"/>
        </w:rPr>
        <w:t>. Informe de los sujetos obligados</w:t>
      </w:r>
      <w:r w:rsidR="00884D7B" w:rsidRPr="00A40225">
        <w:rPr>
          <w:rFonts w:cs="Arial"/>
          <w:color w:val="2E74B5" w:themeColor="accent1" w:themeShade="BF"/>
          <w:sz w:val="24"/>
          <w:szCs w:val="24"/>
          <w:lang w:val="es-MX"/>
        </w:rPr>
        <w:t>. Por proveído del</w:t>
      </w:r>
      <w:r w:rsidRPr="00A40225">
        <w:rPr>
          <w:rFonts w:cs="Arial"/>
          <w:color w:val="2E74B5" w:themeColor="accent1" w:themeShade="BF"/>
          <w:sz w:val="24"/>
          <w:szCs w:val="24"/>
          <w:lang w:val="es-MX"/>
        </w:rPr>
        <w:t xml:space="preserve"> 11 once de julio de 2018 dos mil dieciocho </w:t>
      </w:r>
      <w:r w:rsidR="00884D7B" w:rsidRPr="00A40225">
        <w:rPr>
          <w:rFonts w:cs="Arial"/>
          <w:color w:val="2E74B5" w:themeColor="accent1" w:themeShade="BF"/>
          <w:sz w:val="24"/>
          <w:szCs w:val="24"/>
          <w:lang w:val="es-MX"/>
        </w:rPr>
        <w:t>la ponente del presente asunto tuvo:</w:t>
      </w:r>
    </w:p>
    <w:p w:rsidR="006E692D" w:rsidRPr="00A40225" w:rsidRDefault="006E692D" w:rsidP="00A40225">
      <w:pPr>
        <w:spacing w:after="0"/>
        <w:ind w:left="1510"/>
        <w:jc w:val="both"/>
        <w:rPr>
          <w:rFonts w:ascii="Arial" w:eastAsia="Times New Roman" w:hAnsi="Arial" w:cs="Arial"/>
          <w:color w:val="2E74B5" w:themeColor="accent1" w:themeShade="BF"/>
          <w:sz w:val="24"/>
          <w:szCs w:val="24"/>
          <w:lang w:eastAsia="es-MX"/>
        </w:rPr>
      </w:pPr>
      <w:r w:rsidRPr="00A40225">
        <w:rPr>
          <w:rFonts w:ascii="Arial" w:eastAsia="Times New Roman" w:hAnsi="Arial" w:cs="Arial"/>
          <w:color w:val="2E74B5" w:themeColor="accent1" w:themeShade="BF"/>
          <w:sz w:val="24"/>
          <w:szCs w:val="24"/>
          <w:lang w:eastAsia="es-MX"/>
        </w:rPr>
        <w:t xml:space="preserve"> </w:t>
      </w:r>
    </w:p>
    <w:p w:rsidR="006E692D" w:rsidRPr="00A40225" w:rsidRDefault="006E692D" w:rsidP="00A40225">
      <w:pPr>
        <w:pStyle w:val="corte4fondo"/>
        <w:numPr>
          <w:ilvl w:val="0"/>
          <w:numId w:val="4"/>
        </w:numPr>
        <w:spacing w:line="276" w:lineRule="auto"/>
        <w:rPr>
          <w:rFonts w:cs="Arial"/>
          <w:color w:val="2E74B5" w:themeColor="accent1" w:themeShade="BF"/>
          <w:sz w:val="24"/>
          <w:szCs w:val="24"/>
          <w:lang w:val="es-MX"/>
        </w:rPr>
      </w:pPr>
      <w:r w:rsidRPr="00A40225">
        <w:rPr>
          <w:rFonts w:cs="Arial"/>
          <w:color w:val="2E74B5" w:themeColor="accent1" w:themeShade="BF"/>
          <w:sz w:val="24"/>
          <w:szCs w:val="24"/>
          <w:lang w:val="es-MX"/>
        </w:rPr>
        <w:t>Tuvo por recibidos los oficios Cegaip-R-UT-132/2018 y sin número firmados por la Titular de la Unidad de Transparencia y por el Director Jurídico del sujeto obligado.</w:t>
      </w:r>
    </w:p>
    <w:p w:rsidR="006E692D" w:rsidRPr="00A40225" w:rsidRDefault="006E692D" w:rsidP="00A40225">
      <w:pPr>
        <w:numPr>
          <w:ilvl w:val="0"/>
          <w:numId w:val="4"/>
        </w:numPr>
        <w:spacing w:after="0"/>
        <w:jc w:val="both"/>
        <w:rPr>
          <w:rFonts w:ascii="Arial" w:eastAsia="Times New Roman" w:hAnsi="Arial" w:cs="Arial"/>
          <w:color w:val="2E74B5" w:themeColor="accent1" w:themeShade="BF"/>
          <w:sz w:val="24"/>
          <w:szCs w:val="24"/>
          <w:lang w:eastAsia="es-MX"/>
        </w:rPr>
      </w:pPr>
      <w:r w:rsidRPr="00A40225">
        <w:rPr>
          <w:rFonts w:ascii="Arial" w:eastAsia="Times New Roman" w:hAnsi="Arial" w:cs="Arial"/>
          <w:color w:val="2E74B5" w:themeColor="accent1" w:themeShade="BF"/>
          <w:sz w:val="24"/>
          <w:szCs w:val="24"/>
          <w:lang w:eastAsia="es-MX"/>
        </w:rPr>
        <w:t>Por rendido en tiempo y forma el informe solicitado.</w:t>
      </w:r>
    </w:p>
    <w:p w:rsidR="006E692D" w:rsidRPr="00A40225" w:rsidRDefault="006E692D" w:rsidP="00A40225">
      <w:pPr>
        <w:numPr>
          <w:ilvl w:val="0"/>
          <w:numId w:val="4"/>
        </w:numPr>
        <w:spacing w:after="0"/>
        <w:jc w:val="both"/>
        <w:rPr>
          <w:rFonts w:ascii="Arial" w:eastAsia="Times New Roman" w:hAnsi="Arial" w:cs="Arial"/>
          <w:color w:val="2E74B5" w:themeColor="accent1" w:themeShade="BF"/>
          <w:sz w:val="24"/>
          <w:szCs w:val="24"/>
          <w:lang w:eastAsia="es-MX"/>
        </w:rPr>
      </w:pPr>
      <w:r w:rsidRPr="00A40225">
        <w:rPr>
          <w:rFonts w:ascii="Arial" w:eastAsia="Times New Roman" w:hAnsi="Arial" w:cs="Arial"/>
          <w:color w:val="2E74B5" w:themeColor="accent1" w:themeShade="BF"/>
          <w:sz w:val="24"/>
          <w:szCs w:val="24"/>
          <w:lang w:eastAsia="es-MX"/>
        </w:rPr>
        <w:t>Por expresados los argumentos relacionados con el presente asunto.</w:t>
      </w:r>
    </w:p>
    <w:p w:rsidR="006E692D" w:rsidRPr="00A40225" w:rsidRDefault="006E692D" w:rsidP="00A40225">
      <w:pPr>
        <w:pStyle w:val="corte4fondo"/>
        <w:numPr>
          <w:ilvl w:val="0"/>
          <w:numId w:val="4"/>
        </w:numPr>
        <w:spacing w:line="276" w:lineRule="auto"/>
        <w:rPr>
          <w:rFonts w:cs="Arial"/>
          <w:color w:val="2E74B5" w:themeColor="accent1" w:themeShade="BF"/>
          <w:sz w:val="24"/>
          <w:szCs w:val="24"/>
        </w:rPr>
      </w:pPr>
      <w:r w:rsidRPr="00A40225">
        <w:rPr>
          <w:rFonts w:cs="Arial"/>
          <w:color w:val="2E74B5" w:themeColor="accent1" w:themeShade="BF"/>
          <w:sz w:val="24"/>
          <w:szCs w:val="24"/>
        </w:rPr>
        <w:t>Por ofrecidas las pruebas</w:t>
      </w:r>
      <w:r w:rsidRPr="00A40225">
        <w:rPr>
          <w:rFonts w:cs="Arial"/>
          <w:color w:val="2E74B5" w:themeColor="accent1" w:themeShade="BF"/>
          <w:sz w:val="24"/>
          <w:szCs w:val="24"/>
          <w:lang w:val="es-MX"/>
        </w:rPr>
        <w:t xml:space="preserve"> documentales </w:t>
      </w:r>
      <w:r w:rsidRPr="00A40225">
        <w:rPr>
          <w:rFonts w:cs="Arial"/>
          <w:color w:val="2E74B5" w:themeColor="accent1" w:themeShade="BF"/>
          <w:sz w:val="24"/>
          <w:szCs w:val="24"/>
        </w:rPr>
        <w:t>que acompaña a</w:t>
      </w:r>
      <w:r w:rsidRPr="00A40225">
        <w:rPr>
          <w:rFonts w:cs="Arial"/>
          <w:color w:val="2E74B5" w:themeColor="accent1" w:themeShade="BF"/>
          <w:sz w:val="24"/>
          <w:szCs w:val="24"/>
          <w:lang w:val="es-MX"/>
        </w:rPr>
        <w:t xml:space="preserve">l primero de </w:t>
      </w:r>
      <w:proofErr w:type="spellStart"/>
      <w:r w:rsidRPr="00A40225">
        <w:rPr>
          <w:rFonts w:cs="Arial"/>
          <w:color w:val="2E74B5" w:themeColor="accent1" w:themeShade="BF"/>
          <w:sz w:val="24"/>
          <w:szCs w:val="24"/>
          <w:lang w:val="es-MX"/>
        </w:rPr>
        <w:t>lo</w:t>
      </w:r>
      <w:r w:rsidRPr="00A40225">
        <w:rPr>
          <w:rFonts w:cs="Arial"/>
          <w:color w:val="2E74B5" w:themeColor="accent1" w:themeShade="BF"/>
          <w:sz w:val="24"/>
          <w:szCs w:val="24"/>
        </w:rPr>
        <w:t>s</w:t>
      </w:r>
      <w:proofErr w:type="spellEnd"/>
      <w:r w:rsidRPr="00A40225">
        <w:rPr>
          <w:rFonts w:cs="Arial"/>
          <w:color w:val="2E74B5" w:themeColor="accent1" w:themeShade="BF"/>
          <w:sz w:val="24"/>
          <w:szCs w:val="24"/>
        </w:rPr>
        <w:t xml:space="preserve"> oficios.</w:t>
      </w:r>
    </w:p>
    <w:p w:rsidR="00884D7B" w:rsidRPr="00A40225" w:rsidRDefault="00884D7B" w:rsidP="00A40225">
      <w:pPr>
        <w:pStyle w:val="corte4fondo"/>
        <w:tabs>
          <w:tab w:val="left" w:pos="0"/>
        </w:tabs>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 xml:space="preserve"> </w:t>
      </w:r>
    </w:p>
    <w:p w:rsidR="00884D7B" w:rsidRPr="00A40225" w:rsidRDefault="00884D7B"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ab/>
        <w:t xml:space="preserve"> Respecto a la parte recurrente, se le</w:t>
      </w:r>
      <w:r w:rsidR="006E692D" w:rsidRPr="00A40225">
        <w:rPr>
          <w:rFonts w:cs="Arial"/>
          <w:color w:val="2E74B5" w:themeColor="accent1" w:themeShade="BF"/>
          <w:sz w:val="24"/>
          <w:szCs w:val="24"/>
          <w:lang w:val="es-MX"/>
        </w:rPr>
        <w:t xml:space="preserve"> </w:t>
      </w:r>
      <w:r w:rsidRPr="00A40225">
        <w:rPr>
          <w:rFonts w:cs="Arial"/>
          <w:color w:val="2E74B5" w:themeColor="accent1" w:themeShade="BF"/>
          <w:sz w:val="24"/>
          <w:szCs w:val="24"/>
          <w:lang w:val="es-MX"/>
        </w:rPr>
        <w:t>tuvo realiza</w:t>
      </w:r>
      <w:r w:rsidR="006E692D" w:rsidRPr="00A40225">
        <w:rPr>
          <w:rFonts w:cs="Arial"/>
          <w:color w:val="2E74B5" w:themeColor="accent1" w:themeShade="BF"/>
          <w:sz w:val="24"/>
          <w:szCs w:val="24"/>
          <w:lang w:val="es-MX"/>
        </w:rPr>
        <w:t>ndo</w:t>
      </w:r>
      <w:r w:rsidRPr="00A40225">
        <w:rPr>
          <w:rFonts w:cs="Arial"/>
          <w:color w:val="2E74B5" w:themeColor="accent1" w:themeShade="BF"/>
          <w:sz w:val="24"/>
          <w:szCs w:val="24"/>
          <w:lang w:val="es-MX"/>
        </w:rPr>
        <w:t xml:space="preserve"> las manifestaciones que a su derecho convinieran</w:t>
      </w:r>
      <w:r w:rsidR="006E692D" w:rsidRPr="00A40225">
        <w:rPr>
          <w:rFonts w:cs="Arial"/>
          <w:color w:val="2E74B5" w:themeColor="accent1" w:themeShade="BF"/>
          <w:sz w:val="24"/>
          <w:szCs w:val="24"/>
          <w:lang w:val="es-MX"/>
        </w:rPr>
        <w:t>.</w:t>
      </w:r>
    </w:p>
    <w:p w:rsidR="00884D7B" w:rsidRPr="00A40225" w:rsidRDefault="00884D7B" w:rsidP="00A40225">
      <w:pPr>
        <w:pStyle w:val="corte4fondo"/>
        <w:spacing w:line="276" w:lineRule="auto"/>
        <w:rPr>
          <w:rFonts w:cs="Arial"/>
          <w:color w:val="2E74B5" w:themeColor="accent1" w:themeShade="BF"/>
          <w:sz w:val="24"/>
          <w:szCs w:val="24"/>
        </w:rPr>
      </w:pPr>
    </w:p>
    <w:p w:rsidR="00884D7B" w:rsidRPr="00A40225" w:rsidRDefault="00884D7B" w:rsidP="00A40225">
      <w:pPr>
        <w:pStyle w:val="corte4fondo"/>
        <w:spacing w:line="276" w:lineRule="auto"/>
        <w:rPr>
          <w:rFonts w:cs="Arial"/>
          <w:color w:val="2E74B5" w:themeColor="accent1" w:themeShade="BF"/>
          <w:sz w:val="24"/>
          <w:szCs w:val="24"/>
          <w:lang w:val="es-MX"/>
        </w:rPr>
      </w:pPr>
      <w:r w:rsidRPr="00A40225">
        <w:rPr>
          <w:rFonts w:cs="Arial"/>
          <w:color w:val="2E74B5" w:themeColor="accent1" w:themeShade="BF"/>
          <w:sz w:val="24"/>
          <w:szCs w:val="24"/>
          <w:lang w:val="es-MX"/>
        </w:rPr>
        <w:t>Para concluir, la ponente declaró cerrado el periodo de instrucción y procedió a elaborar el proyecto de resolución respectivo.</w:t>
      </w:r>
    </w:p>
    <w:p w:rsidR="0029690D" w:rsidRPr="00A40225" w:rsidRDefault="0029690D" w:rsidP="00A40225">
      <w:pPr>
        <w:pStyle w:val="corte4fondo"/>
        <w:spacing w:line="276" w:lineRule="auto"/>
        <w:rPr>
          <w:rFonts w:cs="Arial"/>
          <w:color w:val="2E74B5" w:themeColor="accent1" w:themeShade="BF"/>
          <w:sz w:val="24"/>
          <w:szCs w:val="24"/>
          <w:lang w:val="es-MX"/>
        </w:rPr>
      </w:pPr>
    </w:p>
    <w:p w:rsidR="00884D7B" w:rsidRPr="00A40225" w:rsidRDefault="00884D7B" w:rsidP="00A40225">
      <w:pPr>
        <w:pStyle w:val="corte4fondo"/>
        <w:spacing w:line="276" w:lineRule="auto"/>
        <w:rPr>
          <w:rFonts w:cs="Arial"/>
          <w:color w:val="2E74B5" w:themeColor="accent1" w:themeShade="BF"/>
          <w:sz w:val="24"/>
          <w:szCs w:val="24"/>
          <w:lang w:val="es-MX"/>
        </w:rPr>
      </w:pPr>
      <w:r w:rsidRPr="00A40225">
        <w:rPr>
          <w:rFonts w:cs="Arial"/>
          <w:b/>
          <w:color w:val="2E74B5" w:themeColor="accent1" w:themeShade="BF"/>
          <w:sz w:val="24"/>
          <w:szCs w:val="24"/>
          <w:lang w:val="es-MX"/>
        </w:rPr>
        <w:t xml:space="preserve"> </w:t>
      </w:r>
      <w:r w:rsidR="007C0210" w:rsidRPr="00A40225">
        <w:rPr>
          <w:rFonts w:cs="Arial"/>
          <w:b/>
          <w:color w:val="2E74B5" w:themeColor="accent1" w:themeShade="BF"/>
          <w:sz w:val="24"/>
          <w:szCs w:val="24"/>
          <w:lang w:val="es-MX"/>
        </w:rPr>
        <w:t>SÉPTIMO</w:t>
      </w:r>
      <w:r w:rsidR="0029690D" w:rsidRPr="00A40225">
        <w:rPr>
          <w:rFonts w:cs="Arial"/>
          <w:b/>
          <w:color w:val="2E74B5" w:themeColor="accent1" w:themeShade="BF"/>
          <w:sz w:val="24"/>
          <w:szCs w:val="24"/>
          <w:lang w:val="es-MX"/>
        </w:rPr>
        <w:t>. A</w:t>
      </w:r>
      <w:r w:rsidR="0029690D" w:rsidRPr="00A40225">
        <w:rPr>
          <w:rFonts w:cs="Arial"/>
          <w:b/>
          <w:color w:val="2E74B5" w:themeColor="accent1" w:themeShade="BF"/>
          <w:sz w:val="24"/>
          <w:szCs w:val="24"/>
        </w:rPr>
        <w:t>ampliación del plazo para resolver</w:t>
      </w:r>
      <w:r w:rsidR="0029690D" w:rsidRPr="00A40225">
        <w:rPr>
          <w:rFonts w:cs="Arial"/>
          <w:b/>
          <w:color w:val="2E74B5" w:themeColor="accent1" w:themeShade="BF"/>
          <w:sz w:val="24"/>
          <w:szCs w:val="24"/>
          <w:lang w:val="es-MX"/>
        </w:rPr>
        <w:t>.</w:t>
      </w:r>
      <w:r w:rsidR="0029690D" w:rsidRPr="00A40225">
        <w:rPr>
          <w:rFonts w:cs="Arial"/>
          <w:color w:val="2E74B5" w:themeColor="accent1" w:themeShade="BF"/>
          <w:sz w:val="24"/>
          <w:szCs w:val="24"/>
          <w:lang w:val="es-MX"/>
        </w:rPr>
        <w:t xml:space="preserve"> Por auto de 15 quince de agosto de 2018 dos mil dieciocho, </w:t>
      </w:r>
      <w:r w:rsidR="0029690D" w:rsidRPr="00A40225">
        <w:rPr>
          <w:rFonts w:cs="Arial"/>
          <w:color w:val="2E74B5" w:themeColor="accent1" w:themeShade="BF"/>
          <w:sz w:val="24"/>
          <w:szCs w:val="24"/>
        </w:rPr>
        <w:t>la ponente decretó la ampliación del plazo para resolver el presente asunto</w:t>
      </w:r>
      <w:r w:rsidR="0029690D" w:rsidRPr="00A40225">
        <w:rPr>
          <w:rFonts w:cs="Arial"/>
          <w:color w:val="2E74B5" w:themeColor="accent1" w:themeShade="BF"/>
          <w:sz w:val="24"/>
          <w:szCs w:val="24"/>
          <w:lang w:val="es-ES"/>
        </w:rPr>
        <w:t xml:space="preserve">, ello </w:t>
      </w:r>
      <w:r w:rsidR="0029690D" w:rsidRPr="00A40225">
        <w:rPr>
          <w:rFonts w:cs="Arial"/>
          <w:color w:val="2E74B5" w:themeColor="accent1" w:themeShade="BF"/>
          <w:sz w:val="24"/>
          <w:szCs w:val="24"/>
        </w:rPr>
        <w:t>de conformidad con el Lineamiento Décimo Noveno de los Lineamientos para la Recepción, Sustanciación, Resolución</w:t>
      </w:r>
      <w:r w:rsidR="0029690D" w:rsidRPr="00A40225">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w:t>
      </w:r>
      <w:r w:rsidR="0029690D" w:rsidRPr="00A40225">
        <w:rPr>
          <w:rFonts w:cs="Arial"/>
          <w:color w:val="2E74B5" w:themeColor="accent1" w:themeShade="BF"/>
          <w:spacing w:val="2"/>
          <w:sz w:val="24"/>
          <w:szCs w:val="24"/>
        </w:rPr>
        <w:lastRenderedPageBreak/>
        <w:t xml:space="preserve">diecisiete, y publicados en el Periódico Oficial del Gobierno del Estado el 15 de febrero de 2018 dos mil dieciocho. </w:t>
      </w:r>
      <w:r w:rsidR="0029690D" w:rsidRPr="00A40225">
        <w:rPr>
          <w:rFonts w:cs="Arial"/>
          <w:color w:val="2E74B5" w:themeColor="accent1" w:themeShade="BF"/>
          <w:sz w:val="24"/>
          <w:szCs w:val="24"/>
        </w:rPr>
        <w:t xml:space="preserve"> </w:t>
      </w:r>
    </w:p>
    <w:p w:rsidR="006E692D" w:rsidRPr="00A40225" w:rsidRDefault="006E692D" w:rsidP="00A40225">
      <w:pPr>
        <w:pStyle w:val="corte4fondo"/>
        <w:spacing w:line="276" w:lineRule="auto"/>
        <w:jc w:val="center"/>
        <w:rPr>
          <w:rFonts w:cs="Arial"/>
          <w:b/>
          <w:color w:val="2E74B5" w:themeColor="accent1" w:themeShade="BF"/>
          <w:sz w:val="24"/>
          <w:szCs w:val="24"/>
          <w:lang w:val="es-MX"/>
        </w:rPr>
      </w:pPr>
    </w:p>
    <w:p w:rsidR="00884D7B" w:rsidRPr="00A40225" w:rsidRDefault="00884D7B" w:rsidP="00A40225">
      <w:pPr>
        <w:pStyle w:val="corte4fondo"/>
        <w:spacing w:line="276" w:lineRule="auto"/>
        <w:jc w:val="center"/>
        <w:rPr>
          <w:rFonts w:cs="Arial"/>
          <w:b/>
          <w:color w:val="2E74B5" w:themeColor="accent1" w:themeShade="BF"/>
          <w:sz w:val="24"/>
          <w:szCs w:val="24"/>
          <w:lang w:val="es-MX"/>
        </w:rPr>
      </w:pPr>
      <w:r w:rsidRPr="00A40225">
        <w:rPr>
          <w:rFonts w:cs="Arial"/>
          <w:b/>
          <w:color w:val="2E74B5" w:themeColor="accent1" w:themeShade="BF"/>
          <w:sz w:val="24"/>
          <w:szCs w:val="24"/>
          <w:lang w:val="es-MX"/>
        </w:rPr>
        <w:t>CONSIDERANDO</w:t>
      </w:r>
    </w:p>
    <w:p w:rsidR="00884D7B" w:rsidRPr="00A40225" w:rsidRDefault="00884D7B" w:rsidP="00A40225">
      <w:pPr>
        <w:pStyle w:val="corte4fondo"/>
        <w:spacing w:line="276" w:lineRule="auto"/>
        <w:jc w:val="center"/>
        <w:rPr>
          <w:rFonts w:cs="Arial"/>
          <w:b/>
          <w:color w:val="2E74B5" w:themeColor="accent1" w:themeShade="BF"/>
          <w:sz w:val="24"/>
          <w:szCs w:val="24"/>
          <w:lang w:val="es-MX"/>
        </w:rPr>
      </w:pPr>
    </w:p>
    <w:p w:rsidR="00884D7B" w:rsidRPr="00A40225" w:rsidRDefault="00884D7B" w:rsidP="00A40225">
      <w:pPr>
        <w:pStyle w:val="corte4fondo"/>
        <w:spacing w:line="276" w:lineRule="auto"/>
        <w:rPr>
          <w:rFonts w:cs="Arial"/>
          <w:color w:val="2E74B5" w:themeColor="accent1" w:themeShade="BF"/>
          <w:sz w:val="24"/>
          <w:szCs w:val="24"/>
          <w:lang w:val="es-MX"/>
        </w:rPr>
      </w:pPr>
      <w:r w:rsidRPr="00A40225">
        <w:rPr>
          <w:rFonts w:cs="Arial"/>
          <w:b/>
          <w:color w:val="2E74B5" w:themeColor="accent1" w:themeShade="BF"/>
          <w:sz w:val="24"/>
          <w:szCs w:val="24"/>
          <w:lang w:val="es-MX"/>
        </w:rPr>
        <w:t xml:space="preserve">PRIMERO. Competencia. </w:t>
      </w:r>
      <w:r w:rsidRPr="00A40225">
        <w:rPr>
          <w:rFonts w:cs="Arial"/>
          <w:color w:val="2E74B5" w:themeColor="accent1" w:themeShade="BF"/>
          <w:sz w:val="24"/>
          <w:szCs w:val="24"/>
          <w:lang w:val="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884D7B" w:rsidRPr="00A40225" w:rsidRDefault="00884D7B" w:rsidP="00A40225">
      <w:pPr>
        <w:pStyle w:val="corte4fondo"/>
        <w:spacing w:line="276" w:lineRule="auto"/>
        <w:rPr>
          <w:rFonts w:cs="Arial"/>
          <w:color w:val="2E74B5" w:themeColor="accent1" w:themeShade="BF"/>
          <w:sz w:val="24"/>
          <w:szCs w:val="24"/>
          <w:lang w:val="es-MX"/>
        </w:rPr>
      </w:pPr>
    </w:p>
    <w:p w:rsidR="00884D7B" w:rsidRPr="00A40225" w:rsidRDefault="00884D7B" w:rsidP="00A40225">
      <w:pPr>
        <w:pStyle w:val="corte4fondo"/>
        <w:spacing w:line="276" w:lineRule="auto"/>
        <w:rPr>
          <w:rFonts w:cs="Arial"/>
          <w:color w:val="2E74B5" w:themeColor="accent1" w:themeShade="BF"/>
          <w:sz w:val="24"/>
          <w:szCs w:val="24"/>
          <w:lang w:val="es-MX"/>
        </w:rPr>
      </w:pPr>
      <w:r w:rsidRPr="00A40225">
        <w:rPr>
          <w:rFonts w:cs="Arial"/>
          <w:b/>
          <w:color w:val="2E74B5" w:themeColor="accent1" w:themeShade="BF"/>
          <w:sz w:val="24"/>
          <w:szCs w:val="24"/>
        </w:rPr>
        <w:t xml:space="preserve">SEGUNDO. Procedencia. </w:t>
      </w:r>
      <w:r w:rsidRPr="00A40225">
        <w:rPr>
          <w:rFonts w:cs="Arial"/>
          <w:color w:val="2E74B5" w:themeColor="accent1" w:themeShade="BF"/>
          <w:sz w:val="24"/>
          <w:szCs w:val="24"/>
        </w:rPr>
        <w:t>El presente recurso de revisión es procedente en términos del artículo 166 de la Ley de Transparencia y Acceso a la Información Pública del Estado</w:t>
      </w:r>
      <w:r w:rsidRPr="00A40225">
        <w:rPr>
          <w:rFonts w:cs="Arial"/>
          <w:color w:val="2E74B5" w:themeColor="accent1" w:themeShade="BF"/>
          <w:sz w:val="24"/>
          <w:szCs w:val="24"/>
          <w:lang w:val="es-MX"/>
        </w:rPr>
        <w:t xml:space="preserve"> ya que el recurrente se inconforma por la omisión de dar respuesta a su solicitud de acceso a la información pública por parte del sujeto obligado.</w:t>
      </w:r>
      <w:r w:rsidRPr="00A40225">
        <w:rPr>
          <w:rFonts w:cs="Arial"/>
          <w:color w:val="2E74B5" w:themeColor="accent1" w:themeShade="BF"/>
          <w:sz w:val="24"/>
          <w:szCs w:val="24"/>
        </w:rPr>
        <w:t xml:space="preserve"> </w:t>
      </w:r>
    </w:p>
    <w:p w:rsidR="00884D7B" w:rsidRPr="00A40225" w:rsidRDefault="00884D7B" w:rsidP="00A40225">
      <w:pPr>
        <w:pStyle w:val="corte4fondo"/>
        <w:spacing w:line="276" w:lineRule="auto"/>
        <w:rPr>
          <w:rFonts w:cs="Arial"/>
          <w:color w:val="2E74B5" w:themeColor="accent1" w:themeShade="BF"/>
          <w:sz w:val="24"/>
          <w:szCs w:val="24"/>
          <w:lang w:val="es-MX"/>
        </w:rPr>
      </w:pPr>
    </w:p>
    <w:p w:rsidR="007C0210" w:rsidRPr="00A40225" w:rsidRDefault="00F140C8" w:rsidP="00A40225">
      <w:pPr>
        <w:spacing w:after="0"/>
        <w:ind w:firstLine="709"/>
        <w:jc w:val="both"/>
        <w:rPr>
          <w:rFonts w:ascii="Arial" w:eastAsia="Times New Roman" w:hAnsi="Arial" w:cs="Arial"/>
          <w:color w:val="2E74B5" w:themeColor="accent1" w:themeShade="BF"/>
          <w:sz w:val="24"/>
          <w:szCs w:val="24"/>
          <w:lang w:eastAsia="es-MX"/>
        </w:rPr>
      </w:pPr>
      <w:r w:rsidRPr="00A40225">
        <w:rPr>
          <w:rFonts w:ascii="Arial" w:eastAsia="Times New Roman" w:hAnsi="Arial" w:cs="Arial"/>
          <w:b/>
          <w:color w:val="2E74B5" w:themeColor="accent1" w:themeShade="BF"/>
          <w:sz w:val="24"/>
          <w:szCs w:val="24"/>
          <w:lang w:eastAsia="es-MX"/>
        </w:rPr>
        <w:t>TERCERO</w:t>
      </w:r>
      <w:r w:rsidR="007C0210" w:rsidRPr="00A40225">
        <w:rPr>
          <w:rFonts w:ascii="Arial" w:eastAsia="Times New Roman" w:hAnsi="Arial" w:cs="Arial"/>
          <w:b/>
          <w:color w:val="2E74B5" w:themeColor="accent1" w:themeShade="BF"/>
          <w:sz w:val="24"/>
          <w:szCs w:val="24"/>
          <w:lang w:eastAsia="es-MX"/>
        </w:rPr>
        <w:t>. Oportunidad del recurso</w:t>
      </w:r>
      <w:r w:rsidR="007C0210" w:rsidRPr="00A40225">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7C0210" w:rsidRPr="00A40225" w:rsidRDefault="007C0210" w:rsidP="00A40225">
      <w:pPr>
        <w:spacing w:after="0"/>
        <w:ind w:firstLine="709"/>
        <w:jc w:val="both"/>
        <w:rPr>
          <w:rFonts w:ascii="Arial" w:eastAsia="Times New Roman" w:hAnsi="Arial" w:cs="Arial"/>
          <w:color w:val="2E74B5" w:themeColor="accent1" w:themeShade="BF"/>
          <w:sz w:val="24"/>
          <w:szCs w:val="24"/>
          <w:lang w:eastAsia="es-MX"/>
        </w:rPr>
      </w:pPr>
    </w:p>
    <w:p w:rsidR="007C0210" w:rsidRPr="00A40225" w:rsidRDefault="007C0210" w:rsidP="00A40225">
      <w:pPr>
        <w:numPr>
          <w:ilvl w:val="0"/>
          <w:numId w:val="3"/>
        </w:numPr>
        <w:spacing w:after="0"/>
        <w:jc w:val="both"/>
        <w:rPr>
          <w:rFonts w:ascii="Arial" w:eastAsia="Times New Roman" w:hAnsi="Arial" w:cs="Arial"/>
          <w:color w:val="2E74B5" w:themeColor="accent1" w:themeShade="BF"/>
          <w:sz w:val="24"/>
          <w:szCs w:val="24"/>
          <w:lang w:eastAsia="es-MX"/>
        </w:rPr>
      </w:pPr>
      <w:r w:rsidRPr="00A40225">
        <w:rPr>
          <w:rFonts w:ascii="Arial" w:eastAsia="Times New Roman" w:hAnsi="Arial" w:cs="Arial"/>
          <w:color w:val="2E74B5" w:themeColor="accent1" w:themeShade="BF"/>
          <w:sz w:val="24"/>
          <w:szCs w:val="24"/>
          <w:lang w:eastAsia="es-MX"/>
        </w:rPr>
        <w:t>El 12 doce de junio de 2018 dos mil dieciocho el solicitante de la información fue notificado de la respuesta a su solicitud.</w:t>
      </w:r>
    </w:p>
    <w:p w:rsidR="007C0210" w:rsidRPr="00A40225" w:rsidRDefault="007C0210" w:rsidP="00A40225">
      <w:pPr>
        <w:numPr>
          <w:ilvl w:val="0"/>
          <w:numId w:val="3"/>
        </w:numPr>
        <w:spacing w:after="0"/>
        <w:jc w:val="both"/>
        <w:rPr>
          <w:rFonts w:ascii="Arial" w:eastAsia="Times New Roman" w:hAnsi="Arial" w:cs="Arial"/>
          <w:color w:val="2E74B5" w:themeColor="accent1" w:themeShade="BF"/>
          <w:sz w:val="24"/>
          <w:szCs w:val="24"/>
          <w:lang w:eastAsia="es-MX"/>
        </w:rPr>
      </w:pPr>
      <w:r w:rsidRPr="00A40225">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13 trece </w:t>
      </w:r>
      <w:r w:rsidR="00400D4F" w:rsidRPr="00A40225">
        <w:rPr>
          <w:rFonts w:ascii="Arial" w:eastAsia="Times New Roman" w:hAnsi="Arial" w:cs="Arial"/>
          <w:color w:val="2E74B5" w:themeColor="accent1" w:themeShade="BF"/>
          <w:sz w:val="24"/>
          <w:szCs w:val="24"/>
          <w:lang w:eastAsia="es-MX"/>
        </w:rPr>
        <w:t xml:space="preserve">de junio al 03 tres de julio </w:t>
      </w:r>
      <w:r w:rsidRPr="00A40225">
        <w:rPr>
          <w:rFonts w:ascii="Arial" w:eastAsia="Times New Roman" w:hAnsi="Arial" w:cs="Arial"/>
          <w:color w:val="2E74B5" w:themeColor="accent1" w:themeShade="BF"/>
          <w:sz w:val="24"/>
          <w:szCs w:val="24"/>
          <w:lang w:eastAsia="es-MX"/>
        </w:rPr>
        <w:t xml:space="preserve">de este año. </w:t>
      </w:r>
    </w:p>
    <w:p w:rsidR="007C0210" w:rsidRPr="00A40225" w:rsidRDefault="007C0210" w:rsidP="00A40225">
      <w:pPr>
        <w:numPr>
          <w:ilvl w:val="0"/>
          <w:numId w:val="3"/>
        </w:numPr>
        <w:spacing w:after="0"/>
        <w:jc w:val="both"/>
        <w:rPr>
          <w:rFonts w:ascii="Arial" w:eastAsia="Times New Roman" w:hAnsi="Arial" w:cs="Arial"/>
          <w:color w:val="2E74B5" w:themeColor="accent1" w:themeShade="BF"/>
          <w:sz w:val="24"/>
          <w:szCs w:val="24"/>
          <w:lang w:eastAsia="es-MX"/>
        </w:rPr>
      </w:pPr>
      <w:r w:rsidRPr="00A40225">
        <w:rPr>
          <w:rFonts w:ascii="Arial" w:eastAsia="Times New Roman" w:hAnsi="Arial" w:cs="Arial"/>
          <w:color w:val="2E74B5" w:themeColor="accent1" w:themeShade="BF"/>
          <w:sz w:val="24"/>
          <w:szCs w:val="24"/>
          <w:lang w:eastAsia="es-MX"/>
        </w:rPr>
        <w:t>Se deben de descontar de dicho cómputo por ser inhábiles los días</w:t>
      </w:r>
      <w:r w:rsidR="00F140C8" w:rsidRPr="00A40225">
        <w:rPr>
          <w:rFonts w:ascii="Arial" w:eastAsia="Times New Roman" w:hAnsi="Arial" w:cs="Arial"/>
          <w:color w:val="2E74B5" w:themeColor="accent1" w:themeShade="BF"/>
          <w:sz w:val="24"/>
          <w:szCs w:val="24"/>
          <w:lang w:eastAsia="es-MX"/>
        </w:rPr>
        <w:t xml:space="preserve"> 16 dieciséis, 17 diecisiete, 23 veintitrés, 24 veinticuatro, 30 treinta y 01 uno de julio</w:t>
      </w:r>
      <w:r w:rsidRPr="00A40225">
        <w:rPr>
          <w:rFonts w:ascii="Arial" w:eastAsia="Times New Roman" w:hAnsi="Arial" w:cs="Arial"/>
          <w:color w:val="2E74B5" w:themeColor="accent1" w:themeShade="BF"/>
          <w:sz w:val="24"/>
          <w:szCs w:val="24"/>
          <w:lang w:eastAsia="es-MX"/>
        </w:rPr>
        <w:t xml:space="preserve">.  </w:t>
      </w:r>
    </w:p>
    <w:p w:rsidR="00F140C8" w:rsidRPr="00A40225" w:rsidRDefault="007C0210" w:rsidP="00A40225">
      <w:pPr>
        <w:numPr>
          <w:ilvl w:val="0"/>
          <w:numId w:val="3"/>
        </w:numPr>
        <w:spacing w:after="0"/>
        <w:jc w:val="both"/>
        <w:rPr>
          <w:rFonts w:ascii="Arial" w:hAnsi="Arial" w:cs="Arial"/>
          <w:color w:val="2E74B5" w:themeColor="accent1" w:themeShade="BF"/>
          <w:sz w:val="24"/>
          <w:szCs w:val="24"/>
        </w:rPr>
      </w:pPr>
      <w:r w:rsidRPr="00A40225">
        <w:rPr>
          <w:rFonts w:ascii="Arial" w:eastAsia="Times New Roman" w:hAnsi="Arial" w:cs="Arial"/>
          <w:color w:val="2E74B5" w:themeColor="accent1" w:themeShade="BF"/>
          <w:sz w:val="24"/>
          <w:szCs w:val="24"/>
          <w:lang w:eastAsia="es-MX"/>
        </w:rPr>
        <w:t xml:space="preserve">Consecuentemente si el </w:t>
      </w:r>
      <w:r w:rsidR="00F140C8" w:rsidRPr="00A40225">
        <w:rPr>
          <w:rFonts w:ascii="Arial" w:eastAsia="Times New Roman" w:hAnsi="Arial" w:cs="Arial"/>
          <w:color w:val="2E74B5" w:themeColor="accent1" w:themeShade="BF"/>
          <w:sz w:val="24"/>
          <w:szCs w:val="24"/>
          <w:lang w:eastAsia="es-MX"/>
        </w:rPr>
        <w:t xml:space="preserve">13 trece de junio </w:t>
      </w:r>
      <w:r w:rsidRPr="00A40225">
        <w:rPr>
          <w:rFonts w:ascii="Arial" w:eastAsia="Times New Roman" w:hAnsi="Arial" w:cs="Arial"/>
          <w:color w:val="2E74B5" w:themeColor="accent1" w:themeShade="BF"/>
          <w:sz w:val="24"/>
          <w:szCs w:val="24"/>
          <w:lang w:eastAsia="es-MX"/>
        </w:rPr>
        <w:t xml:space="preserve">del presente año el recurrente interpuso el citado medio de impugnación </w:t>
      </w:r>
      <w:r w:rsidR="00F140C8" w:rsidRPr="00A40225">
        <w:rPr>
          <w:rFonts w:ascii="Arial" w:hAnsi="Arial" w:cs="Arial"/>
          <w:color w:val="2E74B5" w:themeColor="accent1" w:themeShade="BF"/>
          <w:sz w:val="24"/>
          <w:szCs w:val="24"/>
        </w:rPr>
        <w:t>a través del Sistema de Gestión de Medios de Impugnación, el solicitante de la información interpuso recurso de revisión en contra de la respuesta mencionada en el punto anterior, mismo que quedó presentado ante la Oficialía de Partes de esta Comisión Estatal de Garantía de Acceso a la Información Pública el día 14 catorce del referido mes y año, esto es, al día hábil siguiente al que fue interpuesto, por haber sido interpuesto ante el sistema posterior a la hora establecida, de conformidad con el Acuerdo de Pleno S.O. CEGAIP-208/2014 emitido en Sesión Ordinaria de 15 de enero de 2018 dos mil dieciocho.</w:t>
      </w:r>
    </w:p>
    <w:p w:rsidR="007C0210" w:rsidRPr="00A40225" w:rsidRDefault="007C0210" w:rsidP="00A40225">
      <w:pPr>
        <w:pStyle w:val="corte4fondo"/>
        <w:spacing w:line="276" w:lineRule="auto"/>
        <w:rPr>
          <w:rFonts w:cs="Arial"/>
          <w:color w:val="2E74B5" w:themeColor="accent1" w:themeShade="BF"/>
          <w:sz w:val="24"/>
          <w:szCs w:val="24"/>
        </w:rPr>
      </w:pPr>
    </w:p>
    <w:p w:rsidR="007C0210" w:rsidRPr="00A40225" w:rsidRDefault="00F140C8" w:rsidP="00A40225">
      <w:pPr>
        <w:pStyle w:val="corte4fondo"/>
        <w:spacing w:line="276" w:lineRule="auto"/>
        <w:ind w:firstLine="708"/>
        <w:rPr>
          <w:rFonts w:cs="Arial"/>
          <w:color w:val="2E74B5" w:themeColor="accent1" w:themeShade="BF"/>
          <w:sz w:val="24"/>
          <w:szCs w:val="24"/>
        </w:rPr>
      </w:pPr>
      <w:r w:rsidRPr="00A40225">
        <w:rPr>
          <w:rFonts w:cs="Arial"/>
          <w:b/>
          <w:color w:val="2E74B5" w:themeColor="accent1" w:themeShade="BF"/>
          <w:sz w:val="24"/>
          <w:szCs w:val="24"/>
        </w:rPr>
        <w:t>CUARTO</w:t>
      </w:r>
      <w:r w:rsidR="007C0210" w:rsidRPr="00A40225">
        <w:rPr>
          <w:rFonts w:cs="Arial"/>
          <w:b/>
          <w:color w:val="2E74B5" w:themeColor="accent1" w:themeShade="BF"/>
          <w:sz w:val="24"/>
          <w:szCs w:val="24"/>
        </w:rPr>
        <w:t>. Certeza del acto reclamado</w:t>
      </w:r>
      <w:r w:rsidR="007C0210" w:rsidRPr="00A40225">
        <w:rPr>
          <w:rFonts w:cs="Arial"/>
          <w:color w:val="2E74B5" w:themeColor="accent1" w:themeShade="BF"/>
          <w:sz w:val="24"/>
          <w:szCs w:val="24"/>
        </w:rPr>
        <w:t xml:space="preserve">. Son ciertos los actos reclamados  atribuidos a los sujetos obligados en virtud de que el </w:t>
      </w:r>
      <w:r w:rsidR="007C0210" w:rsidRPr="00A40225">
        <w:rPr>
          <w:rFonts w:cs="Arial"/>
          <w:b/>
          <w:color w:val="2E74B5" w:themeColor="accent1" w:themeShade="BF"/>
          <w:sz w:val="24"/>
          <w:szCs w:val="24"/>
          <w:lang w:val="es-MX"/>
        </w:rPr>
        <w:t xml:space="preserve">TITULAR </w:t>
      </w:r>
      <w:r w:rsidR="007C0210" w:rsidRPr="00A40225">
        <w:rPr>
          <w:rFonts w:cs="Arial"/>
          <w:b/>
          <w:color w:val="2E74B5" w:themeColor="accent1" w:themeShade="BF"/>
          <w:sz w:val="24"/>
          <w:szCs w:val="24"/>
        </w:rPr>
        <w:t xml:space="preserve">DE LA UNIDAD DE </w:t>
      </w:r>
      <w:r w:rsidR="007C0210" w:rsidRPr="00A40225">
        <w:rPr>
          <w:rFonts w:cs="Arial"/>
          <w:b/>
          <w:color w:val="2E74B5" w:themeColor="accent1" w:themeShade="BF"/>
          <w:sz w:val="24"/>
          <w:szCs w:val="24"/>
          <w:lang w:val="es-MX"/>
        </w:rPr>
        <w:t xml:space="preserve">TRANSPARENCIA y </w:t>
      </w:r>
      <w:r w:rsidRPr="00A40225">
        <w:rPr>
          <w:rFonts w:cs="Arial"/>
          <w:b/>
          <w:color w:val="2E74B5" w:themeColor="accent1" w:themeShade="BF"/>
          <w:sz w:val="24"/>
          <w:szCs w:val="24"/>
          <w:lang w:val="es-MX"/>
        </w:rPr>
        <w:t xml:space="preserve">el DIRECTOR JURÍDICO  </w:t>
      </w:r>
      <w:r w:rsidR="007C0210" w:rsidRPr="00A40225">
        <w:rPr>
          <w:rFonts w:cs="Arial"/>
          <w:b/>
          <w:color w:val="2E74B5" w:themeColor="accent1" w:themeShade="BF"/>
          <w:sz w:val="24"/>
          <w:szCs w:val="24"/>
          <w:lang w:val="es-MX"/>
        </w:rPr>
        <w:t>de la COMISIÓN ESTATAL DE GARANTÍA DE ACCESO A LA INFORMACIÓN PÚBLICA</w:t>
      </w:r>
      <w:r w:rsidR="007C0210" w:rsidRPr="00A40225">
        <w:rPr>
          <w:rFonts w:cs="Arial"/>
          <w:color w:val="2E74B5" w:themeColor="accent1" w:themeShade="BF"/>
          <w:sz w:val="24"/>
          <w:szCs w:val="24"/>
          <w:lang w:val="es-MX"/>
        </w:rPr>
        <w:t xml:space="preserve"> </w:t>
      </w:r>
      <w:r w:rsidR="007C0210" w:rsidRPr="00A40225">
        <w:rPr>
          <w:rFonts w:cs="Arial"/>
          <w:color w:val="2E74B5" w:themeColor="accent1" w:themeShade="BF"/>
          <w:sz w:val="24"/>
          <w:szCs w:val="24"/>
        </w:rPr>
        <w:t>así lo reconocieron en su informe.</w:t>
      </w:r>
    </w:p>
    <w:p w:rsidR="00884D7B" w:rsidRPr="00A40225" w:rsidRDefault="00884D7B" w:rsidP="00A40225">
      <w:pPr>
        <w:pStyle w:val="corte4fondo"/>
        <w:spacing w:line="276" w:lineRule="auto"/>
        <w:ind w:firstLine="0"/>
        <w:rPr>
          <w:rFonts w:cs="Arial"/>
          <w:color w:val="2E74B5" w:themeColor="accent1" w:themeShade="BF"/>
          <w:sz w:val="24"/>
          <w:szCs w:val="24"/>
          <w:lang w:val="es-MX"/>
        </w:rPr>
      </w:pPr>
    </w:p>
    <w:p w:rsidR="00884D7B" w:rsidRPr="00A40225" w:rsidRDefault="00884D7B"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ab/>
      </w:r>
      <w:r w:rsidR="006E692D" w:rsidRPr="00A40225">
        <w:rPr>
          <w:rFonts w:cs="Arial"/>
          <w:b/>
          <w:color w:val="2E74B5" w:themeColor="accent1" w:themeShade="BF"/>
          <w:sz w:val="24"/>
          <w:szCs w:val="24"/>
          <w:lang w:val="es-MX"/>
        </w:rPr>
        <w:t>QUINTO.</w:t>
      </w:r>
      <w:r w:rsidRPr="00A40225">
        <w:rPr>
          <w:rFonts w:cs="Arial"/>
          <w:color w:val="2E74B5" w:themeColor="accent1" w:themeShade="BF"/>
          <w:sz w:val="24"/>
          <w:szCs w:val="24"/>
          <w:lang w:val="es-MX"/>
        </w:rPr>
        <w:t xml:space="preserve"> </w:t>
      </w:r>
      <w:r w:rsidRPr="00A40225">
        <w:rPr>
          <w:rFonts w:cs="Arial"/>
          <w:b/>
          <w:color w:val="2E74B5" w:themeColor="accent1" w:themeShade="BF"/>
          <w:sz w:val="24"/>
          <w:szCs w:val="24"/>
          <w:lang w:val="es-MX"/>
        </w:rPr>
        <w:t>Sobreseimiento</w:t>
      </w:r>
      <w:r w:rsidRPr="00A40225">
        <w:rPr>
          <w:rFonts w:cs="Arial"/>
          <w:color w:val="2E74B5" w:themeColor="accent1" w:themeShade="BF"/>
          <w:sz w:val="24"/>
          <w:szCs w:val="24"/>
          <w:lang w:val="es-MX"/>
        </w:rPr>
        <w:t>. Dicha figura del sobreseimiento es la resolución por parte de esta Comisión Estatal de Garantía de Acceso a la Información Pública de carácter definitivo porque pone fin al procedimiento sin resolver las cuestiones de fondo, es decir, porque se haya actualizado alguno de los supuestos que establece el artículo 180 de la Ley de Transparencia y Acceso a la Información Pública del Estado.</w:t>
      </w:r>
    </w:p>
    <w:p w:rsidR="00884D7B" w:rsidRPr="00A40225" w:rsidRDefault="00884D7B" w:rsidP="00A40225">
      <w:pPr>
        <w:pStyle w:val="corte4fondo"/>
        <w:spacing w:line="276" w:lineRule="auto"/>
        <w:ind w:firstLine="0"/>
        <w:rPr>
          <w:rFonts w:cs="Arial"/>
          <w:color w:val="2E74B5" w:themeColor="accent1" w:themeShade="BF"/>
          <w:sz w:val="24"/>
          <w:szCs w:val="24"/>
          <w:lang w:val="es-MX"/>
        </w:rPr>
      </w:pPr>
    </w:p>
    <w:p w:rsidR="00884D7B" w:rsidRPr="00A40225" w:rsidRDefault="00884D7B"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ab/>
        <w:t xml:space="preserve">En la especie, el sujeto obligado cuando rindió su informe ante esta Comisión de Transparencia solicitó que se sobreseyera el presente recurso ya que dijo que en </w:t>
      </w:r>
      <w:r w:rsidR="00F30FEF" w:rsidRPr="00A40225">
        <w:rPr>
          <w:rFonts w:cs="Arial"/>
          <w:color w:val="2E74B5" w:themeColor="accent1" w:themeShade="BF"/>
          <w:sz w:val="24"/>
          <w:szCs w:val="24"/>
          <w:lang w:val="es-MX"/>
        </w:rPr>
        <w:t>el caso</w:t>
      </w:r>
      <w:r w:rsidRPr="00A40225">
        <w:rPr>
          <w:rFonts w:cs="Arial"/>
          <w:color w:val="2E74B5" w:themeColor="accent1" w:themeShade="BF"/>
          <w:sz w:val="24"/>
          <w:szCs w:val="24"/>
          <w:lang w:val="es-MX"/>
        </w:rPr>
        <w:t xml:space="preserve"> se actualizaba la causal prevista en el artículo 180, fracción IV </w:t>
      </w:r>
      <w:r w:rsidR="00BD6E8A" w:rsidRPr="00A40225">
        <w:rPr>
          <w:rFonts w:cs="Arial"/>
          <w:color w:val="2E74B5" w:themeColor="accent1" w:themeShade="BF"/>
          <w:sz w:val="24"/>
          <w:szCs w:val="24"/>
          <w:lang w:val="es-MX"/>
        </w:rPr>
        <w:t xml:space="preserve">en relación con el 179, fracciones IV y VIII </w:t>
      </w:r>
      <w:r w:rsidRPr="00A40225">
        <w:rPr>
          <w:rFonts w:cs="Arial"/>
          <w:color w:val="2E74B5" w:themeColor="accent1" w:themeShade="BF"/>
          <w:sz w:val="24"/>
          <w:szCs w:val="24"/>
          <w:lang w:val="es-MX"/>
        </w:rPr>
        <w:t>de la Ley de Transparencia</w:t>
      </w:r>
      <w:r w:rsidR="00F30FEF" w:rsidRPr="00A40225">
        <w:rPr>
          <w:rFonts w:cs="Arial"/>
          <w:color w:val="2E74B5" w:themeColor="accent1" w:themeShade="BF"/>
          <w:sz w:val="24"/>
          <w:szCs w:val="24"/>
          <w:lang w:val="es-MX"/>
        </w:rPr>
        <w:t xml:space="preserve"> y Acceso a la Información Pública del Estado.</w:t>
      </w:r>
    </w:p>
    <w:p w:rsidR="00884D7B" w:rsidRPr="00A40225" w:rsidRDefault="00884D7B" w:rsidP="00A40225">
      <w:pPr>
        <w:pStyle w:val="corte4fondo"/>
        <w:spacing w:line="276" w:lineRule="auto"/>
        <w:ind w:firstLine="0"/>
        <w:rPr>
          <w:rFonts w:cs="Arial"/>
          <w:color w:val="2E74B5" w:themeColor="accent1" w:themeShade="BF"/>
          <w:sz w:val="24"/>
          <w:szCs w:val="24"/>
          <w:lang w:val="es-MX"/>
        </w:rPr>
      </w:pPr>
    </w:p>
    <w:p w:rsidR="00884D7B" w:rsidRPr="00A40225" w:rsidRDefault="00884D7B"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ab/>
        <w:t xml:space="preserve">Ahora, está Comisión de Transparencia analiza la procedencia del sobreseimiento, en virtud de que de acuerdo con la Ley de Transparencia esta figura es una cuestión de orden público que impide, como se ha dicho, entrar al fondo del asunto. </w:t>
      </w:r>
    </w:p>
    <w:p w:rsidR="00884D7B" w:rsidRPr="00A40225" w:rsidRDefault="00884D7B" w:rsidP="00A40225">
      <w:pPr>
        <w:pStyle w:val="corte4fondo"/>
        <w:spacing w:line="276" w:lineRule="auto"/>
        <w:ind w:firstLine="0"/>
        <w:rPr>
          <w:rFonts w:cs="Arial"/>
          <w:color w:val="2E74B5" w:themeColor="accent1" w:themeShade="BF"/>
          <w:sz w:val="24"/>
          <w:szCs w:val="24"/>
          <w:lang w:val="es-MX"/>
        </w:rPr>
      </w:pPr>
    </w:p>
    <w:p w:rsidR="00884D7B" w:rsidRPr="00A40225" w:rsidRDefault="00884D7B"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ab/>
      </w:r>
      <w:r w:rsidR="00FE7A5F" w:rsidRPr="00A40225">
        <w:rPr>
          <w:rFonts w:cs="Arial"/>
          <w:b/>
          <w:color w:val="2E74B5" w:themeColor="accent1" w:themeShade="BF"/>
          <w:sz w:val="24"/>
          <w:szCs w:val="24"/>
          <w:lang w:val="es-MX"/>
        </w:rPr>
        <w:t>5</w:t>
      </w:r>
      <w:r w:rsidRPr="00A40225">
        <w:rPr>
          <w:rFonts w:cs="Arial"/>
          <w:b/>
          <w:color w:val="2E74B5" w:themeColor="accent1" w:themeShade="BF"/>
          <w:sz w:val="24"/>
          <w:szCs w:val="24"/>
          <w:lang w:val="es-MX"/>
        </w:rPr>
        <w:t>.1. Objetivo de la Ley de Transparencia</w:t>
      </w:r>
      <w:r w:rsidRPr="00A40225">
        <w:rPr>
          <w:rFonts w:cs="Arial"/>
          <w:color w:val="2E74B5" w:themeColor="accent1" w:themeShade="BF"/>
          <w:sz w:val="24"/>
          <w:szCs w:val="24"/>
          <w:lang w:val="es-MX"/>
        </w:rPr>
        <w:t>.</w:t>
      </w:r>
    </w:p>
    <w:p w:rsidR="00884D7B" w:rsidRPr="00A40225" w:rsidRDefault="00884D7B" w:rsidP="00A40225">
      <w:pPr>
        <w:pStyle w:val="corte4fondo"/>
        <w:spacing w:line="276" w:lineRule="auto"/>
        <w:ind w:firstLine="0"/>
        <w:rPr>
          <w:rFonts w:cs="Arial"/>
          <w:color w:val="2E74B5" w:themeColor="accent1" w:themeShade="BF"/>
          <w:sz w:val="24"/>
          <w:szCs w:val="24"/>
          <w:lang w:val="es-MX"/>
        </w:rPr>
      </w:pPr>
    </w:p>
    <w:p w:rsidR="00884D7B" w:rsidRPr="00A40225" w:rsidRDefault="00884D7B" w:rsidP="00A40225">
      <w:pPr>
        <w:pStyle w:val="NormalWeb"/>
        <w:spacing w:before="0" w:beforeAutospacing="0" w:after="0" w:afterAutospacing="0" w:line="276" w:lineRule="auto"/>
        <w:jc w:val="both"/>
        <w:rPr>
          <w:rFonts w:ascii="Arial" w:eastAsia="Arial Unicode MS" w:hAnsi="Arial" w:cs="Arial"/>
          <w:color w:val="2E74B5" w:themeColor="accent1" w:themeShade="BF"/>
        </w:rPr>
      </w:pPr>
      <w:r w:rsidRPr="00A40225">
        <w:rPr>
          <w:rFonts w:ascii="Arial" w:hAnsi="Arial" w:cs="Arial"/>
          <w:color w:val="2E74B5" w:themeColor="accent1" w:themeShade="BF"/>
          <w:lang w:val="es-MX" w:eastAsia="es-MX"/>
        </w:rPr>
        <w:tab/>
      </w:r>
      <w:r w:rsidRPr="00A40225">
        <w:rPr>
          <w:rFonts w:ascii="Arial" w:eastAsia="Arial Unicode MS" w:hAnsi="Arial" w:cs="Arial"/>
          <w:color w:val="2E74B5" w:themeColor="accent1" w:themeShade="BF"/>
        </w:rPr>
        <w:t>Ahora, es necesario precisar que</w:t>
      </w:r>
      <w:r w:rsidRPr="00A40225">
        <w:rPr>
          <w:rFonts w:ascii="Arial" w:eastAsia="Arial Unicode MS" w:hAnsi="Arial" w:cs="Arial"/>
          <w:color w:val="2E74B5" w:themeColor="accent1" w:themeShade="BF"/>
        </w:rPr>
        <w:tab/>
        <w:t xml:space="preserve"> de conformidad con el segundo párrafo, del artículo 1°</w:t>
      </w:r>
      <w:r w:rsidRPr="00A40225">
        <w:rPr>
          <w:rStyle w:val="Refdenotaalpie"/>
          <w:rFonts w:ascii="Arial" w:eastAsia="Arial Unicode MS" w:hAnsi="Arial" w:cs="Arial"/>
          <w:color w:val="2E74B5" w:themeColor="accent1" w:themeShade="BF"/>
        </w:rPr>
        <w:footnoteReference w:id="2"/>
      </w:r>
      <w:r w:rsidRPr="00A40225">
        <w:rPr>
          <w:rFonts w:ascii="Arial" w:eastAsia="Arial Unicode MS" w:hAnsi="Arial" w:cs="Arial"/>
          <w:color w:val="2E74B5" w:themeColor="accent1" w:themeShade="BF"/>
        </w:rPr>
        <w:t xml:space="preserve"> de la Ley de Transparencia, uno de los objetivos de ésta es garantizar el ejercicio del derecho de acceso a la información pública. </w:t>
      </w:r>
    </w:p>
    <w:p w:rsidR="00884D7B" w:rsidRPr="00A40225" w:rsidRDefault="00884D7B" w:rsidP="00A40225">
      <w:pPr>
        <w:pStyle w:val="NormalWeb"/>
        <w:spacing w:before="0" w:beforeAutospacing="0" w:after="0" w:afterAutospacing="0" w:line="276" w:lineRule="auto"/>
        <w:jc w:val="both"/>
        <w:rPr>
          <w:rFonts w:ascii="Arial" w:eastAsia="Arial Unicode MS" w:hAnsi="Arial" w:cs="Arial"/>
          <w:color w:val="2E74B5" w:themeColor="accent1" w:themeShade="BF"/>
        </w:rPr>
      </w:pPr>
      <w:r w:rsidRPr="00A40225">
        <w:rPr>
          <w:rFonts w:ascii="Arial" w:eastAsia="Arial Unicode MS" w:hAnsi="Arial" w:cs="Arial"/>
          <w:color w:val="2E74B5" w:themeColor="accent1" w:themeShade="BF"/>
        </w:rPr>
        <w:tab/>
      </w:r>
    </w:p>
    <w:p w:rsidR="00884D7B" w:rsidRPr="00A40225" w:rsidRDefault="00FE7A5F" w:rsidP="00A40225">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r w:rsidRPr="00A40225">
        <w:rPr>
          <w:rFonts w:ascii="Arial" w:eastAsia="Arial Unicode MS" w:hAnsi="Arial" w:cs="Arial"/>
          <w:b/>
          <w:color w:val="2E74B5" w:themeColor="accent1" w:themeShade="BF"/>
        </w:rPr>
        <w:t>5</w:t>
      </w:r>
      <w:r w:rsidR="000B7400">
        <w:rPr>
          <w:rFonts w:ascii="Arial" w:eastAsia="Arial Unicode MS" w:hAnsi="Arial" w:cs="Arial"/>
          <w:b/>
          <w:color w:val="2E74B5" w:themeColor="accent1" w:themeShade="BF"/>
        </w:rPr>
        <w:t>.2</w:t>
      </w:r>
      <w:r w:rsidR="00884D7B" w:rsidRPr="00A40225">
        <w:rPr>
          <w:rFonts w:ascii="Arial" w:eastAsia="Arial Unicode MS" w:hAnsi="Arial" w:cs="Arial"/>
          <w:b/>
          <w:color w:val="2E74B5" w:themeColor="accent1" w:themeShade="BF"/>
        </w:rPr>
        <w:t xml:space="preserve"> Supuesto</w:t>
      </w:r>
      <w:r w:rsidR="00143D8C" w:rsidRPr="00A40225">
        <w:rPr>
          <w:rFonts w:ascii="Arial" w:eastAsia="Arial Unicode MS" w:hAnsi="Arial" w:cs="Arial"/>
          <w:b/>
          <w:color w:val="2E74B5" w:themeColor="accent1" w:themeShade="BF"/>
        </w:rPr>
        <w:t>s</w:t>
      </w:r>
      <w:r w:rsidR="00884D7B" w:rsidRPr="00A40225">
        <w:rPr>
          <w:rFonts w:ascii="Arial" w:eastAsia="Arial Unicode MS" w:hAnsi="Arial" w:cs="Arial"/>
          <w:b/>
          <w:color w:val="2E74B5" w:themeColor="accent1" w:themeShade="BF"/>
        </w:rPr>
        <w:t xml:space="preserve"> invocado</w:t>
      </w:r>
      <w:r w:rsidR="00143D8C" w:rsidRPr="00A40225">
        <w:rPr>
          <w:rFonts w:ascii="Arial" w:eastAsia="Arial Unicode MS" w:hAnsi="Arial" w:cs="Arial"/>
          <w:b/>
          <w:color w:val="2E74B5" w:themeColor="accent1" w:themeShade="BF"/>
        </w:rPr>
        <w:t>s</w:t>
      </w:r>
      <w:r w:rsidR="00884D7B" w:rsidRPr="00A40225">
        <w:rPr>
          <w:rFonts w:ascii="Arial" w:eastAsia="Arial Unicode MS" w:hAnsi="Arial" w:cs="Arial"/>
          <w:b/>
          <w:color w:val="2E74B5" w:themeColor="accent1" w:themeShade="BF"/>
        </w:rPr>
        <w:t xml:space="preserve"> por el sujeto obligado para el sobreseimiento.</w:t>
      </w:r>
    </w:p>
    <w:p w:rsidR="00884D7B" w:rsidRPr="00A40225" w:rsidRDefault="00884D7B" w:rsidP="00A40225">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p>
    <w:p w:rsidR="00884D7B" w:rsidRPr="00A40225" w:rsidRDefault="00884D7B"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ab/>
      </w:r>
      <w:r w:rsidR="00FE7A5F" w:rsidRPr="00A40225">
        <w:rPr>
          <w:rFonts w:cs="Arial"/>
          <w:color w:val="2E74B5" w:themeColor="accent1" w:themeShade="BF"/>
          <w:sz w:val="24"/>
          <w:szCs w:val="24"/>
          <w:lang w:val="es-MX"/>
        </w:rPr>
        <w:t>Ahora, de</w:t>
      </w:r>
      <w:r w:rsidRPr="00A40225">
        <w:rPr>
          <w:rFonts w:cs="Arial"/>
          <w:color w:val="2E74B5" w:themeColor="accent1" w:themeShade="BF"/>
          <w:sz w:val="24"/>
          <w:szCs w:val="24"/>
          <w:lang w:val="es-MX"/>
        </w:rPr>
        <w:t xml:space="preserve"> las constancias que el sujeto obligado envió en sus alegatos, se advierte que éste invocó el artículo 180, fracción IV,</w:t>
      </w:r>
      <w:r w:rsidR="00FE7A5F" w:rsidRPr="00A40225">
        <w:rPr>
          <w:rFonts w:cs="Arial"/>
          <w:color w:val="2E74B5" w:themeColor="accent1" w:themeShade="BF"/>
          <w:sz w:val="24"/>
          <w:szCs w:val="24"/>
          <w:lang w:val="es-MX"/>
        </w:rPr>
        <w:t xml:space="preserve"> en relación con el artículo 179, fracción </w:t>
      </w:r>
      <w:r w:rsidR="00B741D3" w:rsidRPr="00A40225">
        <w:rPr>
          <w:rFonts w:cs="Arial"/>
          <w:color w:val="2E74B5" w:themeColor="accent1" w:themeShade="BF"/>
          <w:sz w:val="24"/>
          <w:szCs w:val="24"/>
          <w:lang w:val="es-MX"/>
        </w:rPr>
        <w:t>IV de</w:t>
      </w:r>
      <w:r w:rsidRPr="00A40225">
        <w:rPr>
          <w:rFonts w:cs="Arial"/>
          <w:color w:val="2E74B5" w:themeColor="accent1" w:themeShade="BF"/>
          <w:sz w:val="24"/>
          <w:szCs w:val="24"/>
          <w:lang w:val="es-MX"/>
        </w:rPr>
        <w:t xml:space="preserve"> la Ley de Transparencia, mismo que establece que:</w:t>
      </w:r>
    </w:p>
    <w:p w:rsidR="00884D7B" w:rsidRPr="00A40225" w:rsidRDefault="00884D7B" w:rsidP="00A40225">
      <w:pPr>
        <w:pStyle w:val="corte4fondo"/>
        <w:spacing w:line="276" w:lineRule="auto"/>
        <w:ind w:firstLine="0"/>
        <w:rPr>
          <w:rFonts w:cs="Arial"/>
          <w:color w:val="2E74B5" w:themeColor="accent1" w:themeShade="BF"/>
          <w:sz w:val="24"/>
          <w:szCs w:val="24"/>
          <w:lang w:val="es-MX"/>
        </w:rPr>
      </w:pPr>
    </w:p>
    <w:p w:rsidR="00884D7B" w:rsidRPr="00A40225" w:rsidRDefault="00884D7B" w:rsidP="00A40225">
      <w:pPr>
        <w:pStyle w:val="corte4fondo"/>
        <w:spacing w:line="276" w:lineRule="auto"/>
        <w:ind w:left="708" w:firstLine="0"/>
        <w:rPr>
          <w:rFonts w:cs="Arial"/>
          <w:color w:val="2E74B5" w:themeColor="accent1" w:themeShade="BF"/>
          <w:sz w:val="20"/>
          <w:lang w:val="es-MX"/>
        </w:rPr>
      </w:pPr>
      <w:r w:rsidRPr="00A40225">
        <w:rPr>
          <w:rFonts w:cs="Arial"/>
          <w:b/>
          <w:color w:val="2E74B5" w:themeColor="accent1" w:themeShade="BF"/>
          <w:sz w:val="20"/>
          <w:lang w:val="es-MX"/>
        </w:rPr>
        <w:t>ARTÍCULO 180.</w:t>
      </w:r>
      <w:r w:rsidRPr="00A40225">
        <w:rPr>
          <w:rFonts w:cs="Arial"/>
          <w:color w:val="2E74B5" w:themeColor="accent1" w:themeShade="BF"/>
          <w:sz w:val="20"/>
          <w:lang w:val="es-MX"/>
        </w:rPr>
        <w:t xml:space="preserve"> El recurso será sobreseído, en todo o en parte, cuando, una vez admitido, se actualicen alguno de los siguientes supuestos:</w:t>
      </w:r>
    </w:p>
    <w:p w:rsidR="00884D7B" w:rsidRPr="00A40225" w:rsidRDefault="00884D7B" w:rsidP="00A40225">
      <w:pPr>
        <w:pStyle w:val="corte4fondo"/>
        <w:spacing w:line="276" w:lineRule="auto"/>
        <w:ind w:left="708" w:firstLine="0"/>
        <w:rPr>
          <w:rFonts w:cs="Arial"/>
          <w:color w:val="2E74B5" w:themeColor="accent1" w:themeShade="BF"/>
          <w:sz w:val="20"/>
          <w:lang w:val="es-MX"/>
        </w:rPr>
      </w:pPr>
      <w:r w:rsidRPr="00A40225">
        <w:rPr>
          <w:rFonts w:cs="Arial"/>
          <w:color w:val="2E74B5" w:themeColor="accent1" w:themeShade="BF"/>
          <w:sz w:val="20"/>
          <w:lang w:val="es-MX"/>
        </w:rPr>
        <w:t>[…]</w:t>
      </w:r>
    </w:p>
    <w:p w:rsidR="00884D7B" w:rsidRPr="00A40225" w:rsidRDefault="00884D7B" w:rsidP="00A40225">
      <w:pPr>
        <w:pStyle w:val="corte4fondo"/>
        <w:spacing w:line="276" w:lineRule="auto"/>
        <w:ind w:left="708" w:firstLine="0"/>
        <w:rPr>
          <w:rFonts w:cs="Arial"/>
          <w:color w:val="2E74B5" w:themeColor="accent1" w:themeShade="BF"/>
          <w:sz w:val="20"/>
          <w:lang w:val="es-MX"/>
        </w:rPr>
      </w:pPr>
      <w:r w:rsidRPr="00A40225">
        <w:rPr>
          <w:rFonts w:cs="Arial"/>
          <w:color w:val="2E74B5" w:themeColor="accent1" w:themeShade="BF"/>
          <w:sz w:val="20"/>
          <w:lang w:val="es-MX"/>
        </w:rPr>
        <w:t>IV. Admitido el recurso de revisión, aparezca alguna causal de improcedencia en los términos del presente Capítulo.</w:t>
      </w:r>
    </w:p>
    <w:p w:rsidR="00B741D3" w:rsidRPr="00A40225" w:rsidRDefault="00B741D3" w:rsidP="00A40225">
      <w:pPr>
        <w:pStyle w:val="corte4fondo"/>
        <w:spacing w:line="276" w:lineRule="auto"/>
        <w:rPr>
          <w:rFonts w:cs="Arial"/>
          <w:color w:val="2E74B5" w:themeColor="accent1" w:themeShade="BF"/>
          <w:sz w:val="20"/>
          <w:lang w:val="es-MX"/>
        </w:rPr>
      </w:pPr>
    </w:p>
    <w:p w:rsidR="00B741D3" w:rsidRPr="00A40225" w:rsidRDefault="00B741D3" w:rsidP="00A40225">
      <w:pPr>
        <w:pStyle w:val="corte4fondo"/>
        <w:spacing w:line="276" w:lineRule="auto"/>
        <w:rPr>
          <w:rFonts w:cs="Arial"/>
          <w:color w:val="2E74B5" w:themeColor="accent1" w:themeShade="BF"/>
          <w:sz w:val="20"/>
          <w:lang w:val="es-MX"/>
        </w:rPr>
      </w:pPr>
      <w:r w:rsidRPr="00A40225">
        <w:rPr>
          <w:rFonts w:cs="Arial"/>
          <w:b/>
          <w:color w:val="2E74B5" w:themeColor="accent1" w:themeShade="BF"/>
          <w:sz w:val="20"/>
          <w:lang w:val="es-MX"/>
        </w:rPr>
        <w:t>ARTÍCULO 179.</w:t>
      </w:r>
      <w:r w:rsidRPr="00A40225">
        <w:rPr>
          <w:rFonts w:cs="Arial"/>
          <w:color w:val="2E74B5" w:themeColor="accent1" w:themeShade="BF"/>
          <w:sz w:val="20"/>
          <w:lang w:val="es-MX"/>
        </w:rPr>
        <w:t xml:space="preserve"> El recurso será desechado por improcedente cuando: </w:t>
      </w:r>
    </w:p>
    <w:p w:rsidR="00B741D3" w:rsidRPr="00A40225" w:rsidRDefault="00B741D3" w:rsidP="00A40225">
      <w:pPr>
        <w:pStyle w:val="corte4fondo"/>
        <w:spacing w:line="276" w:lineRule="auto"/>
        <w:rPr>
          <w:rFonts w:cs="Arial"/>
          <w:color w:val="2E74B5" w:themeColor="accent1" w:themeShade="BF"/>
          <w:sz w:val="20"/>
          <w:lang w:val="es-MX"/>
        </w:rPr>
      </w:pPr>
      <w:r w:rsidRPr="00A40225">
        <w:rPr>
          <w:rFonts w:cs="Arial"/>
          <w:color w:val="2E74B5" w:themeColor="accent1" w:themeShade="BF"/>
          <w:sz w:val="20"/>
          <w:lang w:val="es-MX"/>
        </w:rPr>
        <w:t>[…]</w:t>
      </w:r>
    </w:p>
    <w:p w:rsidR="00B741D3" w:rsidRPr="00A40225" w:rsidRDefault="00B741D3" w:rsidP="00A40225">
      <w:pPr>
        <w:pStyle w:val="corte4fondo"/>
        <w:spacing w:line="276" w:lineRule="auto"/>
        <w:rPr>
          <w:rFonts w:cs="Arial"/>
          <w:color w:val="2E74B5" w:themeColor="accent1" w:themeShade="BF"/>
          <w:sz w:val="20"/>
          <w:lang w:val="es-MX"/>
        </w:rPr>
      </w:pPr>
      <w:r w:rsidRPr="00A40225">
        <w:rPr>
          <w:rFonts w:cs="Arial"/>
          <w:color w:val="2E74B5" w:themeColor="accent1" w:themeShade="BF"/>
          <w:sz w:val="20"/>
          <w:lang w:val="es-MX"/>
        </w:rPr>
        <w:t xml:space="preserve">IV. No actualice alguno de los supuestos previstos en el artículo 167 de la presente Ley; </w:t>
      </w:r>
    </w:p>
    <w:p w:rsidR="00884D7B" w:rsidRPr="00A40225" w:rsidRDefault="00884D7B" w:rsidP="00A40225">
      <w:pPr>
        <w:pStyle w:val="corte4fondo"/>
        <w:spacing w:line="276" w:lineRule="auto"/>
        <w:ind w:left="708"/>
        <w:rPr>
          <w:rFonts w:cs="Arial"/>
          <w:color w:val="2E74B5" w:themeColor="accent1" w:themeShade="BF"/>
          <w:sz w:val="20"/>
          <w:lang w:val="es-MX"/>
        </w:rPr>
      </w:pPr>
    </w:p>
    <w:p w:rsidR="00884D7B" w:rsidRPr="00A40225" w:rsidRDefault="00884D7B"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ab/>
        <w:t xml:space="preserve">Así, de lo expuesto está claro que el recurso será sobreseído cuando, una vez admitido éste, aparezca alguna causal de improcedencia en los términos de ese </w:t>
      </w:r>
      <w:r w:rsidRPr="00A40225">
        <w:rPr>
          <w:rFonts w:cs="Arial"/>
          <w:color w:val="2E74B5" w:themeColor="accent1" w:themeShade="BF"/>
          <w:sz w:val="24"/>
          <w:szCs w:val="24"/>
          <w:lang w:val="es-MX"/>
        </w:rPr>
        <w:lastRenderedPageBreak/>
        <w:t>capítulo de la ley, en el caso, los previstos en el artículo 179</w:t>
      </w:r>
      <w:r w:rsidRPr="00A40225">
        <w:rPr>
          <w:rStyle w:val="Refdenotaalpie"/>
          <w:rFonts w:cs="Arial"/>
          <w:color w:val="2E74B5" w:themeColor="accent1" w:themeShade="BF"/>
          <w:sz w:val="24"/>
          <w:szCs w:val="24"/>
          <w:lang w:val="es-MX"/>
        </w:rPr>
        <w:footnoteReference w:id="3"/>
      </w:r>
      <w:r w:rsidRPr="00A40225">
        <w:rPr>
          <w:rFonts w:cs="Arial"/>
          <w:color w:val="2E74B5" w:themeColor="accent1" w:themeShade="BF"/>
          <w:sz w:val="24"/>
          <w:szCs w:val="24"/>
          <w:lang w:val="es-MX"/>
        </w:rPr>
        <w:t xml:space="preserve"> de la Ley de Transparencia, sin embargo, el sujeto obligado</w:t>
      </w:r>
      <w:r w:rsidR="00B741D3" w:rsidRPr="00A40225">
        <w:rPr>
          <w:rFonts w:cs="Arial"/>
          <w:color w:val="2E74B5" w:themeColor="accent1" w:themeShade="BF"/>
          <w:sz w:val="24"/>
          <w:szCs w:val="24"/>
          <w:lang w:val="es-MX"/>
        </w:rPr>
        <w:t xml:space="preserve"> explicó que se actualiza la causal de improcedencia alegado en virtud de que el legislador </w:t>
      </w:r>
      <w:r w:rsidR="00C5711C" w:rsidRPr="00A40225">
        <w:rPr>
          <w:rFonts w:cs="Arial"/>
          <w:color w:val="2E74B5" w:themeColor="accent1" w:themeShade="BF"/>
          <w:sz w:val="24"/>
          <w:szCs w:val="24"/>
          <w:lang w:val="es-MX"/>
        </w:rPr>
        <w:t>estableció</w:t>
      </w:r>
      <w:r w:rsidR="00B741D3" w:rsidRPr="00A40225">
        <w:rPr>
          <w:rFonts w:cs="Arial"/>
          <w:color w:val="2E74B5" w:themeColor="accent1" w:themeShade="BF"/>
          <w:sz w:val="24"/>
          <w:szCs w:val="24"/>
          <w:lang w:val="es-MX"/>
        </w:rPr>
        <w:t xml:space="preserve"> la procedencia</w:t>
      </w:r>
      <w:r w:rsidR="00C5711C" w:rsidRPr="00A40225">
        <w:rPr>
          <w:rFonts w:cs="Arial"/>
          <w:color w:val="2E74B5" w:themeColor="accent1" w:themeShade="BF"/>
          <w:sz w:val="24"/>
          <w:szCs w:val="24"/>
          <w:lang w:val="es-MX"/>
        </w:rPr>
        <w:t xml:space="preserve"> del recurso de revisión en el artículo 167</w:t>
      </w:r>
      <w:r w:rsidR="00143D8C" w:rsidRPr="00A40225">
        <w:rPr>
          <w:rFonts w:cs="Arial"/>
          <w:color w:val="2E74B5" w:themeColor="accent1" w:themeShade="BF"/>
          <w:sz w:val="24"/>
          <w:szCs w:val="24"/>
          <w:lang w:val="es-MX"/>
        </w:rPr>
        <w:t xml:space="preserve"> de la Ley de Transparencia, esto es, que aquel dijo los supuestos por los cuales los recurrentes podía interponer el recurso de revisión y, en el caso no mencionó lo que ahora pretende el recurrente en el sentido de que la ponencia analice dos respuestas, pues atender a su manifestación, sería como mediante resolución, establecer un nuevo supuesto de procedencia del recurso, de ahí que al no ser una causal de procedencia del recurso, esta Comisión debe sobreseer el recurso en esa parte.</w:t>
      </w:r>
    </w:p>
    <w:p w:rsidR="0011257C" w:rsidRPr="00A40225" w:rsidRDefault="0011257C" w:rsidP="00A40225">
      <w:pPr>
        <w:pStyle w:val="corte4fondo"/>
        <w:spacing w:line="276" w:lineRule="auto"/>
        <w:ind w:firstLine="0"/>
        <w:rPr>
          <w:rFonts w:cs="Arial"/>
          <w:color w:val="2E74B5" w:themeColor="accent1" w:themeShade="BF"/>
          <w:sz w:val="24"/>
          <w:szCs w:val="24"/>
          <w:lang w:val="es-MX"/>
        </w:rPr>
      </w:pPr>
    </w:p>
    <w:p w:rsidR="00143D8C" w:rsidRPr="00A40225" w:rsidRDefault="00143D8C" w:rsidP="00A40225">
      <w:pPr>
        <w:pStyle w:val="corte4fondo"/>
        <w:spacing w:line="276" w:lineRule="auto"/>
        <w:ind w:firstLine="708"/>
        <w:rPr>
          <w:rFonts w:cs="Arial"/>
          <w:color w:val="2E74B5" w:themeColor="accent1" w:themeShade="BF"/>
          <w:sz w:val="24"/>
          <w:szCs w:val="24"/>
          <w:lang w:val="es-MX"/>
        </w:rPr>
      </w:pPr>
      <w:r w:rsidRPr="00A40225">
        <w:rPr>
          <w:rFonts w:cs="Arial"/>
          <w:color w:val="2E74B5" w:themeColor="accent1" w:themeShade="BF"/>
          <w:sz w:val="24"/>
          <w:szCs w:val="24"/>
          <w:lang w:val="es-MX"/>
        </w:rPr>
        <w:t>Del mismo modo, éste invocó el artículo 180, fracción IV, en relación con el artículo 179, fracción VIII de la Ley de Transparencia, mismo que establece que:</w:t>
      </w:r>
    </w:p>
    <w:p w:rsidR="00143D8C" w:rsidRPr="00A40225" w:rsidRDefault="00143D8C" w:rsidP="00A40225">
      <w:pPr>
        <w:pStyle w:val="corte4fondo"/>
        <w:spacing w:line="276" w:lineRule="auto"/>
        <w:ind w:firstLine="0"/>
        <w:rPr>
          <w:rFonts w:cs="Arial"/>
          <w:color w:val="2E74B5" w:themeColor="accent1" w:themeShade="BF"/>
          <w:sz w:val="24"/>
          <w:szCs w:val="24"/>
          <w:lang w:val="es-MX"/>
        </w:rPr>
      </w:pPr>
    </w:p>
    <w:p w:rsidR="00143D8C" w:rsidRPr="00A40225" w:rsidRDefault="00143D8C" w:rsidP="00A40225">
      <w:pPr>
        <w:pStyle w:val="corte4fondo"/>
        <w:spacing w:line="276" w:lineRule="auto"/>
        <w:ind w:left="708" w:firstLine="0"/>
        <w:rPr>
          <w:rFonts w:cs="Arial"/>
          <w:color w:val="2E74B5" w:themeColor="accent1" w:themeShade="BF"/>
          <w:sz w:val="20"/>
          <w:lang w:val="es-MX"/>
        </w:rPr>
      </w:pPr>
      <w:r w:rsidRPr="00A40225">
        <w:rPr>
          <w:rFonts w:cs="Arial"/>
          <w:b/>
          <w:color w:val="2E74B5" w:themeColor="accent1" w:themeShade="BF"/>
          <w:sz w:val="20"/>
          <w:lang w:val="es-MX"/>
        </w:rPr>
        <w:t>ARTÍCULO 180.</w:t>
      </w:r>
      <w:r w:rsidRPr="00A40225">
        <w:rPr>
          <w:rFonts w:cs="Arial"/>
          <w:color w:val="2E74B5" w:themeColor="accent1" w:themeShade="BF"/>
          <w:sz w:val="20"/>
          <w:lang w:val="es-MX"/>
        </w:rPr>
        <w:t xml:space="preserve"> El recurso será sobreseído, en todo o en parte, cuando, una vez admitido, se actualicen alguno de los siguientes supuestos:</w:t>
      </w:r>
    </w:p>
    <w:p w:rsidR="00143D8C" w:rsidRPr="00A40225" w:rsidRDefault="00143D8C" w:rsidP="00A40225">
      <w:pPr>
        <w:pStyle w:val="corte4fondo"/>
        <w:spacing w:line="276" w:lineRule="auto"/>
        <w:ind w:left="708" w:firstLine="0"/>
        <w:rPr>
          <w:rFonts w:cs="Arial"/>
          <w:color w:val="2E74B5" w:themeColor="accent1" w:themeShade="BF"/>
          <w:sz w:val="20"/>
          <w:lang w:val="es-MX"/>
        </w:rPr>
      </w:pPr>
      <w:r w:rsidRPr="00A40225">
        <w:rPr>
          <w:rFonts w:cs="Arial"/>
          <w:color w:val="2E74B5" w:themeColor="accent1" w:themeShade="BF"/>
          <w:sz w:val="20"/>
          <w:lang w:val="es-MX"/>
        </w:rPr>
        <w:t>[…]</w:t>
      </w:r>
    </w:p>
    <w:p w:rsidR="00143D8C" w:rsidRPr="00A40225" w:rsidRDefault="00143D8C" w:rsidP="00A40225">
      <w:pPr>
        <w:pStyle w:val="corte4fondo"/>
        <w:spacing w:line="276" w:lineRule="auto"/>
        <w:ind w:left="708" w:firstLine="0"/>
        <w:rPr>
          <w:rFonts w:cs="Arial"/>
          <w:color w:val="2E74B5" w:themeColor="accent1" w:themeShade="BF"/>
          <w:sz w:val="20"/>
          <w:lang w:val="es-MX"/>
        </w:rPr>
      </w:pPr>
      <w:r w:rsidRPr="00A40225">
        <w:rPr>
          <w:rFonts w:cs="Arial"/>
          <w:color w:val="2E74B5" w:themeColor="accent1" w:themeShade="BF"/>
          <w:sz w:val="20"/>
          <w:lang w:val="es-MX"/>
        </w:rPr>
        <w:t>IV. Admitido el recurso de revisión, aparezca alguna causal de improcedencia en los términos del presente Capítulo.</w:t>
      </w:r>
    </w:p>
    <w:p w:rsidR="00143D8C" w:rsidRPr="00A40225" w:rsidRDefault="00143D8C" w:rsidP="00A40225">
      <w:pPr>
        <w:pStyle w:val="corte4fondo"/>
        <w:spacing w:line="276" w:lineRule="auto"/>
        <w:rPr>
          <w:rFonts w:cs="Arial"/>
          <w:color w:val="2E74B5" w:themeColor="accent1" w:themeShade="BF"/>
          <w:sz w:val="20"/>
          <w:lang w:val="es-MX"/>
        </w:rPr>
      </w:pPr>
    </w:p>
    <w:p w:rsidR="00143D8C" w:rsidRPr="00A40225" w:rsidRDefault="00143D8C" w:rsidP="00A40225">
      <w:pPr>
        <w:pStyle w:val="corte4fondo"/>
        <w:spacing w:line="276" w:lineRule="auto"/>
        <w:rPr>
          <w:rFonts w:cs="Arial"/>
          <w:color w:val="2E74B5" w:themeColor="accent1" w:themeShade="BF"/>
          <w:sz w:val="20"/>
          <w:lang w:val="es-MX"/>
        </w:rPr>
      </w:pPr>
      <w:r w:rsidRPr="00A40225">
        <w:rPr>
          <w:rFonts w:cs="Arial"/>
          <w:b/>
          <w:color w:val="2E74B5" w:themeColor="accent1" w:themeShade="BF"/>
          <w:sz w:val="20"/>
          <w:lang w:val="es-MX"/>
        </w:rPr>
        <w:t>ARTÍCULO 179.</w:t>
      </w:r>
      <w:r w:rsidRPr="00A40225">
        <w:rPr>
          <w:rFonts w:cs="Arial"/>
          <w:color w:val="2E74B5" w:themeColor="accent1" w:themeShade="BF"/>
          <w:sz w:val="20"/>
          <w:lang w:val="es-MX"/>
        </w:rPr>
        <w:t xml:space="preserve"> El recurso será desechado por improcedente cuando: </w:t>
      </w:r>
    </w:p>
    <w:p w:rsidR="00143D8C" w:rsidRPr="00A40225" w:rsidRDefault="00143D8C" w:rsidP="00A40225">
      <w:pPr>
        <w:pStyle w:val="corte4fondo"/>
        <w:spacing w:line="276" w:lineRule="auto"/>
        <w:rPr>
          <w:rFonts w:cs="Arial"/>
          <w:color w:val="2E74B5" w:themeColor="accent1" w:themeShade="BF"/>
          <w:sz w:val="20"/>
          <w:lang w:val="es-MX"/>
        </w:rPr>
      </w:pPr>
      <w:r w:rsidRPr="00A40225">
        <w:rPr>
          <w:rFonts w:cs="Arial"/>
          <w:color w:val="2E74B5" w:themeColor="accent1" w:themeShade="BF"/>
          <w:sz w:val="20"/>
          <w:lang w:val="es-MX"/>
        </w:rPr>
        <w:t>[…]</w:t>
      </w:r>
    </w:p>
    <w:p w:rsidR="00143D8C" w:rsidRPr="00A40225" w:rsidRDefault="00143D8C" w:rsidP="00A40225">
      <w:pPr>
        <w:pStyle w:val="corte4fondo"/>
        <w:spacing w:line="276" w:lineRule="auto"/>
        <w:rPr>
          <w:rFonts w:cs="Arial"/>
          <w:color w:val="2E74B5" w:themeColor="accent1" w:themeShade="BF"/>
          <w:sz w:val="20"/>
          <w:lang w:val="es-MX"/>
        </w:rPr>
      </w:pPr>
      <w:r w:rsidRPr="00A40225">
        <w:rPr>
          <w:rFonts w:cs="Arial"/>
          <w:color w:val="2E74B5" w:themeColor="accent1" w:themeShade="BF"/>
          <w:sz w:val="20"/>
          <w:lang w:val="es-MX"/>
        </w:rPr>
        <w:t xml:space="preserve">VIII. El recurrente amplíe su solicitud en el recurso de revisión, únicamente respecto de los nuevos contenidos. </w:t>
      </w:r>
    </w:p>
    <w:p w:rsidR="00143D8C" w:rsidRPr="00A40225" w:rsidRDefault="00143D8C" w:rsidP="00A40225">
      <w:pPr>
        <w:pStyle w:val="corte4fondo"/>
        <w:spacing w:line="276" w:lineRule="auto"/>
        <w:rPr>
          <w:rFonts w:cs="Arial"/>
          <w:color w:val="2E74B5" w:themeColor="accent1" w:themeShade="BF"/>
          <w:sz w:val="24"/>
          <w:szCs w:val="24"/>
          <w:lang w:val="es-MX"/>
        </w:rPr>
      </w:pPr>
    </w:p>
    <w:p w:rsidR="00143D8C" w:rsidRPr="00A40225" w:rsidRDefault="00143D8C" w:rsidP="00A40225">
      <w:pPr>
        <w:pStyle w:val="corte4fondo"/>
        <w:spacing w:line="276" w:lineRule="auto"/>
        <w:rPr>
          <w:rFonts w:cs="Arial"/>
          <w:color w:val="2E74B5" w:themeColor="accent1" w:themeShade="BF"/>
          <w:sz w:val="24"/>
          <w:szCs w:val="24"/>
          <w:lang w:val="es-MX"/>
        </w:rPr>
      </w:pPr>
      <w:r w:rsidRPr="00A40225">
        <w:rPr>
          <w:rFonts w:cs="Arial"/>
          <w:color w:val="2E74B5" w:themeColor="accent1" w:themeShade="BF"/>
          <w:sz w:val="24"/>
          <w:szCs w:val="24"/>
          <w:lang w:val="es-MX"/>
        </w:rPr>
        <w:t xml:space="preserve">De ahí que el sujeto obligado manifestó que el ahora </w:t>
      </w:r>
      <w:r w:rsidR="00A230FA" w:rsidRPr="00A40225">
        <w:rPr>
          <w:rFonts w:cs="Arial"/>
          <w:color w:val="2E74B5" w:themeColor="accent1" w:themeShade="BF"/>
          <w:sz w:val="24"/>
          <w:szCs w:val="24"/>
          <w:lang w:val="es-MX"/>
        </w:rPr>
        <w:t>recurrente solicita información que no pidió en su solicitud de acceso a la información pública génesis del presente asunto.</w:t>
      </w:r>
    </w:p>
    <w:p w:rsidR="00A230FA" w:rsidRPr="00A40225" w:rsidRDefault="00A230FA" w:rsidP="00A40225">
      <w:pPr>
        <w:pStyle w:val="corte4fondo"/>
        <w:spacing w:line="276" w:lineRule="auto"/>
        <w:rPr>
          <w:rFonts w:cs="Arial"/>
          <w:color w:val="2E74B5" w:themeColor="accent1" w:themeShade="BF"/>
          <w:sz w:val="24"/>
          <w:szCs w:val="24"/>
          <w:lang w:val="es-MX"/>
        </w:rPr>
      </w:pPr>
    </w:p>
    <w:p w:rsidR="00884D7B" w:rsidRPr="00A40225" w:rsidRDefault="000B7400" w:rsidP="00A40225">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r>
        <w:rPr>
          <w:rFonts w:ascii="Arial" w:eastAsia="Arial Unicode MS" w:hAnsi="Arial" w:cs="Arial"/>
          <w:b/>
          <w:color w:val="2E74B5" w:themeColor="accent1" w:themeShade="BF"/>
        </w:rPr>
        <w:t>5.3</w:t>
      </w:r>
      <w:r w:rsidR="00884D7B" w:rsidRPr="00A40225">
        <w:rPr>
          <w:rFonts w:ascii="Arial" w:eastAsia="Arial Unicode MS" w:hAnsi="Arial" w:cs="Arial"/>
          <w:b/>
          <w:color w:val="2E74B5" w:themeColor="accent1" w:themeShade="BF"/>
        </w:rPr>
        <w:t>. Sobreseimiento advertido por esta Comisión de Transparencia.</w:t>
      </w:r>
    </w:p>
    <w:p w:rsidR="00884D7B" w:rsidRPr="00A40225" w:rsidRDefault="00884D7B" w:rsidP="00A40225">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p>
    <w:p w:rsidR="00884D7B" w:rsidRPr="00A40225" w:rsidRDefault="00884D7B" w:rsidP="00A40225">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A40225">
        <w:rPr>
          <w:rFonts w:ascii="Arial" w:eastAsia="Arial Unicode MS" w:hAnsi="Arial" w:cs="Arial"/>
          <w:color w:val="2E74B5" w:themeColor="accent1" w:themeShade="BF"/>
        </w:rPr>
        <w:tab/>
        <w:t xml:space="preserve">Como se ha dicho, el sobreseimiento es de orden público y, por lo </w:t>
      </w:r>
      <w:r w:rsidR="009D5CF2" w:rsidRPr="00A40225">
        <w:rPr>
          <w:rFonts w:ascii="Arial" w:eastAsia="Arial Unicode MS" w:hAnsi="Arial" w:cs="Arial"/>
          <w:color w:val="2E74B5" w:themeColor="accent1" w:themeShade="BF"/>
        </w:rPr>
        <w:t>tanto,</w:t>
      </w:r>
      <w:r w:rsidRPr="00A40225">
        <w:rPr>
          <w:rFonts w:ascii="Arial" w:eastAsia="Arial Unicode MS" w:hAnsi="Arial" w:cs="Arial"/>
          <w:color w:val="2E74B5" w:themeColor="accent1" w:themeShade="BF"/>
        </w:rPr>
        <w:t xml:space="preserve"> lo aleguen o no las partes, esta Comisión de Transparencia está obligada a analizar si se actualiza alguna de las causales previstas en el artículo 180 de la Ley de Transparencia.</w:t>
      </w:r>
    </w:p>
    <w:p w:rsidR="00884D7B" w:rsidRPr="00A40225" w:rsidRDefault="00884D7B" w:rsidP="00A40225">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884D7B" w:rsidRPr="00A40225" w:rsidRDefault="00884D7B" w:rsidP="00A40225">
      <w:pPr>
        <w:pStyle w:val="NormalWeb"/>
        <w:tabs>
          <w:tab w:val="left" w:pos="0"/>
        </w:tabs>
        <w:spacing w:before="0" w:beforeAutospacing="0" w:after="0" w:afterAutospacing="0" w:line="276" w:lineRule="auto"/>
        <w:jc w:val="both"/>
        <w:rPr>
          <w:rFonts w:ascii="Arial" w:hAnsi="Arial" w:cs="Arial"/>
          <w:color w:val="2E74B5" w:themeColor="accent1" w:themeShade="BF"/>
          <w:lang w:val="es-MX"/>
        </w:rPr>
      </w:pPr>
      <w:r w:rsidRPr="00A40225">
        <w:rPr>
          <w:rFonts w:ascii="Arial" w:eastAsia="Arial Unicode MS" w:hAnsi="Arial" w:cs="Arial"/>
          <w:color w:val="2E74B5" w:themeColor="accent1" w:themeShade="BF"/>
        </w:rPr>
        <w:tab/>
        <w:t xml:space="preserve">En el caso, este órgano colegiado advierte que </w:t>
      </w:r>
      <w:r w:rsidRPr="00A40225">
        <w:rPr>
          <w:rFonts w:ascii="Arial" w:hAnsi="Arial" w:cs="Arial"/>
          <w:color w:val="2E74B5" w:themeColor="accent1" w:themeShade="BF"/>
          <w:lang w:val="es-MX"/>
        </w:rPr>
        <w:t xml:space="preserve">se está en presencia del artículo 180, fracción </w:t>
      </w:r>
      <w:r w:rsidR="00AB4366" w:rsidRPr="00A40225">
        <w:rPr>
          <w:rFonts w:ascii="Arial" w:hAnsi="Arial" w:cs="Arial"/>
          <w:color w:val="2E74B5" w:themeColor="accent1" w:themeShade="BF"/>
          <w:lang w:val="es-MX"/>
        </w:rPr>
        <w:t>V</w:t>
      </w:r>
      <w:r w:rsidRPr="00A40225">
        <w:rPr>
          <w:rFonts w:ascii="Arial" w:hAnsi="Arial" w:cs="Arial"/>
          <w:color w:val="2E74B5" w:themeColor="accent1" w:themeShade="BF"/>
          <w:lang w:val="es-MX"/>
        </w:rPr>
        <w:t>III,</w:t>
      </w:r>
      <w:r w:rsidR="00AB4366" w:rsidRPr="00A40225">
        <w:rPr>
          <w:rFonts w:ascii="Arial" w:hAnsi="Arial" w:cs="Arial"/>
          <w:color w:val="2E74B5" w:themeColor="accent1" w:themeShade="BF"/>
          <w:lang w:val="es-MX"/>
        </w:rPr>
        <w:t xml:space="preserve"> en relación con el artículo 179 fracción VIII</w:t>
      </w:r>
      <w:r w:rsidRPr="00A40225">
        <w:rPr>
          <w:rFonts w:ascii="Arial" w:hAnsi="Arial" w:cs="Arial"/>
          <w:color w:val="2E74B5" w:themeColor="accent1" w:themeShade="BF"/>
          <w:lang w:val="es-MX"/>
        </w:rPr>
        <w:t xml:space="preserve"> de la Ley de Transparencia, misma que establece que:</w:t>
      </w:r>
    </w:p>
    <w:p w:rsidR="00884D7B" w:rsidRPr="00A40225" w:rsidRDefault="00884D7B" w:rsidP="00A40225">
      <w:pPr>
        <w:pStyle w:val="corte4fondo"/>
        <w:spacing w:line="276" w:lineRule="auto"/>
        <w:ind w:firstLine="0"/>
        <w:rPr>
          <w:rFonts w:cs="Arial"/>
          <w:color w:val="2E74B5" w:themeColor="accent1" w:themeShade="BF"/>
          <w:sz w:val="24"/>
          <w:szCs w:val="24"/>
          <w:lang w:val="es-MX"/>
        </w:rPr>
      </w:pPr>
    </w:p>
    <w:p w:rsidR="00884D7B" w:rsidRPr="00A40225" w:rsidRDefault="00884D7B" w:rsidP="00A40225">
      <w:pPr>
        <w:pStyle w:val="corte4fondo"/>
        <w:spacing w:line="276" w:lineRule="auto"/>
        <w:ind w:left="708" w:firstLine="0"/>
        <w:rPr>
          <w:rFonts w:cs="Arial"/>
          <w:color w:val="2E74B5" w:themeColor="accent1" w:themeShade="BF"/>
          <w:sz w:val="20"/>
          <w:lang w:val="es-MX"/>
        </w:rPr>
      </w:pPr>
      <w:r w:rsidRPr="00A40225">
        <w:rPr>
          <w:rFonts w:cs="Arial"/>
          <w:b/>
          <w:color w:val="2E74B5" w:themeColor="accent1" w:themeShade="BF"/>
          <w:sz w:val="20"/>
          <w:lang w:val="es-MX"/>
        </w:rPr>
        <w:t>ARTÍCULO 180.</w:t>
      </w:r>
      <w:r w:rsidRPr="00A40225">
        <w:rPr>
          <w:rFonts w:cs="Arial"/>
          <w:color w:val="2E74B5" w:themeColor="accent1" w:themeShade="BF"/>
          <w:sz w:val="20"/>
          <w:lang w:val="es-MX"/>
        </w:rPr>
        <w:t xml:space="preserve"> El recurso será sobreseído, en todo o en parte, cuando, una vez admitido, se actualicen alguno de los siguientes supuestos:</w:t>
      </w:r>
    </w:p>
    <w:p w:rsidR="00884D7B" w:rsidRPr="00A40225" w:rsidRDefault="00884D7B" w:rsidP="00A40225">
      <w:pPr>
        <w:pStyle w:val="corte4fondo"/>
        <w:spacing w:line="276" w:lineRule="auto"/>
        <w:ind w:left="708" w:firstLine="0"/>
        <w:rPr>
          <w:rFonts w:cs="Arial"/>
          <w:color w:val="2E74B5" w:themeColor="accent1" w:themeShade="BF"/>
          <w:sz w:val="20"/>
          <w:lang w:val="es-MX"/>
        </w:rPr>
      </w:pPr>
      <w:r w:rsidRPr="00A40225">
        <w:rPr>
          <w:rFonts w:cs="Arial"/>
          <w:color w:val="2E74B5" w:themeColor="accent1" w:themeShade="BF"/>
          <w:sz w:val="20"/>
          <w:lang w:val="es-MX"/>
        </w:rPr>
        <w:t>[…]</w:t>
      </w:r>
    </w:p>
    <w:p w:rsidR="00AB4366" w:rsidRPr="00A40225" w:rsidRDefault="00AB4366" w:rsidP="00A40225">
      <w:pPr>
        <w:pStyle w:val="corte4fondo"/>
        <w:spacing w:line="276" w:lineRule="auto"/>
        <w:ind w:left="708" w:firstLine="0"/>
        <w:rPr>
          <w:rFonts w:cs="Arial"/>
          <w:color w:val="2E74B5" w:themeColor="accent1" w:themeShade="BF"/>
          <w:sz w:val="20"/>
          <w:lang w:val="es-MX"/>
        </w:rPr>
      </w:pPr>
      <w:r w:rsidRPr="00A40225">
        <w:rPr>
          <w:rFonts w:cs="Arial"/>
          <w:color w:val="2E74B5" w:themeColor="accent1" w:themeShade="BF"/>
          <w:sz w:val="20"/>
          <w:lang w:val="es-MX"/>
        </w:rPr>
        <w:t xml:space="preserve">VIII. El recurrente amplíe su solicitud en el recurso de revisión, únicamente respecto de los nuevos contenidos. </w:t>
      </w:r>
    </w:p>
    <w:p w:rsidR="00884D7B" w:rsidRPr="00A40225" w:rsidRDefault="00884D7B" w:rsidP="00A40225">
      <w:pPr>
        <w:pStyle w:val="corte4fondo"/>
        <w:spacing w:line="276" w:lineRule="auto"/>
        <w:ind w:left="708" w:firstLine="0"/>
        <w:rPr>
          <w:rFonts w:cs="Arial"/>
          <w:color w:val="2E74B5" w:themeColor="accent1" w:themeShade="BF"/>
          <w:sz w:val="20"/>
          <w:lang w:val="es-MX"/>
        </w:rPr>
      </w:pPr>
      <w:r w:rsidRPr="00A40225">
        <w:rPr>
          <w:rFonts w:cs="Arial"/>
          <w:color w:val="2E74B5" w:themeColor="accent1" w:themeShade="BF"/>
          <w:sz w:val="20"/>
          <w:lang w:val="es-MX"/>
        </w:rPr>
        <w:tab/>
      </w:r>
    </w:p>
    <w:p w:rsidR="00AB4366" w:rsidRPr="00A40225" w:rsidRDefault="00AB4366" w:rsidP="00A40225">
      <w:pPr>
        <w:pStyle w:val="corte4fondo"/>
        <w:tabs>
          <w:tab w:val="left" w:pos="5529"/>
        </w:tabs>
        <w:spacing w:line="276" w:lineRule="auto"/>
        <w:ind w:left="708" w:firstLine="0"/>
        <w:rPr>
          <w:rFonts w:cs="Arial"/>
          <w:color w:val="2E74B5" w:themeColor="accent1" w:themeShade="BF"/>
          <w:sz w:val="20"/>
          <w:lang w:val="es-MX"/>
        </w:rPr>
      </w:pPr>
      <w:r w:rsidRPr="00A40225">
        <w:rPr>
          <w:rFonts w:cs="Arial"/>
          <w:b/>
          <w:color w:val="2E74B5" w:themeColor="accent1" w:themeShade="BF"/>
          <w:sz w:val="20"/>
          <w:lang w:val="es-MX"/>
        </w:rPr>
        <w:lastRenderedPageBreak/>
        <w:t>ARTÍCULO 179.</w:t>
      </w:r>
      <w:r w:rsidRPr="00A40225">
        <w:rPr>
          <w:rFonts w:cs="Arial"/>
          <w:color w:val="2E74B5" w:themeColor="accent1" w:themeShade="BF"/>
          <w:sz w:val="20"/>
          <w:lang w:val="es-MX"/>
        </w:rPr>
        <w:t xml:space="preserve"> El recurso será desechado por improcedente cuando:</w:t>
      </w:r>
    </w:p>
    <w:p w:rsidR="00AB4366" w:rsidRPr="00A40225" w:rsidRDefault="00AB4366" w:rsidP="00A40225">
      <w:pPr>
        <w:pStyle w:val="corte4fondo"/>
        <w:tabs>
          <w:tab w:val="left" w:pos="5529"/>
        </w:tabs>
        <w:spacing w:line="276" w:lineRule="auto"/>
        <w:ind w:left="708" w:firstLine="0"/>
        <w:rPr>
          <w:rFonts w:cs="Arial"/>
          <w:color w:val="2E74B5" w:themeColor="accent1" w:themeShade="BF"/>
          <w:sz w:val="20"/>
          <w:lang w:val="es-MX"/>
        </w:rPr>
      </w:pPr>
      <w:r w:rsidRPr="00A40225">
        <w:rPr>
          <w:rFonts w:cs="Arial"/>
          <w:color w:val="2E74B5" w:themeColor="accent1" w:themeShade="BF"/>
          <w:sz w:val="20"/>
          <w:lang w:val="es-MX"/>
        </w:rPr>
        <w:t>[…]</w:t>
      </w:r>
    </w:p>
    <w:p w:rsidR="00AB4366" w:rsidRPr="00A40225" w:rsidRDefault="00AB4366" w:rsidP="00A40225">
      <w:pPr>
        <w:pStyle w:val="corte4fondo"/>
        <w:spacing w:line="276" w:lineRule="auto"/>
        <w:ind w:left="708" w:firstLine="0"/>
        <w:rPr>
          <w:rFonts w:cs="Arial"/>
          <w:color w:val="2E74B5" w:themeColor="accent1" w:themeShade="BF"/>
          <w:sz w:val="20"/>
          <w:lang w:val="es-MX"/>
        </w:rPr>
      </w:pPr>
      <w:r w:rsidRPr="00A40225">
        <w:rPr>
          <w:rFonts w:cs="Arial"/>
          <w:b/>
          <w:color w:val="2E74B5" w:themeColor="accent1" w:themeShade="BF"/>
          <w:sz w:val="20"/>
          <w:lang w:val="es-MX"/>
        </w:rPr>
        <w:t>VIII.</w:t>
      </w:r>
      <w:r w:rsidRPr="00A40225">
        <w:rPr>
          <w:rFonts w:cs="Arial"/>
          <w:color w:val="2E74B5" w:themeColor="accent1" w:themeShade="BF"/>
          <w:sz w:val="20"/>
          <w:lang w:val="es-MX"/>
        </w:rPr>
        <w:t xml:space="preserve"> El recurrente amplíe su solicitud en el recurso de revisión, únicamente respecto de los nuevos contenidos.</w:t>
      </w:r>
    </w:p>
    <w:p w:rsidR="00AB4366" w:rsidRPr="00A40225" w:rsidRDefault="00AB4366" w:rsidP="00A40225">
      <w:pPr>
        <w:pStyle w:val="corte4fondo"/>
        <w:spacing w:line="276" w:lineRule="auto"/>
        <w:ind w:firstLine="0"/>
        <w:rPr>
          <w:rFonts w:cs="Arial"/>
          <w:color w:val="2E74B5" w:themeColor="accent1" w:themeShade="BF"/>
          <w:sz w:val="24"/>
          <w:szCs w:val="24"/>
          <w:lang w:val="es-MX"/>
        </w:rPr>
      </w:pPr>
    </w:p>
    <w:p w:rsidR="00AB4366" w:rsidRPr="00A40225" w:rsidRDefault="00AB4366"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ab/>
        <w:t>Así, el recurso será sobreseído, cuando, una vez admitido, aparezca alguna causal de improcedencia, que es cuando el recurrente amplíe su solicitud en el recurso de revisión, únicamente respecto de los nuevos contenidos.</w:t>
      </w:r>
    </w:p>
    <w:p w:rsidR="00AB4366" w:rsidRPr="00A40225" w:rsidRDefault="00AB4366" w:rsidP="00A40225">
      <w:pPr>
        <w:pStyle w:val="corte4fondo"/>
        <w:spacing w:line="276" w:lineRule="auto"/>
        <w:ind w:firstLine="0"/>
        <w:rPr>
          <w:rFonts w:cs="Arial"/>
          <w:color w:val="2E74B5" w:themeColor="accent1" w:themeShade="BF"/>
          <w:sz w:val="24"/>
          <w:szCs w:val="24"/>
          <w:lang w:val="es-MX"/>
        </w:rPr>
      </w:pPr>
    </w:p>
    <w:p w:rsidR="00AB4366" w:rsidRPr="00A40225" w:rsidRDefault="00AB4366"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ab/>
        <w:t>Es por ello, que para sobreseer el recurso de revisión se debe de acreditar:</w:t>
      </w:r>
    </w:p>
    <w:p w:rsidR="00AB4366" w:rsidRPr="00A40225" w:rsidRDefault="00AB4366" w:rsidP="00A40225">
      <w:pPr>
        <w:pStyle w:val="corte4fondo"/>
        <w:spacing w:line="276" w:lineRule="auto"/>
        <w:ind w:firstLine="0"/>
        <w:rPr>
          <w:rFonts w:cs="Arial"/>
          <w:color w:val="2E74B5" w:themeColor="accent1" w:themeShade="BF"/>
          <w:sz w:val="24"/>
          <w:szCs w:val="24"/>
          <w:lang w:val="es-MX"/>
        </w:rPr>
      </w:pPr>
    </w:p>
    <w:p w:rsidR="00AB4366" w:rsidRPr="00A40225" w:rsidRDefault="00AB4366" w:rsidP="00A40225">
      <w:pPr>
        <w:pStyle w:val="corte4fondo"/>
        <w:numPr>
          <w:ilvl w:val="0"/>
          <w:numId w:val="5"/>
        </w:numPr>
        <w:spacing w:line="276" w:lineRule="auto"/>
        <w:rPr>
          <w:rFonts w:cs="Arial"/>
          <w:color w:val="2E74B5" w:themeColor="accent1" w:themeShade="BF"/>
          <w:sz w:val="24"/>
          <w:szCs w:val="24"/>
          <w:lang w:val="es-MX"/>
        </w:rPr>
      </w:pPr>
      <w:r w:rsidRPr="00A40225">
        <w:rPr>
          <w:rFonts w:cs="Arial"/>
          <w:color w:val="2E74B5" w:themeColor="accent1" w:themeShade="BF"/>
          <w:sz w:val="24"/>
          <w:szCs w:val="24"/>
          <w:lang w:val="es-MX"/>
        </w:rPr>
        <w:t>Que se admita el recurso y,</w:t>
      </w:r>
    </w:p>
    <w:p w:rsidR="00AB4366" w:rsidRPr="00A40225" w:rsidRDefault="00AB4366" w:rsidP="00A40225">
      <w:pPr>
        <w:pStyle w:val="corte4fondo"/>
        <w:numPr>
          <w:ilvl w:val="0"/>
          <w:numId w:val="5"/>
        </w:numPr>
        <w:spacing w:line="276" w:lineRule="auto"/>
        <w:rPr>
          <w:rFonts w:cs="Arial"/>
          <w:color w:val="2E74B5" w:themeColor="accent1" w:themeShade="BF"/>
          <w:sz w:val="24"/>
          <w:szCs w:val="24"/>
          <w:lang w:val="es-MX"/>
        </w:rPr>
      </w:pPr>
      <w:r w:rsidRPr="00A40225">
        <w:rPr>
          <w:rFonts w:cs="Arial"/>
          <w:color w:val="2E74B5" w:themeColor="accent1" w:themeShade="BF"/>
          <w:sz w:val="24"/>
          <w:szCs w:val="24"/>
          <w:lang w:val="es-MX"/>
        </w:rPr>
        <w:t>Que el recurrente amplíe su solicitud en el recurso de revisión, únicamente respecto de los nuevos contenidos.</w:t>
      </w:r>
    </w:p>
    <w:p w:rsidR="00AB4366" w:rsidRPr="00A40225" w:rsidRDefault="00AB4366" w:rsidP="00A40225">
      <w:pPr>
        <w:pStyle w:val="corte4fondo"/>
        <w:spacing w:line="276" w:lineRule="auto"/>
        <w:ind w:firstLine="0"/>
        <w:rPr>
          <w:rFonts w:cs="Arial"/>
          <w:color w:val="2E74B5" w:themeColor="accent1" w:themeShade="BF"/>
          <w:sz w:val="24"/>
          <w:szCs w:val="24"/>
          <w:lang w:val="es-MX"/>
        </w:rPr>
      </w:pPr>
    </w:p>
    <w:p w:rsidR="00AB4366" w:rsidRPr="00A40225" w:rsidRDefault="00AB4366"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ab/>
        <w:t>Así pues, el primero de los supuestos está acreditado en virtud de que, como ya también quedó visto en el resultando quinto, el 21 veintiuno de junio de este año, la ponente en el presente asunto admitió el recurso que nos ocupa.</w:t>
      </w:r>
    </w:p>
    <w:p w:rsidR="00AB4366" w:rsidRPr="00A40225" w:rsidRDefault="00AB4366" w:rsidP="00A40225">
      <w:pPr>
        <w:pStyle w:val="corte4fondo"/>
        <w:spacing w:line="276" w:lineRule="auto"/>
        <w:ind w:firstLine="0"/>
        <w:rPr>
          <w:rFonts w:cs="Arial"/>
          <w:color w:val="2E74B5" w:themeColor="accent1" w:themeShade="BF"/>
          <w:sz w:val="24"/>
          <w:szCs w:val="24"/>
          <w:lang w:val="es-MX"/>
        </w:rPr>
      </w:pPr>
    </w:p>
    <w:p w:rsidR="00AB4366" w:rsidRPr="00A40225" w:rsidRDefault="00AB4366"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ab/>
        <w:t>Ahora, por lo que toca al segundo de los supuestos, éste también está acreditado, ya que el artículo 179, fracción VIII, refieren la improcedencia del recurso y que es cuando el recurrente amplié en el propio recurso su solicitud de acceso a la información pública, es decir, que mediante el recurso introduzca nuevos contenidos en su solicitud de acceso a la información pública que no hizo al momento de que la presentó ante el ente obligado.</w:t>
      </w:r>
    </w:p>
    <w:p w:rsidR="00AB4366" w:rsidRPr="00A40225" w:rsidRDefault="00AB4366" w:rsidP="00A40225">
      <w:pPr>
        <w:pStyle w:val="corte4fondo"/>
        <w:spacing w:line="276" w:lineRule="auto"/>
        <w:ind w:firstLine="0"/>
        <w:rPr>
          <w:rFonts w:cs="Arial"/>
          <w:color w:val="2E74B5" w:themeColor="accent1" w:themeShade="BF"/>
          <w:sz w:val="24"/>
          <w:szCs w:val="24"/>
          <w:lang w:val="es-MX"/>
        </w:rPr>
      </w:pPr>
    </w:p>
    <w:p w:rsidR="00AB4366" w:rsidRPr="00A40225" w:rsidRDefault="00AB4366"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ab/>
        <w:t>Lo anterior se demuestra con la confronta de la solicitud de acceso a la información pública con los motivos de inconformidad que expresó en su recurso ya que, si en esencia el recurrente pidió al sujeto obligado la información sobre:</w:t>
      </w:r>
    </w:p>
    <w:p w:rsidR="00AB4366" w:rsidRPr="00A40225" w:rsidRDefault="00AB4366" w:rsidP="00A40225">
      <w:pPr>
        <w:pStyle w:val="corte4fondo"/>
        <w:spacing w:line="276" w:lineRule="auto"/>
        <w:ind w:firstLine="0"/>
        <w:rPr>
          <w:rFonts w:cs="Arial"/>
          <w:color w:val="2E74B5" w:themeColor="accent1" w:themeShade="BF"/>
          <w:sz w:val="24"/>
          <w:szCs w:val="24"/>
          <w:lang w:val="es-MX"/>
        </w:rPr>
      </w:pPr>
    </w:p>
    <w:tbl>
      <w:tblPr>
        <w:tblStyle w:val="Tablaconcuadrcula"/>
        <w:tblW w:w="0" w:type="auto"/>
        <w:tblLook w:val="04A0" w:firstRow="1" w:lastRow="0" w:firstColumn="1" w:lastColumn="0" w:noHBand="0" w:noVBand="1"/>
      </w:tblPr>
      <w:tblGrid>
        <w:gridCol w:w="4273"/>
        <w:gridCol w:w="4273"/>
      </w:tblGrid>
      <w:tr w:rsidR="00A40225" w:rsidRPr="00A40225" w:rsidTr="00AB4366">
        <w:tc>
          <w:tcPr>
            <w:tcW w:w="4273" w:type="dxa"/>
          </w:tcPr>
          <w:p w:rsidR="00AB4366" w:rsidRPr="00A40225" w:rsidRDefault="00AB4366" w:rsidP="00A40225">
            <w:pPr>
              <w:pStyle w:val="corte4fondo"/>
              <w:spacing w:line="276" w:lineRule="auto"/>
              <w:ind w:firstLine="0"/>
              <w:rPr>
                <w:rFonts w:eastAsia="Arial Unicode MS" w:cs="Arial"/>
                <w:b/>
                <w:color w:val="2E74B5" w:themeColor="accent1" w:themeShade="BF"/>
                <w:sz w:val="24"/>
                <w:szCs w:val="24"/>
                <w:lang w:val="es-MX"/>
              </w:rPr>
            </w:pPr>
            <w:r w:rsidRPr="00A40225">
              <w:rPr>
                <w:rFonts w:eastAsia="Arial Unicode MS" w:cs="Arial"/>
                <w:b/>
                <w:color w:val="2E74B5" w:themeColor="accent1" w:themeShade="BF"/>
                <w:sz w:val="24"/>
                <w:szCs w:val="24"/>
                <w:lang w:val="es-MX"/>
              </w:rPr>
              <w:t>Solicitud</w:t>
            </w:r>
          </w:p>
        </w:tc>
        <w:tc>
          <w:tcPr>
            <w:tcW w:w="4273" w:type="dxa"/>
          </w:tcPr>
          <w:p w:rsidR="00AB4366" w:rsidRPr="00A40225" w:rsidRDefault="00AB4366" w:rsidP="00A40225">
            <w:pPr>
              <w:pStyle w:val="corte4fondo"/>
              <w:spacing w:line="276" w:lineRule="auto"/>
              <w:ind w:firstLine="0"/>
              <w:rPr>
                <w:rFonts w:eastAsia="Arial Unicode MS" w:cs="Arial"/>
                <w:b/>
                <w:color w:val="2E74B5" w:themeColor="accent1" w:themeShade="BF"/>
                <w:sz w:val="24"/>
                <w:szCs w:val="24"/>
                <w:lang w:val="es-MX"/>
              </w:rPr>
            </w:pPr>
            <w:r w:rsidRPr="00A40225">
              <w:rPr>
                <w:rFonts w:eastAsia="Arial Unicode MS" w:cs="Arial"/>
                <w:b/>
                <w:color w:val="2E74B5" w:themeColor="accent1" w:themeShade="BF"/>
                <w:sz w:val="24"/>
                <w:szCs w:val="24"/>
                <w:lang w:val="es-MX"/>
              </w:rPr>
              <w:t>Agravio</w:t>
            </w:r>
          </w:p>
        </w:tc>
      </w:tr>
      <w:tr w:rsidR="00AB4366" w:rsidRPr="00A40225" w:rsidTr="00AB4366">
        <w:tc>
          <w:tcPr>
            <w:tcW w:w="4273" w:type="dxa"/>
          </w:tcPr>
          <w:p w:rsidR="00AB4366" w:rsidRPr="00A40225" w:rsidRDefault="00AB4366" w:rsidP="00A40225">
            <w:pPr>
              <w:pStyle w:val="corte4fondo"/>
              <w:spacing w:line="276" w:lineRule="auto"/>
              <w:ind w:firstLine="0"/>
              <w:rPr>
                <w:rFonts w:eastAsia="Arial Unicode MS" w:cs="Arial"/>
                <w:color w:val="2E74B5" w:themeColor="accent1" w:themeShade="BF"/>
                <w:sz w:val="20"/>
                <w:lang w:val="es-MX"/>
              </w:rPr>
            </w:pPr>
            <w:r w:rsidRPr="00A40225">
              <w:rPr>
                <w:rFonts w:eastAsia="Arial Unicode MS" w:cs="Arial"/>
                <w:color w:val="2E74B5" w:themeColor="accent1" w:themeShade="BF"/>
                <w:sz w:val="20"/>
                <w:lang w:val="es-MX"/>
              </w:rPr>
              <w:t xml:space="preserve">Fundamentación normativa por la cual no se ha nombrado al Director General del Sistema Estatal de Documentación y Archivo desde el año 2013, cuando en la ley de archivos del estado (Vigente y </w:t>
            </w:r>
            <w:r w:rsidR="00890448" w:rsidRPr="00A40225">
              <w:rPr>
                <w:rFonts w:eastAsia="Arial Unicode MS" w:cs="Arial"/>
                <w:color w:val="2E74B5" w:themeColor="accent1" w:themeShade="BF"/>
                <w:sz w:val="20"/>
                <w:lang w:val="es-MX"/>
              </w:rPr>
              <w:t>aplicable) estipula</w:t>
            </w:r>
            <w:r w:rsidRPr="00A40225">
              <w:rPr>
                <w:rFonts w:eastAsia="Arial Unicode MS" w:cs="Arial"/>
                <w:color w:val="2E74B5" w:themeColor="accent1" w:themeShade="BF"/>
                <w:sz w:val="20"/>
                <w:lang w:val="es-MX"/>
              </w:rPr>
              <w:t xml:space="preserve"> en su artículo 21 que a continuación menciono: ARTÍCULO 21. El Director General del SEDA será electo por el pleno de la CEGAIP y por unanimidad de votos. Para el efecto, la CEGAIP convocará públicamente a concurso de oposición, proponiendo una terna con los aspirantes mejor evaluados de entre los que elegirá.</w:t>
            </w:r>
          </w:p>
        </w:tc>
        <w:tc>
          <w:tcPr>
            <w:tcW w:w="4273" w:type="dxa"/>
          </w:tcPr>
          <w:p w:rsidR="009D5CF2" w:rsidRPr="00A40225" w:rsidRDefault="009D5CF2" w:rsidP="00A40225">
            <w:pPr>
              <w:pStyle w:val="corte4fondo"/>
              <w:spacing w:line="276" w:lineRule="auto"/>
              <w:ind w:firstLine="0"/>
              <w:rPr>
                <w:rFonts w:eastAsia="Arial Unicode MS" w:cs="Arial"/>
                <w:color w:val="2E74B5" w:themeColor="accent1" w:themeShade="BF"/>
                <w:sz w:val="20"/>
                <w:lang w:val="es-MX"/>
              </w:rPr>
            </w:pPr>
            <w:r w:rsidRPr="00A40225">
              <w:rPr>
                <w:rFonts w:eastAsia="Arial Unicode MS" w:cs="Arial"/>
                <w:color w:val="2E74B5" w:themeColor="accent1" w:themeShade="BF"/>
                <w:sz w:val="20"/>
                <w:lang w:val="es-MX"/>
              </w:rPr>
              <w:t>-Además solicito el Acta donde se estipula la designación del encargado del Despacho de la Dirección General del Sistema Estatal de Documentación y Archivo.</w:t>
            </w:r>
          </w:p>
          <w:p w:rsidR="00AB4366" w:rsidRPr="00A40225" w:rsidRDefault="009D5CF2" w:rsidP="00A40225">
            <w:pPr>
              <w:pStyle w:val="corte4fondo"/>
              <w:spacing w:line="276" w:lineRule="auto"/>
              <w:ind w:firstLine="0"/>
              <w:rPr>
                <w:rFonts w:eastAsia="Arial Unicode MS" w:cs="Arial"/>
                <w:color w:val="2E74B5" w:themeColor="accent1" w:themeShade="BF"/>
                <w:sz w:val="20"/>
                <w:lang w:val="es-MX"/>
              </w:rPr>
            </w:pPr>
            <w:r w:rsidRPr="00A40225">
              <w:rPr>
                <w:rFonts w:eastAsia="Arial Unicode MS" w:cs="Arial"/>
                <w:color w:val="2E74B5" w:themeColor="accent1" w:themeShade="BF"/>
                <w:sz w:val="20"/>
                <w:lang w:val="es-MX"/>
              </w:rPr>
              <w:t xml:space="preserve"> -Asimismo, la última convocatoria para la designación del encargado del despacho de la Dirección General del Sistema Estatal de Documentación y Archivo.</w:t>
            </w:r>
          </w:p>
        </w:tc>
      </w:tr>
    </w:tbl>
    <w:p w:rsidR="0006517C" w:rsidRPr="00A40225" w:rsidRDefault="0006517C" w:rsidP="00A40225">
      <w:pPr>
        <w:pStyle w:val="corte4fondo"/>
        <w:spacing w:line="276" w:lineRule="auto"/>
        <w:ind w:firstLine="708"/>
        <w:rPr>
          <w:rFonts w:cs="Arial"/>
          <w:color w:val="2E74B5" w:themeColor="accent1" w:themeShade="BF"/>
          <w:sz w:val="24"/>
          <w:szCs w:val="24"/>
          <w:lang w:val="es-MX"/>
        </w:rPr>
      </w:pPr>
    </w:p>
    <w:p w:rsidR="0006517C" w:rsidRPr="00A40225" w:rsidRDefault="0006517C" w:rsidP="00A40225">
      <w:pPr>
        <w:pStyle w:val="corte4fondo"/>
        <w:spacing w:line="276" w:lineRule="auto"/>
        <w:ind w:firstLine="708"/>
        <w:rPr>
          <w:rFonts w:cs="Arial"/>
          <w:color w:val="2E74B5" w:themeColor="accent1" w:themeShade="BF"/>
          <w:sz w:val="24"/>
          <w:szCs w:val="24"/>
          <w:lang w:val="es-MX"/>
        </w:rPr>
      </w:pPr>
      <w:r w:rsidRPr="00A40225">
        <w:rPr>
          <w:rFonts w:cs="Arial"/>
          <w:color w:val="2E74B5" w:themeColor="accent1" w:themeShade="BF"/>
          <w:sz w:val="24"/>
          <w:szCs w:val="24"/>
          <w:lang w:val="es-MX"/>
        </w:rPr>
        <w:t xml:space="preserve">Así, mediante el presente medio de impugnación el recurrente pretende obtener información que no fue motivo de la solicitud de acceso a la información pública, por tal razón, mediante el recurso no es viable desde el punto de vista jurídico que dicho recurrente haya ampliado o modificado su solicitud de acceso a la información pública </w:t>
      </w:r>
      <w:r w:rsidRPr="00A40225">
        <w:rPr>
          <w:rFonts w:cs="Arial"/>
          <w:color w:val="2E74B5" w:themeColor="accent1" w:themeShade="BF"/>
          <w:sz w:val="24"/>
          <w:szCs w:val="24"/>
          <w:lang w:val="es-MX"/>
        </w:rPr>
        <w:lastRenderedPageBreak/>
        <w:t xml:space="preserve">en el recurso –agravio- y que mediante éste pretenda que se le especifique u obtenga información que no solicitó. </w:t>
      </w:r>
    </w:p>
    <w:p w:rsidR="0006517C" w:rsidRPr="00A40225" w:rsidRDefault="0006517C" w:rsidP="00A40225">
      <w:pPr>
        <w:pStyle w:val="corte4fondo"/>
        <w:spacing w:line="276" w:lineRule="auto"/>
        <w:ind w:firstLine="0"/>
        <w:rPr>
          <w:rFonts w:cs="Arial"/>
          <w:color w:val="2E74B5" w:themeColor="accent1" w:themeShade="BF"/>
          <w:sz w:val="24"/>
          <w:szCs w:val="24"/>
          <w:lang w:val="es-MX"/>
        </w:rPr>
      </w:pPr>
    </w:p>
    <w:p w:rsidR="0006517C" w:rsidRPr="00A40225" w:rsidRDefault="0006517C"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ab/>
        <w:t>Lo anterior se sostienen con la tesis I.8o.A.136 A emitida por el Octavo Tribunal Colegiado en Materia Administrativa del Primer Circuito, Visible en el Semanario Judicial y su Gaceta, Página 2887, Tomo XXIX, marzo de 2009, Materia Administrativa, Novena Época, Registro IUS 167607 cuyo rubro y texto es:</w:t>
      </w:r>
    </w:p>
    <w:p w:rsidR="0006517C" w:rsidRPr="00A40225" w:rsidRDefault="0006517C" w:rsidP="00A40225">
      <w:pPr>
        <w:pStyle w:val="corte4fondo"/>
        <w:spacing w:line="276" w:lineRule="auto"/>
        <w:rPr>
          <w:rFonts w:cs="Arial"/>
          <w:color w:val="2E74B5" w:themeColor="accent1" w:themeShade="BF"/>
          <w:sz w:val="24"/>
          <w:szCs w:val="24"/>
          <w:lang w:val="es-MX"/>
        </w:rPr>
      </w:pPr>
    </w:p>
    <w:p w:rsidR="0006517C" w:rsidRPr="00A40225" w:rsidRDefault="0006517C" w:rsidP="00A40225">
      <w:pPr>
        <w:pStyle w:val="corte4fondo"/>
        <w:spacing w:line="276" w:lineRule="auto"/>
        <w:ind w:left="708" w:firstLine="0"/>
        <w:rPr>
          <w:rFonts w:cs="Arial"/>
          <w:i/>
          <w:color w:val="2E74B5" w:themeColor="accent1" w:themeShade="BF"/>
          <w:sz w:val="20"/>
          <w:lang w:val="es-MX"/>
        </w:rPr>
      </w:pPr>
      <w:r w:rsidRPr="00A40225">
        <w:rPr>
          <w:rFonts w:cs="Arial"/>
          <w:b/>
          <w:i/>
          <w:color w:val="2E74B5" w:themeColor="accent1" w:themeShade="BF"/>
          <w:sz w:val="20"/>
          <w:lang w:val="es-MX"/>
        </w:rPr>
        <w:t>TRANSPARENCIA Y ACCESO A LA INFORMACIÓN PÚBLICA GUBERNAMENTAL. LOS ARTÍCULOS 1, 2 Y 6 DE LA LEY FEDERAL RELATIVA, NO DEBEN INTERPRETARSE EN EL SENTIDO DE PERMITIR AL GOBERNADO QUE A SU ARBITRIO SOLICITE COPIA DE DOCUMENTOS QUE NO OBREN EN LOS EXPEDIENTES DE LOS SUJETOS OBLIGADOS, O SEAN DISTINTOS A LOS DE SU PETICIÓN INICIAL.</w:t>
      </w:r>
      <w:r w:rsidRPr="00A40225">
        <w:rPr>
          <w:rFonts w:cs="Arial"/>
          <w:i/>
          <w:color w:val="2E74B5" w:themeColor="accent1" w:themeShade="BF"/>
          <w:sz w:val="20"/>
          <w:lang w:val="es-MX"/>
        </w:rPr>
        <w:t xml:space="preserve"> Si bien es cierto que los artículos 1 y 2 de la Ley Federal de Transparencia y Acceso a la Información Pública Gubernamental establecen, respectivamente, que dicho ordenamiento tiene como finalidad proveer lo necesario para garantizar el acceso de toda persona a la información en posesión de los Poderes de la Unión, los órganos constitucionales autónomos o con autonomía legal y cualquier otra entidad federal, así como que toda la información gubernamental a que se refiere dicha ley es pública y los particulares tendrán acceso a ella en los términos que en ésta se señalen y que, por otra parte, el precepto 6 de la propia legislación prevé el principio de máxima publicidad y disponibilidad de la información en posesión de los sujetos obligados; también lo es que ello no implica que tales numerales deban interpretarse en el sentido de permitir al gobernado que a su arbitrio solicite copia de documentos que no obren en los expedientes de los sujetos obligados, o sean distintos a los de su petición inicial, pues ello contravendría el artículo 42 de la citada ley, que señala que las dependencias y entidades sólo estarán obligadas a entregar los documentos que se encuentren en sus archivos -los solicitados- y que la obligación de acceso a la información se dará por cumplida cuando se pongan a disposición del solicitante para consulta en el sitio donde se encuentren.</w:t>
      </w:r>
    </w:p>
    <w:p w:rsidR="0006517C" w:rsidRPr="00A40225" w:rsidRDefault="0006517C" w:rsidP="00A40225">
      <w:pPr>
        <w:pStyle w:val="corte4fondo"/>
        <w:spacing w:line="276" w:lineRule="auto"/>
        <w:ind w:firstLine="0"/>
        <w:rPr>
          <w:rFonts w:cs="Arial"/>
          <w:color w:val="2E74B5" w:themeColor="accent1" w:themeShade="BF"/>
          <w:sz w:val="20"/>
          <w:lang w:val="es-MX"/>
        </w:rPr>
      </w:pPr>
    </w:p>
    <w:p w:rsidR="0006517C" w:rsidRPr="00A40225" w:rsidRDefault="0006517C"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ab/>
        <w:t>Por ello, si el legislador estableció como una causa del improcedencia, en el sentido de que no era viable que el recurrente ampliara su solicitud mediante el recurso sobre nuevos contenidos, ello tiene la finalidad de que, el sujeto obligado, nunca estuvo en aptitud de responder esos nuevos planteamientos y, no lo puede hacer vía informe, en virtud de que lo jurídicamente idóneo para acceder a esa información es precisamente que el ahora recurrente presente ante el sujeto obligado una nueva solicitud de acceso a la información pública.</w:t>
      </w:r>
    </w:p>
    <w:p w:rsidR="0006517C" w:rsidRPr="00A40225" w:rsidRDefault="0006517C" w:rsidP="00A40225">
      <w:pPr>
        <w:pStyle w:val="corte4fondo"/>
        <w:spacing w:line="276" w:lineRule="auto"/>
        <w:ind w:firstLine="0"/>
        <w:rPr>
          <w:rFonts w:cs="Arial"/>
          <w:color w:val="2E74B5" w:themeColor="accent1" w:themeShade="BF"/>
          <w:sz w:val="24"/>
          <w:szCs w:val="24"/>
          <w:lang w:val="es-MX"/>
        </w:rPr>
      </w:pPr>
    </w:p>
    <w:p w:rsidR="0006517C" w:rsidRPr="00A40225" w:rsidRDefault="0006517C"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ab/>
        <w:t>Por eso, lo procedente es que esta Comisión de Transparencia, al actualizarse la causa</w:t>
      </w:r>
      <w:r w:rsidR="00685E2A">
        <w:rPr>
          <w:rFonts w:cs="Arial"/>
          <w:color w:val="2E74B5" w:themeColor="accent1" w:themeShade="BF"/>
          <w:sz w:val="24"/>
          <w:szCs w:val="24"/>
          <w:lang w:val="es-MX"/>
        </w:rPr>
        <w:t>l</w:t>
      </w:r>
      <w:r w:rsidRPr="00A40225">
        <w:rPr>
          <w:rFonts w:cs="Arial"/>
          <w:color w:val="2E74B5" w:themeColor="accent1" w:themeShade="BF"/>
          <w:sz w:val="24"/>
          <w:szCs w:val="24"/>
          <w:lang w:val="es-MX"/>
        </w:rPr>
        <w:t xml:space="preserve"> prevista del artículo citado </w:t>
      </w:r>
      <w:r w:rsidRPr="00A40225">
        <w:rPr>
          <w:rFonts w:cs="Arial"/>
          <w:b/>
          <w:color w:val="2E74B5" w:themeColor="accent1" w:themeShade="BF"/>
          <w:sz w:val="24"/>
          <w:szCs w:val="24"/>
          <w:lang w:val="es-MX"/>
        </w:rPr>
        <w:t xml:space="preserve">sobresee el presente </w:t>
      </w:r>
      <w:r w:rsidR="00AB72E0" w:rsidRPr="00A40225">
        <w:rPr>
          <w:rFonts w:cs="Arial"/>
          <w:b/>
          <w:color w:val="2E74B5" w:themeColor="accent1" w:themeShade="BF"/>
          <w:sz w:val="24"/>
          <w:szCs w:val="24"/>
          <w:lang w:val="es-MX"/>
        </w:rPr>
        <w:t>recurso</w:t>
      </w:r>
      <w:r w:rsidR="00AB72E0" w:rsidRPr="00A40225">
        <w:rPr>
          <w:rFonts w:cs="Arial"/>
          <w:color w:val="2E74B5" w:themeColor="accent1" w:themeShade="BF"/>
          <w:sz w:val="24"/>
          <w:szCs w:val="24"/>
          <w:lang w:val="es-MX"/>
        </w:rPr>
        <w:t xml:space="preserve"> en</w:t>
      </w:r>
      <w:r w:rsidRPr="00A40225">
        <w:rPr>
          <w:rFonts w:cs="Arial"/>
          <w:color w:val="2E74B5" w:themeColor="accent1" w:themeShade="BF"/>
          <w:sz w:val="24"/>
          <w:szCs w:val="24"/>
          <w:lang w:val="es-MX"/>
        </w:rPr>
        <w:t xml:space="preserve"> esa parte.</w:t>
      </w:r>
    </w:p>
    <w:p w:rsidR="0006517C" w:rsidRPr="00A40225" w:rsidRDefault="0006517C" w:rsidP="00A40225">
      <w:pPr>
        <w:pStyle w:val="corte4fondo"/>
        <w:spacing w:line="276" w:lineRule="auto"/>
        <w:ind w:firstLine="0"/>
        <w:rPr>
          <w:rFonts w:cs="Arial"/>
          <w:color w:val="2E74B5" w:themeColor="accent1" w:themeShade="BF"/>
          <w:sz w:val="24"/>
          <w:szCs w:val="24"/>
          <w:lang w:val="es-MX"/>
        </w:rPr>
      </w:pPr>
    </w:p>
    <w:p w:rsidR="0006517C" w:rsidRPr="00A40225" w:rsidRDefault="00AB72E0" w:rsidP="00A40225">
      <w:pPr>
        <w:pStyle w:val="corte4fondo"/>
        <w:spacing w:line="276" w:lineRule="auto"/>
        <w:ind w:firstLine="708"/>
        <w:rPr>
          <w:rFonts w:cs="Arial"/>
          <w:color w:val="2E74B5" w:themeColor="accent1" w:themeShade="BF"/>
          <w:sz w:val="24"/>
          <w:szCs w:val="24"/>
          <w:lang w:val="es-MX"/>
        </w:rPr>
      </w:pPr>
      <w:r w:rsidRPr="00AB72E0">
        <w:rPr>
          <w:rFonts w:cs="Arial"/>
          <w:b/>
          <w:color w:val="2E74B5" w:themeColor="accent1" w:themeShade="BF"/>
          <w:sz w:val="24"/>
          <w:szCs w:val="24"/>
          <w:lang w:val="es-MX"/>
        </w:rPr>
        <w:t>SEXTO</w:t>
      </w:r>
      <w:r w:rsidR="0006517C" w:rsidRPr="00A40225">
        <w:rPr>
          <w:rFonts w:cs="Arial"/>
          <w:color w:val="2E74B5" w:themeColor="accent1" w:themeShade="BF"/>
          <w:sz w:val="24"/>
          <w:szCs w:val="24"/>
          <w:lang w:val="es-MX"/>
        </w:rPr>
        <w:t xml:space="preserve">. </w:t>
      </w:r>
      <w:r w:rsidR="0006517C" w:rsidRPr="00A40225">
        <w:rPr>
          <w:rFonts w:cs="Arial"/>
          <w:b/>
          <w:color w:val="2E74B5" w:themeColor="accent1" w:themeShade="BF"/>
          <w:sz w:val="24"/>
          <w:szCs w:val="24"/>
          <w:lang w:val="es-MX"/>
        </w:rPr>
        <w:t xml:space="preserve">Causales de improcedencia. </w:t>
      </w:r>
      <w:r w:rsidR="0006517C" w:rsidRPr="00A40225">
        <w:rPr>
          <w:rFonts w:cs="Arial"/>
          <w:color w:val="2E74B5" w:themeColor="accent1" w:themeShade="BF"/>
          <w:sz w:val="24"/>
          <w:szCs w:val="24"/>
          <w:lang w:val="es-MX"/>
        </w:rPr>
        <w:t>Las causales de improcedencia previstas en el artículo 179 de la Ley de Transparencia son de estudio oficioso y preferente a cualquier otra cuestión planteada, por lo tanto, al no haber otra causal de improcedencia invocada por las partes o advertida por este órgano colegiado, se analiza el fondo de la cuestión planteada.</w:t>
      </w:r>
    </w:p>
    <w:p w:rsidR="0006517C" w:rsidRPr="00A40225" w:rsidRDefault="0006517C"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lang w:val="es-MX"/>
        </w:rPr>
        <w:tab/>
      </w:r>
    </w:p>
    <w:p w:rsidR="0006517C" w:rsidRPr="00A40225" w:rsidRDefault="0006517C" w:rsidP="00A40225">
      <w:pPr>
        <w:pStyle w:val="corte4fondo"/>
        <w:spacing w:line="276" w:lineRule="auto"/>
        <w:ind w:firstLine="0"/>
        <w:rPr>
          <w:rFonts w:cs="Arial"/>
          <w:color w:val="2E74B5" w:themeColor="accent1" w:themeShade="BF"/>
          <w:sz w:val="24"/>
          <w:szCs w:val="24"/>
          <w:lang w:val="es-MX"/>
        </w:rPr>
      </w:pPr>
      <w:r w:rsidRPr="00A40225">
        <w:rPr>
          <w:rFonts w:cs="Arial"/>
          <w:color w:val="2E74B5" w:themeColor="accent1" w:themeShade="BF"/>
          <w:sz w:val="24"/>
          <w:szCs w:val="24"/>
          <w:lang w:val="es-MX"/>
        </w:rPr>
        <w:tab/>
      </w:r>
      <w:r w:rsidR="00AB72E0" w:rsidRPr="00A40225">
        <w:rPr>
          <w:rFonts w:cs="Arial"/>
          <w:b/>
          <w:color w:val="2E74B5" w:themeColor="accent1" w:themeShade="BF"/>
          <w:sz w:val="24"/>
          <w:szCs w:val="24"/>
          <w:lang w:val="es-MX"/>
        </w:rPr>
        <w:t>SÉPTIMO</w:t>
      </w:r>
      <w:r w:rsidRPr="00A40225">
        <w:rPr>
          <w:rFonts w:cs="Arial"/>
          <w:b/>
          <w:color w:val="2E74B5" w:themeColor="accent1" w:themeShade="BF"/>
          <w:sz w:val="24"/>
          <w:szCs w:val="24"/>
          <w:lang w:val="es-MX"/>
        </w:rPr>
        <w:t>. Estudio de los agravios</w:t>
      </w:r>
      <w:r w:rsidRPr="00A40225">
        <w:rPr>
          <w:rFonts w:cs="Arial"/>
          <w:color w:val="2E74B5" w:themeColor="accent1" w:themeShade="BF"/>
          <w:sz w:val="24"/>
          <w:szCs w:val="24"/>
          <w:lang w:val="es-MX"/>
        </w:rPr>
        <w:t xml:space="preserve">.  </w:t>
      </w:r>
    </w:p>
    <w:p w:rsidR="0006517C" w:rsidRPr="00A40225" w:rsidRDefault="0006517C" w:rsidP="00A40225">
      <w:pPr>
        <w:pStyle w:val="corte4fondo"/>
        <w:spacing w:line="276" w:lineRule="auto"/>
        <w:ind w:firstLine="0"/>
        <w:rPr>
          <w:rFonts w:cs="Arial"/>
          <w:color w:val="2E74B5" w:themeColor="accent1" w:themeShade="BF"/>
          <w:sz w:val="24"/>
          <w:szCs w:val="24"/>
          <w:lang w:val="es-MX"/>
        </w:rPr>
      </w:pPr>
    </w:p>
    <w:p w:rsidR="0006517C" w:rsidRPr="00A40225" w:rsidRDefault="0006517C" w:rsidP="00A40225">
      <w:pPr>
        <w:pStyle w:val="corte4fondo"/>
        <w:spacing w:line="276" w:lineRule="auto"/>
        <w:ind w:firstLine="0"/>
        <w:rPr>
          <w:rFonts w:cs="Arial"/>
          <w:color w:val="2E74B5" w:themeColor="accent1" w:themeShade="BF"/>
          <w:sz w:val="24"/>
          <w:szCs w:val="24"/>
        </w:rPr>
      </w:pPr>
      <w:r w:rsidRPr="00A40225">
        <w:rPr>
          <w:rFonts w:cs="Arial"/>
          <w:color w:val="2E74B5" w:themeColor="accent1" w:themeShade="BF"/>
          <w:sz w:val="24"/>
          <w:szCs w:val="24"/>
          <w:lang w:val="es-MX"/>
        </w:rPr>
        <w:tab/>
      </w:r>
      <w:r w:rsidR="00AB72E0">
        <w:rPr>
          <w:rFonts w:cs="Arial"/>
          <w:b/>
          <w:color w:val="2E74B5" w:themeColor="accent1" w:themeShade="BF"/>
          <w:sz w:val="24"/>
          <w:szCs w:val="24"/>
          <w:lang w:val="es-MX"/>
        </w:rPr>
        <w:t>7</w:t>
      </w:r>
      <w:r w:rsidRPr="00A40225">
        <w:rPr>
          <w:rFonts w:cs="Arial"/>
          <w:b/>
          <w:color w:val="2E74B5" w:themeColor="accent1" w:themeShade="BF"/>
          <w:sz w:val="24"/>
          <w:szCs w:val="24"/>
        </w:rPr>
        <w:t>.1. Agravios.</w:t>
      </w:r>
      <w:r w:rsidRPr="00A40225">
        <w:rPr>
          <w:rFonts w:cs="Arial"/>
          <w:color w:val="2E74B5" w:themeColor="accent1" w:themeShade="BF"/>
          <w:sz w:val="24"/>
          <w:szCs w:val="24"/>
        </w:rPr>
        <w:t xml:space="preserve"> El recurrente expresó como agravios:</w:t>
      </w:r>
    </w:p>
    <w:p w:rsidR="00515B11" w:rsidRPr="00AB72E0" w:rsidRDefault="00515B11" w:rsidP="00AB72E0">
      <w:pPr>
        <w:pStyle w:val="corte4fondo"/>
        <w:spacing w:line="276" w:lineRule="auto"/>
        <w:ind w:firstLine="0"/>
        <w:rPr>
          <w:rFonts w:cs="Arial"/>
          <w:color w:val="2E74B5" w:themeColor="accent1" w:themeShade="BF"/>
          <w:sz w:val="24"/>
          <w:szCs w:val="24"/>
        </w:rPr>
      </w:pPr>
    </w:p>
    <w:p w:rsidR="00515B11" w:rsidRPr="00AB72E0" w:rsidRDefault="00515B11" w:rsidP="00AB72E0">
      <w:pPr>
        <w:spacing w:after="0"/>
        <w:jc w:val="both"/>
        <w:rPr>
          <w:rFonts w:ascii="Arial" w:hAnsi="Arial" w:cs="Arial"/>
          <w:i/>
          <w:color w:val="2E74B5" w:themeColor="accent1" w:themeShade="BF"/>
          <w:sz w:val="20"/>
          <w:szCs w:val="20"/>
          <w:shd w:val="clear" w:color="auto" w:fill="FFFFFF"/>
        </w:rPr>
      </w:pPr>
      <w:r w:rsidRPr="00AB72E0">
        <w:rPr>
          <w:rFonts w:ascii="Arial" w:hAnsi="Arial" w:cs="Arial"/>
          <w:i/>
          <w:color w:val="2E74B5" w:themeColor="accent1" w:themeShade="BF"/>
          <w:sz w:val="20"/>
          <w:szCs w:val="20"/>
        </w:rPr>
        <w:lastRenderedPageBreak/>
        <w:t>“…</w:t>
      </w:r>
      <w:r w:rsidRPr="00AB72E0">
        <w:rPr>
          <w:rFonts w:ascii="Arial" w:hAnsi="Arial" w:cs="Arial"/>
          <w:i/>
          <w:color w:val="2E74B5" w:themeColor="accent1" w:themeShade="BF"/>
          <w:sz w:val="20"/>
          <w:szCs w:val="20"/>
          <w:shd w:val="clear" w:color="auto" w:fill="FFFFFF"/>
        </w:rPr>
        <w:t xml:space="preserve">No puedo aceptar como válida y legal el Acta N°9, de la Sesión Extraordinaria del Comité de Transparencia de la CEGAIP de fecha 08 de </w:t>
      </w:r>
      <w:proofErr w:type="gramStart"/>
      <w:r w:rsidRPr="00AB72E0">
        <w:rPr>
          <w:rFonts w:ascii="Arial" w:hAnsi="Arial" w:cs="Arial"/>
          <w:i/>
          <w:color w:val="2E74B5" w:themeColor="accent1" w:themeShade="BF"/>
          <w:sz w:val="20"/>
          <w:szCs w:val="20"/>
          <w:shd w:val="clear" w:color="auto" w:fill="FFFFFF"/>
        </w:rPr>
        <w:t>Junio</w:t>
      </w:r>
      <w:proofErr w:type="gramEnd"/>
      <w:r w:rsidRPr="00AB72E0">
        <w:rPr>
          <w:rFonts w:ascii="Arial" w:hAnsi="Arial" w:cs="Arial"/>
          <w:i/>
          <w:color w:val="2E74B5" w:themeColor="accent1" w:themeShade="BF"/>
          <w:sz w:val="20"/>
          <w:szCs w:val="20"/>
          <w:shd w:val="clear" w:color="auto" w:fill="FFFFFF"/>
        </w:rPr>
        <w:t xml:space="preserve"> de 2018, debido que no cuenta con las rubricas de los integrantes de su comité de transparencia y esto no puede considerarse oficial, esto de acuerdo a lo establecido en el artículo 128 fracción que dice: ¿Artículo 128. El acuerdo que clasifique la información como reservada deberá contener, cuando menos: IX. La rúbrica de los miembros del </w:t>
      </w:r>
      <w:proofErr w:type="gramStart"/>
      <w:r w:rsidRPr="00AB72E0">
        <w:rPr>
          <w:rFonts w:ascii="Arial" w:hAnsi="Arial" w:cs="Arial"/>
          <w:i/>
          <w:color w:val="2E74B5" w:themeColor="accent1" w:themeShade="BF"/>
          <w:sz w:val="20"/>
          <w:szCs w:val="20"/>
          <w:shd w:val="clear" w:color="auto" w:fill="FFFFFF"/>
        </w:rPr>
        <w:t>Comité¿ Aunado</w:t>
      </w:r>
      <w:proofErr w:type="gramEnd"/>
      <w:r w:rsidRPr="00AB72E0">
        <w:rPr>
          <w:rFonts w:ascii="Arial" w:hAnsi="Arial" w:cs="Arial"/>
          <w:i/>
          <w:color w:val="2E74B5" w:themeColor="accent1" w:themeShade="BF"/>
          <w:sz w:val="20"/>
          <w:szCs w:val="20"/>
          <w:shd w:val="clear" w:color="auto" w:fill="FFFFFF"/>
        </w:rPr>
        <w:t xml:space="preserve"> a lo anterior la información recibida no es la información que se solicitó, claramente se establece en la solicitud lo siguiente: ¿Fundamentación normativa por la cual no se ha nombrado al Director General del Sistema Estatal de Documentación y Archivo desde el año 2013, cuando en la ley de archivos del estado (Vigente y aplicable) estipula en su artículo 21 que a continuación menciono: ARTÍCULO 21. El Director General del SEDA será electo por el pleno de la CEGAIP y por unanimidad de votos. Para el efecto, la CEGAIP convocará públicamente a concurso de oposición, proponiendo una terna con los aspirantes mejor evaluados de entre los que </w:t>
      </w:r>
      <w:proofErr w:type="gramStart"/>
      <w:r w:rsidRPr="00AB72E0">
        <w:rPr>
          <w:rFonts w:ascii="Arial" w:hAnsi="Arial" w:cs="Arial"/>
          <w:i/>
          <w:color w:val="2E74B5" w:themeColor="accent1" w:themeShade="BF"/>
          <w:sz w:val="20"/>
          <w:szCs w:val="20"/>
          <w:shd w:val="clear" w:color="auto" w:fill="FFFFFF"/>
        </w:rPr>
        <w:t>elegirá.¿</w:t>
      </w:r>
      <w:proofErr w:type="gramEnd"/>
      <w:r w:rsidRPr="00AB72E0">
        <w:rPr>
          <w:rFonts w:ascii="Arial" w:hAnsi="Arial" w:cs="Arial"/>
          <w:i/>
          <w:color w:val="2E74B5" w:themeColor="accent1" w:themeShade="BF"/>
          <w:sz w:val="20"/>
          <w:szCs w:val="20"/>
          <w:shd w:val="clear" w:color="auto" w:fill="FFFFFF"/>
        </w:rPr>
        <w:t xml:space="preserve"> La petición es que se fundamente y motive de acuerdo a la normatividad vigente en materia de archivos por qué no se ha nombrado al Director General del SEDA y así evidenciar el cumplimiento o incumplimiento de la Ley de Archivos del Estado de San Luis Potosí. Así mismo requiero se aclare porque dan respuesta distinta a la misma solicitud de información, adjunto los archivos de la respuesta la solicitud realizada en el año 2017 identificada CEGAIP-SI-187/2017 folio 00591217 mediante la cual se solicitó lo siguiente: ¿Fundamentación normativa por la cual no se ha nombrado al Director General del Sistema Estatal de Documentación y Archivo desde el año 2013, cuando en la ley de archivos del estado se estipula en su artículo 21 que a continuación menciono: ARTÍCULO 21. El Director General del SEDA será electo por el pleno de la CEGAIP y por unanimidad de votos. Para el efecto, la CEGAIP convocará públicamente a concurso de oposición, proponiendo una terna con los aspirantes mejor evaluados de entre los que elegirá. </w:t>
      </w:r>
      <w:proofErr w:type="gramStart"/>
      <w:r w:rsidRPr="00AB72E0">
        <w:rPr>
          <w:rFonts w:ascii="Arial" w:hAnsi="Arial" w:cs="Arial"/>
          <w:i/>
          <w:color w:val="2E74B5" w:themeColor="accent1" w:themeShade="BF"/>
          <w:sz w:val="20"/>
          <w:szCs w:val="20"/>
          <w:shd w:val="clear" w:color="auto" w:fill="FFFFFF"/>
        </w:rPr>
        <w:t>Además</w:t>
      </w:r>
      <w:proofErr w:type="gramEnd"/>
      <w:r w:rsidRPr="00AB72E0">
        <w:rPr>
          <w:rFonts w:ascii="Arial" w:hAnsi="Arial" w:cs="Arial"/>
          <w:i/>
          <w:color w:val="2E74B5" w:themeColor="accent1" w:themeShade="BF"/>
          <w:sz w:val="20"/>
          <w:szCs w:val="20"/>
          <w:shd w:val="clear" w:color="auto" w:fill="FFFFFF"/>
        </w:rPr>
        <w:t xml:space="preserve"> solicito el acta donde se estipula la designación del encargado del despacho de la Dirección General del Sistema Estatal de Documentación y Archivo. Así mismo la última convocatoria para la designación para la designación del Director General del Sistema Estatal de Documentación y </w:t>
      </w:r>
      <w:proofErr w:type="gramStart"/>
      <w:r w:rsidRPr="00AB72E0">
        <w:rPr>
          <w:rFonts w:ascii="Arial" w:hAnsi="Arial" w:cs="Arial"/>
          <w:i/>
          <w:color w:val="2E74B5" w:themeColor="accent1" w:themeShade="BF"/>
          <w:sz w:val="20"/>
          <w:szCs w:val="20"/>
          <w:shd w:val="clear" w:color="auto" w:fill="FFFFFF"/>
        </w:rPr>
        <w:t>Archivo.¿</w:t>
      </w:r>
      <w:proofErr w:type="gramEnd"/>
      <w:r w:rsidRPr="00AB72E0">
        <w:rPr>
          <w:rFonts w:ascii="Arial" w:hAnsi="Arial" w:cs="Arial"/>
          <w:i/>
          <w:color w:val="2E74B5" w:themeColor="accent1" w:themeShade="BF"/>
          <w:sz w:val="20"/>
          <w:szCs w:val="20"/>
          <w:shd w:val="clear" w:color="auto" w:fill="FFFFFF"/>
        </w:rPr>
        <w:t xml:space="preserve"> En la cual tampoco se recibió lo solicitado, ya que solamente se relató el proceso de cambios en la Dirección General del SEDA y se argumentó que se esperaba la publicación de la Ley General de Archivos, cuando a nivel estatal está vigente la Ley de Archivos del Estado de San Luis Potosí…”</w:t>
      </w:r>
    </w:p>
    <w:p w:rsidR="00A40225" w:rsidRPr="00AB72E0" w:rsidRDefault="00A40225" w:rsidP="00AB72E0">
      <w:pPr>
        <w:spacing w:after="0"/>
        <w:jc w:val="both"/>
        <w:rPr>
          <w:rFonts w:ascii="Arial" w:hAnsi="Arial" w:cs="Arial"/>
          <w:i/>
          <w:color w:val="2E74B5" w:themeColor="accent1" w:themeShade="BF"/>
          <w:sz w:val="20"/>
          <w:szCs w:val="20"/>
          <w:shd w:val="clear" w:color="auto" w:fill="FFFFFF"/>
        </w:rPr>
      </w:pPr>
    </w:p>
    <w:p w:rsidR="002C0C01" w:rsidRPr="00A40225" w:rsidRDefault="00AB72E0" w:rsidP="00A40225">
      <w:pPr>
        <w:pStyle w:val="corte4fondo"/>
        <w:spacing w:line="276" w:lineRule="auto"/>
        <w:ind w:firstLine="708"/>
        <w:rPr>
          <w:rFonts w:cs="Arial"/>
          <w:b/>
          <w:i/>
          <w:color w:val="2E74B5" w:themeColor="accent1" w:themeShade="BF"/>
          <w:sz w:val="24"/>
          <w:szCs w:val="24"/>
          <w:lang w:val="es-MX"/>
        </w:rPr>
      </w:pPr>
      <w:r>
        <w:rPr>
          <w:rFonts w:cs="Arial"/>
          <w:b/>
          <w:i/>
          <w:color w:val="2E74B5" w:themeColor="accent1" w:themeShade="BF"/>
          <w:sz w:val="24"/>
          <w:szCs w:val="24"/>
          <w:lang w:val="es-MX"/>
        </w:rPr>
        <w:t>7</w:t>
      </w:r>
      <w:r w:rsidR="002C0C01" w:rsidRPr="00AB72E0">
        <w:rPr>
          <w:rFonts w:cs="Arial"/>
          <w:b/>
          <w:i/>
          <w:color w:val="2E74B5" w:themeColor="accent1" w:themeShade="BF"/>
          <w:sz w:val="24"/>
          <w:szCs w:val="24"/>
          <w:lang w:val="es-MX"/>
        </w:rPr>
        <w:t>.1.1. Agravio infundado</w:t>
      </w:r>
    </w:p>
    <w:p w:rsidR="00515B11" w:rsidRPr="00A40225" w:rsidRDefault="00515B11" w:rsidP="00A40225">
      <w:pPr>
        <w:pStyle w:val="corte4fondo"/>
        <w:spacing w:line="276" w:lineRule="auto"/>
        <w:ind w:firstLine="708"/>
        <w:rPr>
          <w:rFonts w:cs="Arial"/>
          <w:b/>
          <w:i/>
          <w:color w:val="2E74B5" w:themeColor="accent1" w:themeShade="BF"/>
          <w:sz w:val="24"/>
          <w:szCs w:val="24"/>
          <w:lang w:val="es-MX"/>
        </w:rPr>
      </w:pPr>
    </w:p>
    <w:p w:rsidR="00515B11" w:rsidRPr="00A40225" w:rsidRDefault="00515B11" w:rsidP="00A40225">
      <w:pPr>
        <w:pStyle w:val="corte4fondo"/>
        <w:spacing w:line="276" w:lineRule="auto"/>
        <w:ind w:left="-426" w:firstLine="426"/>
        <w:rPr>
          <w:rFonts w:cs="Arial"/>
          <w:color w:val="2E74B5" w:themeColor="accent1" w:themeShade="BF"/>
          <w:sz w:val="24"/>
          <w:szCs w:val="24"/>
        </w:rPr>
      </w:pPr>
      <w:r w:rsidRPr="00A40225">
        <w:rPr>
          <w:rFonts w:cs="Arial"/>
          <w:color w:val="2E74B5" w:themeColor="accent1" w:themeShade="BF"/>
          <w:sz w:val="24"/>
          <w:szCs w:val="24"/>
        </w:rPr>
        <w:t xml:space="preserve">En el caso concreto este Órgano Colegiado se abocará a analizar la respuesta proporcionada por el sujeto obligado, con el objeto de determinar si la misma se encuentra fundada y motivada de manera suficiente, o si bien se configura alguna negativa de acceso a la información requerida por el hoy recurrente a través de la solicitud de información presentada a la autoridad el </w:t>
      </w:r>
      <w:r w:rsidRPr="00A40225">
        <w:rPr>
          <w:rFonts w:cs="Arial"/>
          <w:color w:val="2E74B5" w:themeColor="accent1" w:themeShade="BF"/>
          <w:sz w:val="24"/>
          <w:szCs w:val="24"/>
          <w:lang w:val="es-MX"/>
        </w:rPr>
        <w:t xml:space="preserve">31 treinta y uno de mayo </w:t>
      </w:r>
      <w:r w:rsidRPr="00A40225">
        <w:rPr>
          <w:rFonts w:cs="Arial"/>
          <w:color w:val="2E74B5" w:themeColor="accent1" w:themeShade="BF"/>
          <w:sz w:val="24"/>
          <w:szCs w:val="24"/>
        </w:rPr>
        <w:t>de 2018 dos mil dieciocho.</w:t>
      </w:r>
    </w:p>
    <w:p w:rsidR="00515B11" w:rsidRPr="00A40225" w:rsidRDefault="00515B11" w:rsidP="00A40225">
      <w:pPr>
        <w:pStyle w:val="corte4fondo"/>
        <w:spacing w:line="276" w:lineRule="auto"/>
        <w:ind w:firstLine="0"/>
        <w:rPr>
          <w:rFonts w:cs="Arial"/>
          <w:color w:val="2E74B5" w:themeColor="accent1" w:themeShade="BF"/>
          <w:sz w:val="24"/>
          <w:szCs w:val="24"/>
        </w:rPr>
      </w:pPr>
    </w:p>
    <w:p w:rsidR="00515B11" w:rsidRPr="00A40225" w:rsidRDefault="00A05D03" w:rsidP="00A40225">
      <w:pPr>
        <w:pStyle w:val="Encabezado"/>
        <w:spacing w:line="276" w:lineRule="auto"/>
        <w:rPr>
          <w:rFonts w:ascii="Arial" w:hAnsi="Arial" w:cs="Arial"/>
          <w:color w:val="2E74B5" w:themeColor="accent1" w:themeShade="BF"/>
          <w:sz w:val="24"/>
          <w:szCs w:val="24"/>
        </w:rPr>
      </w:pPr>
      <w:r w:rsidRPr="00A40225">
        <w:rPr>
          <w:rFonts w:ascii="Arial" w:hAnsi="Arial" w:cs="Arial"/>
          <w:color w:val="2E74B5" w:themeColor="accent1" w:themeShade="BF"/>
          <w:sz w:val="24"/>
          <w:szCs w:val="24"/>
        </w:rPr>
        <w:tab/>
      </w:r>
      <w:r w:rsidR="00515B11" w:rsidRPr="00A40225">
        <w:rPr>
          <w:rFonts w:ascii="Arial" w:hAnsi="Arial" w:cs="Arial"/>
          <w:color w:val="2E74B5" w:themeColor="accent1" w:themeShade="BF"/>
          <w:sz w:val="24"/>
          <w:szCs w:val="24"/>
        </w:rPr>
        <w:t>Por su parte, en la respuesta emitida por la</w:t>
      </w:r>
      <w:r w:rsidRPr="00A40225">
        <w:rPr>
          <w:rFonts w:ascii="Arial" w:hAnsi="Arial" w:cs="Arial"/>
          <w:color w:val="2E74B5" w:themeColor="accent1" w:themeShade="BF"/>
          <w:sz w:val="24"/>
          <w:szCs w:val="24"/>
        </w:rPr>
        <w:t xml:space="preserve"> Dirección Jurídica</w:t>
      </w:r>
      <w:r w:rsidR="00723719">
        <w:rPr>
          <w:rFonts w:ascii="Arial" w:hAnsi="Arial" w:cs="Arial"/>
          <w:color w:val="2E74B5" w:themeColor="accent1" w:themeShade="BF"/>
          <w:sz w:val="24"/>
          <w:szCs w:val="24"/>
        </w:rPr>
        <w:t xml:space="preserve"> del sujeto obligado </w:t>
      </w:r>
      <w:r w:rsidR="00723719" w:rsidRPr="00A40225">
        <w:rPr>
          <w:rFonts w:ascii="Arial" w:hAnsi="Arial" w:cs="Arial"/>
          <w:color w:val="2E74B5" w:themeColor="accent1" w:themeShade="BF"/>
          <w:sz w:val="24"/>
          <w:szCs w:val="24"/>
        </w:rPr>
        <w:t>se</w:t>
      </w:r>
      <w:r w:rsidRPr="00A40225">
        <w:rPr>
          <w:rFonts w:ascii="Arial" w:hAnsi="Arial" w:cs="Arial"/>
          <w:color w:val="2E74B5" w:themeColor="accent1" w:themeShade="BF"/>
          <w:sz w:val="24"/>
          <w:szCs w:val="24"/>
        </w:rPr>
        <w:t xml:space="preserve"> advierte que esta expresó lo siguiente:</w:t>
      </w:r>
    </w:p>
    <w:p w:rsidR="00A05D03" w:rsidRPr="00A40225" w:rsidRDefault="00A05D03" w:rsidP="00A40225">
      <w:pPr>
        <w:pStyle w:val="Encabezado"/>
        <w:spacing w:line="276" w:lineRule="auto"/>
        <w:rPr>
          <w:rFonts w:ascii="Arial" w:hAnsi="Arial" w:cs="Arial"/>
          <w:i/>
          <w:color w:val="2E74B5" w:themeColor="accent1" w:themeShade="BF"/>
          <w:sz w:val="20"/>
          <w:szCs w:val="20"/>
        </w:rPr>
      </w:pPr>
    </w:p>
    <w:p w:rsidR="00A05D03" w:rsidRPr="00A40225" w:rsidRDefault="00A05D03" w:rsidP="00A40225">
      <w:pPr>
        <w:pStyle w:val="Encabezado"/>
        <w:spacing w:line="276" w:lineRule="auto"/>
        <w:rPr>
          <w:rFonts w:ascii="Arial" w:hAnsi="Arial" w:cs="Arial"/>
          <w:color w:val="2E74B5" w:themeColor="accent1" w:themeShade="BF"/>
          <w:sz w:val="24"/>
          <w:szCs w:val="24"/>
        </w:rPr>
      </w:pPr>
      <w:r w:rsidRPr="00A40225">
        <w:rPr>
          <w:rFonts w:ascii="Arial" w:hAnsi="Arial" w:cs="Arial"/>
          <w:i/>
          <w:color w:val="2E74B5" w:themeColor="accent1" w:themeShade="BF"/>
          <w:sz w:val="20"/>
          <w:szCs w:val="20"/>
        </w:rPr>
        <w:t xml:space="preserve">“…Ahora propiamente no hay una fundamentación en sentido negativo, esto es, un precepto jurídico en el que se establezca o especifique </w:t>
      </w:r>
      <w:proofErr w:type="spellStart"/>
      <w:r w:rsidRPr="00A40225">
        <w:rPr>
          <w:rFonts w:ascii="Arial" w:hAnsi="Arial" w:cs="Arial"/>
          <w:i/>
          <w:color w:val="2E74B5" w:themeColor="accent1" w:themeShade="BF"/>
          <w:sz w:val="20"/>
          <w:szCs w:val="20"/>
        </w:rPr>
        <w:t>el porqué</w:t>
      </w:r>
      <w:proofErr w:type="spellEnd"/>
      <w:r w:rsidRPr="00A40225">
        <w:rPr>
          <w:rFonts w:ascii="Arial" w:hAnsi="Arial" w:cs="Arial"/>
          <w:i/>
          <w:color w:val="2E74B5" w:themeColor="accent1" w:themeShade="BF"/>
          <w:sz w:val="20"/>
          <w:szCs w:val="20"/>
        </w:rPr>
        <w:t xml:space="preserve"> no se ha nombrado como dice al Director General del Sistema Estatal de Documentación y Archivo…”</w:t>
      </w:r>
      <w:r w:rsidRPr="00A40225">
        <w:rPr>
          <w:rFonts w:ascii="Arial" w:hAnsi="Arial" w:cs="Arial"/>
          <w:color w:val="2E74B5" w:themeColor="accent1" w:themeShade="BF"/>
          <w:sz w:val="24"/>
          <w:szCs w:val="24"/>
        </w:rPr>
        <w:t xml:space="preserve"> </w:t>
      </w:r>
    </w:p>
    <w:p w:rsidR="00A05D03" w:rsidRPr="00A40225" w:rsidRDefault="00A05D03" w:rsidP="00A40225">
      <w:pPr>
        <w:pStyle w:val="Encabezado"/>
        <w:spacing w:line="276" w:lineRule="auto"/>
        <w:rPr>
          <w:rFonts w:ascii="Arial" w:hAnsi="Arial" w:cs="Arial"/>
          <w:color w:val="2E74B5" w:themeColor="accent1" w:themeShade="BF"/>
          <w:sz w:val="24"/>
          <w:szCs w:val="24"/>
        </w:rPr>
      </w:pPr>
    </w:p>
    <w:p w:rsidR="00A40225" w:rsidRPr="00A40225" w:rsidRDefault="00A40225" w:rsidP="00A40225">
      <w:pPr>
        <w:spacing w:after="0"/>
        <w:ind w:firstLine="708"/>
        <w:jc w:val="both"/>
        <w:rPr>
          <w:rFonts w:ascii="Arial" w:hAnsi="Arial" w:cs="Arial"/>
          <w:color w:val="2E74B5" w:themeColor="accent1" w:themeShade="BF"/>
          <w:sz w:val="24"/>
          <w:szCs w:val="24"/>
        </w:rPr>
      </w:pPr>
      <w:r w:rsidRPr="00A40225">
        <w:rPr>
          <w:rFonts w:ascii="Arial" w:hAnsi="Arial" w:cs="Arial"/>
          <w:color w:val="2E74B5" w:themeColor="accent1" w:themeShade="BF"/>
          <w:sz w:val="24"/>
          <w:szCs w:val="24"/>
        </w:rPr>
        <w:t>Bajo este contexto, se estima que la respuesta emitida por la autoridad privilegió los principios de congruencia y exhaustividad previstos en el Código Procesal Administrativo para el Estado de San Luis Potosí aplicado de manera supletoria de conformidad con el artículo 1 de la Ley de la materia, que a la letra señala:</w:t>
      </w:r>
    </w:p>
    <w:p w:rsidR="00A40225" w:rsidRPr="00A40225" w:rsidRDefault="00A40225" w:rsidP="00A40225">
      <w:pPr>
        <w:spacing w:after="0"/>
        <w:ind w:firstLine="708"/>
        <w:jc w:val="both"/>
        <w:rPr>
          <w:rFonts w:ascii="Arial" w:hAnsi="Arial" w:cs="Arial"/>
          <w:color w:val="2E74B5" w:themeColor="accent1" w:themeShade="BF"/>
          <w:sz w:val="24"/>
          <w:szCs w:val="24"/>
        </w:rPr>
      </w:pPr>
    </w:p>
    <w:p w:rsidR="00A40225" w:rsidRPr="00A40225" w:rsidRDefault="00A40225" w:rsidP="00A40225">
      <w:pPr>
        <w:spacing w:after="0"/>
        <w:ind w:firstLine="708"/>
        <w:jc w:val="both"/>
        <w:rPr>
          <w:rFonts w:ascii="Arial" w:hAnsi="Arial" w:cs="Arial"/>
          <w:i/>
          <w:color w:val="2E74B5" w:themeColor="accent1" w:themeShade="BF"/>
          <w:sz w:val="20"/>
          <w:szCs w:val="20"/>
        </w:rPr>
      </w:pPr>
      <w:r w:rsidRPr="00A40225">
        <w:rPr>
          <w:rFonts w:ascii="Arial" w:hAnsi="Arial" w:cs="Arial"/>
          <w:i/>
          <w:color w:val="2E74B5" w:themeColor="accent1" w:themeShade="BF"/>
          <w:sz w:val="20"/>
          <w:szCs w:val="20"/>
        </w:rPr>
        <w:t>“…</w:t>
      </w:r>
      <w:r w:rsidRPr="00A40225">
        <w:rPr>
          <w:rFonts w:ascii="Arial" w:hAnsi="Arial" w:cs="Arial"/>
          <w:b/>
          <w:i/>
          <w:color w:val="2E74B5" w:themeColor="accent1" w:themeShade="BF"/>
          <w:sz w:val="20"/>
          <w:szCs w:val="20"/>
        </w:rPr>
        <w:t>ARTÍCULO 165.</w:t>
      </w:r>
      <w:r w:rsidRPr="00A40225">
        <w:rPr>
          <w:rFonts w:ascii="Arial" w:hAnsi="Arial" w:cs="Arial"/>
          <w:i/>
          <w:color w:val="2E74B5" w:themeColor="accent1" w:themeShade="BF"/>
          <w:sz w:val="20"/>
          <w:szCs w:val="20"/>
        </w:rPr>
        <w:t xml:space="preserve"> Son requisitos del acto administrativo:</w:t>
      </w:r>
    </w:p>
    <w:p w:rsidR="00A40225" w:rsidRPr="00A40225" w:rsidRDefault="00A40225" w:rsidP="00A40225">
      <w:pPr>
        <w:spacing w:after="0"/>
        <w:ind w:firstLine="708"/>
        <w:jc w:val="both"/>
        <w:rPr>
          <w:rFonts w:ascii="Arial" w:hAnsi="Arial" w:cs="Arial"/>
          <w:i/>
          <w:color w:val="2E74B5" w:themeColor="accent1" w:themeShade="BF"/>
          <w:sz w:val="20"/>
          <w:szCs w:val="20"/>
        </w:rPr>
      </w:pPr>
      <w:r w:rsidRPr="00A40225">
        <w:rPr>
          <w:rFonts w:ascii="Arial" w:hAnsi="Arial" w:cs="Arial"/>
          <w:i/>
          <w:color w:val="2E74B5" w:themeColor="accent1" w:themeShade="BF"/>
          <w:sz w:val="20"/>
          <w:szCs w:val="20"/>
        </w:rPr>
        <w:t>III. Que se expida de manera congruente con lo solicitado y resolver expresamente todos los puntos propuestos por el interesado o previstos por las normas…”</w:t>
      </w:r>
    </w:p>
    <w:p w:rsidR="00A40225" w:rsidRPr="00A40225" w:rsidRDefault="00A40225" w:rsidP="00A40225">
      <w:pPr>
        <w:spacing w:after="0"/>
        <w:ind w:firstLine="708"/>
        <w:jc w:val="both"/>
        <w:rPr>
          <w:rFonts w:ascii="Arial" w:hAnsi="Arial" w:cs="Arial"/>
          <w:i/>
          <w:color w:val="2E74B5" w:themeColor="accent1" w:themeShade="BF"/>
          <w:sz w:val="20"/>
          <w:szCs w:val="20"/>
        </w:rPr>
      </w:pPr>
    </w:p>
    <w:p w:rsidR="00A40225" w:rsidRPr="00A40225" w:rsidRDefault="00A40225" w:rsidP="00A40225">
      <w:pPr>
        <w:spacing w:after="0"/>
        <w:ind w:firstLine="708"/>
        <w:jc w:val="both"/>
        <w:rPr>
          <w:rFonts w:ascii="Arial" w:hAnsi="Arial" w:cs="Arial"/>
          <w:color w:val="2E74B5" w:themeColor="accent1" w:themeShade="BF"/>
          <w:sz w:val="24"/>
          <w:szCs w:val="24"/>
        </w:rPr>
      </w:pPr>
      <w:r w:rsidRPr="00A40225">
        <w:rPr>
          <w:rFonts w:ascii="Arial" w:hAnsi="Arial" w:cs="Arial"/>
          <w:color w:val="2E74B5" w:themeColor="accent1" w:themeShade="BF"/>
          <w:sz w:val="24"/>
          <w:szCs w:val="24"/>
        </w:rPr>
        <w:lastRenderedPageBreak/>
        <w:t xml:space="preserve">De acuerdo con el artículo transcrito, son considerados válidos los actos que reúnan, entre otros elementos, los principios de congruencia y exhaustividad, entendiendo por lo primero que las consideraciones vertidas en la respuesta sean armónicas entre sí, no se contradigan, y </w:t>
      </w:r>
      <w:r w:rsidRPr="00A40225">
        <w:rPr>
          <w:rFonts w:ascii="Arial" w:hAnsi="Arial" w:cs="Arial"/>
          <w:b/>
          <w:bCs/>
          <w:color w:val="2E74B5" w:themeColor="accent1" w:themeShade="BF"/>
          <w:sz w:val="24"/>
          <w:szCs w:val="24"/>
        </w:rPr>
        <w:t>guarden concordancia entre lo solicitado y la respuesta</w:t>
      </w:r>
      <w:r w:rsidRPr="00A40225">
        <w:rPr>
          <w:rFonts w:ascii="Arial" w:hAnsi="Arial" w:cs="Arial"/>
          <w:color w:val="2E74B5" w:themeColor="accent1" w:themeShade="BF"/>
          <w:sz w:val="24"/>
          <w:szCs w:val="24"/>
        </w:rPr>
        <w:t>; y por lo segundo, que se pronuncie expresamente sobre cada punto, lo cual en la especie no sucedió. En el mismo sentido, se ha pronunciado el Poder Judicial de la Federación en la siguiente Jurisprudencia:</w:t>
      </w:r>
    </w:p>
    <w:p w:rsidR="00A40225" w:rsidRPr="00A40225" w:rsidRDefault="00A40225" w:rsidP="00A40225">
      <w:pPr>
        <w:spacing w:after="0"/>
        <w:ind w:firstLine="708"/>
        <w:jc w:val="both"/>
        <w:rPr>
          <w:rFonts w:ascii="Arial" w:hAnsi="Arial" w:cs="Arial"/>
          <w:color w:val="2E74B5" w:themeColor="accent1" w:themeShade="BF"/>
          <w:sz w:val="24"/>
          <w:szCs w:val="24"/>
        </w:rPr>
      </w:pPr>
    </w:p>
    <w:p w:rsidR="00A40225" w:rsidRPr="00A40225" w:rsidRDefault="00A40225" w:rsidP="00A40225">
      <w:pPr>
        <w:pStyle w:val="Default"/>
        <w:spacing w:line="276" w:lineRule="auto"/>
        <w:jc w:val="both"/>
        <w:rPr>
          <w:i/>
          <w:iCs/>
          <w:color w:val="2E74B5" w:themeColor="accent1" w:themeShade="BF"/>
          <w:sz w:val="20"/>
          <w:szCs w:val="20"/>
        </w:rPr>
      </w:pPr>
      <w:r w:rsidRPr="00A40225">
        <w:rPr>
          <w:i/>
          <w:iCs/>
          <w:color w:val="2E74B5" w:themeColor="accent1" w:themeShade="BF"/>
          <w:sz w:val="20"/>
          <w:szCs w:val="20"/>
        </w:rPr>
        <w:t>“Novena Época, Registro: 178783, Instancia: Primera Sala, Jurisprudencia</w:t>
      </w:r>
      <w:r w:rsidRPr="00A40225">
        <w:rPr>
          <w:b/>
          <w:bCs/>
          <w:i/>
          <w:iCs/>
          <w:color w:val="2E74B5" w:themeColor="accent1" w:themeShade="BF"/>
          <w:sz w:val="20"/>
          <w:szCs w:val="20"/>
        </w:rPr>
        <w:t>, Fuente</w:t>
      </w:r>
      <w:r w:rsidRPr="00A40225">
        <w:rPr>
          <w:i/>
          <w:iCs/>
          <w:color w:val="2E74B5" w:themeColor="accent1" w:themeShade="BF"/>
          <w:sz w:val="20"/>
          <w:szCs w:val="20"/>
        </w:rPr>
        <w:t>: Semanario Judicial de la Federación y su Gaceta, XXI, abril de 2005.</w:t>
      </w:r>
    </w:p>
    <w:p w:rsidR="00A40225" w:rsidRPr="00A40225" w:rsidRDefault="00A40225" w:rsidP="00A40225">
      <w:pPr>
        <w:pStyle w:val="Default"/>
        <w:spacing w:line="276" w:lineRule="auto"/>
        <w:jc w:val="both"/>
        <w:rPr>
          <w:i/>
          <w:color w:val="2E74B5" w:themeColor="accent1" w:themeShade="BF"/>
          <w:sz w:val="20"/>
          <w:szCs w:val="20"/>
        </w:rPr>
      </w:pPr>
      <w:r w:rsidRPr="00A40225">
        <w:rPr>
          <w:i/>
          <w:iCs/>
          <w:color w:val="2E74B5" w:themeColor="accent1" w:themeShade="BF"/>
          <w:sz w:val="20"/>
          <w:szCs w:val="20"/>
        </w:rPr>
        <w:t xml:space="preserve"> </w:t>
      </w:r>
    </w:p>
    <w:p w:rsidR="00A40225" w:rsidRPr="00A40225" w:rsidRDefault="00A40225" w:rsidP="00A40225">
      <w:pPr>
        <w:pStyle w:val="Default"/>
        <w:spacing w:line="276" w:lineRule="auto"/>
        <w:jc w:val="both"/>
        <w:rPr>
          <w:i/>
          <w:color w:val="2E74B5" w:themeColor="accent1" w:themeShade="BF"/>
          <w:sz w:val="20"/>
          <w:szCs w:val="20"/>
        </w:rPr>
      </w:pPr>
      <w:r w:rsidRPr="00A40225">
        <w:rPr>
          <w:b/>
          <w:bCs/>
          <w:i/>
          <w:iCs/>
          <w:color w:val="2E74B5" w:themeColor="accent1" w:themeShade="BF"/>
          <w:sz w:val="20"/>
          <w:szCs w:val="20"/>
        </w:rPr>
        <w:t xml:space="preserve">CONGRUENCIA Y EXHAUSTIVIDAD EN SENTENCIAS DICTADAS EN AMPARO CONTRA LEYES. ALCANCE DE ESTOS PRINCIPIOS. </w:t>
      </w:r>
      <w:r w:rsidRPr="00A40225">
        <w:rPr>
          <w:i/>
          <w:iCs/>
          <w:color w:val="2E74B5" w:themeColor="accent1" w:themeShade="BF"/>
          <w:sz w:val="20"/>
          <w:szCs w:val="20"/>
        </w:rPr>
        <w:t xml:space="preserve">Los principios de congruencia y exhaustividad que rigen las sentencias en amparo contra leyes y que se desprenden de los artículos 77 y 78 de la Ley de Amparo, están referidos a que éstas no sólo sean congruentes consigo mismas, sino también con la </w:t>
      </w:r>
      <w:proofErr w:type="spellStart"/>
      <w:r w:rsidRPr="00A40225">
        <w:rPr>
          <w:i/>
          <w:iCs/>
          <w:color w:val="2E74B5" w:themeColor="accent1" w:themeShade="BF"/>
          <w:sz w:val="20"/>
          <w:szCs w:val="20"/>
        </w:rPr>
        <w:t>litis</w:t>
      </w:r>
      <w:proofErr w:type="spellEnd"/>
      <w:r w:rsidRPr="00A40225">
        <w:rPr>
          <w:i/>
          <w:iCs/>
          <w:color w:val="2E74B5" w:themeColor="accent1" w:themeShade="BF"/>
          <w:sz w:val="20"/>
          <w:szCs w:val="20"/>
        </w:rPr>
        <w:t xml:space="preserve"> y con la demanda de amparo, apreciando las pruebas conducentes y resolviendo sin omitir nada, ni añadir cuestiones no hechas valer, ni expresar consideraciones contrarias entre sí o con los puntos resolutivos, lo que obliga al juzgador, a pronunciarse sobre todas y cada una de las pretensiones de los quejosos, analizando, en su caso, la constitucionalidad o inconstitucionalidad de los preceptos legales reclamados. </w:t>
      </w:r>
    </w:p>
    <w:p w:rsidR="00A40225" w:rsidRPr="00A40225" w:rsidRDefault="00A40225" w:rsidP="00A40225">
      <w:pPr>
        <w:pStyle w:val="Default"/>
        <w:spacing w:line="276" w:lineRule="auto"/>
        <w:jc w:val="both"/>
        <w:rPr>
          <w:i/>
          <w:color w:val="2E74B5" w:themeColor="accent1" w:themeShade="BF"/>
          <w:sz w:val="20"/>
          <w:szCs w:val="20"/>
        </w:rPr>
      </w:pPr>
      <w:r w:rsidRPr="00A40225">
        <w:rPr>
          <w:i/>
          <w:iCs/>
          <w:color w:val="2E74B5" w:themeColor="accent1" w:themeShade="BF"/>
          <w:sz w:val="20"/>
          <w:szCs w:val="20"/>
        </w:rPr>
        <w:t xml:space="preserve">Amparo en revisión 383/2000. Administradora de Centros Comerciales Santa Fe, S.A. de C.V. 24 de mayo de 2000. Cinco votos. Ponente: Olga Sánchez Cordero de García Villegas. Secretaria: Leticia Flores Díaz. </w:t>
      </w:r>
    </w:p>
    <w:p w:rsidR="00A40225" w:rsidRPr="00A40225" w:rsidRDefault="00A40225" w:rsidP="00A40225">
      <w:pPr>
        <w:pStyle w:val="Default"/>
        <w:spacing w:line="276" w:lineRule="auto"/>
        <w:jc w:val="both"/>
        <w:rPr>
          <w:i/>
          <w:color w:val="2E74B5" w:themeColor="accent1" w:themeShade="BF"/>
          <w:sz w:val="20"/>
          <w:szCs w:val="20"/>
        </w:rPr>
      </w:pPr>
      <w:r w:rsidRPr="00A40225">
        <w:rPr>
          <w:i/>
          <w:iCs/>
          <w:color w:val="2E74B5" w:themeColor="accent1" w:themeShade="BF"/>
          <w:sz w:val="20"/>
          <w:szCs w:val="20"/>
        </w:rPr>
        <w:t xml:space="preserve">Amparo en revisión 966/2003. Médica Integral G.N.P., S.A. de C.V. 25 de febrero de 2004. Unanimidad de cuatro votos. Ausente: José de Jesús Gudiño Pelayo. Ponente: Juan N. Silva Meza. Secretaria: Guadalupe Robles </w:t>
      </w:r>
      <w:proofErr w:type="spellStart"/>
      <w:r w:rsidRPr="00A40225">
        <w:rPr>
          <w:i/>
          <w:iCs/>
          <w:color w:val="2E74B5" w:themeColor="accent1" w:themeShade="BF"/>
          <w:sz w:val="20"/>
          <w:szCs w:val="20"/>
        </w:rPr>
        <w:t>Denetro</w:t>
      </w:r>
      <w:proofErr w:type="spellEnd"/>
      <w:r w:rsidRPr="00A40225">
        <w:rPr>
          <w:i/>
          <w:iCs/>
          <w:color w:val="2E74B5" w:themeColor="accent1" w:themeShade="BF"/>
          <w:sz w:val="20"/>
          <w:szCs w:val="20"/>
        </w:rPr>
        <w:t xml:space="preserve">. </w:t>
      </w:r>
    </w:p>
    <w:p w:rsidR="00A40225" w:rsidRPr="00A40225" w:rsidRDefault="00A40225" w:rsidP="00A40225">
      <w:pPr>
        <w:pStyle w:val="Default"/>
        <w:spacing w:line="276" w:lineRule="auto"/>
        <w:jc w:val="both"/>
        <w:rPr>
          <w:i/>
          <w:color w:val="2E74B5" w:themeColor="accent1" w:themeShade="BF"/>
          <w:sz w:val="20"/>
          <w:szCs w:val="20"/>
        </w:rPr>
      </w:pPr>
      <w:r w:rsidRPr="00A40225">
        <w:rPr>
          <w:i/>
          <w:iCs/>
          <w:color w:val="2E74B5" w:themeColor="accent1" w:themeShade="BF"/>
          <w:sz w:val="20"/>
          <w:szCs w:val="20"/>
        </w:rPr>
        <w:t xml:space="preserve">Amparo en revisión 312/2004. Luis Ramiro Espino Rosales. 26 de mayo de 2004. Unanimidad de cuatro votos. Ausente: Humberto Román Palacios. Ponente: José Ramón Cossío Díaz. Secretario: Miguel Enrique Sánchez Frías. </w:t>
      </w:r>
    </w:p>
    <w:p w:rsidR="00A40225" w:rsidRPr="00A40225" w:rsidRDefault="00A40225" w:rsidP="00A40225">
      <w:pPr>
        <w:pStyle w:val="Default"/>
        <w:spacing w:line="276" w:lineRule="auto"/>
        <w:jc w:val="both"/>
        <w:rPr>
          <w:i/>
          <w:color w:val="2E74B5" w:themeColor="accent1" w:themeShade="BF"/>
          <w:sz w:val="20"/>
          <w:szCs w:val="20"/>
        </w:rPr>
      </w:pPr>
      <w:r w:rsidRPr="00A40225">
        <w:rPr>
          <w:i/>
          <w:iCs/>
          <w:color w:val="2E74B5" w:themeColor="accent1" w:themeShade="BF"/>
          <w:sz w:val="20"/>
          <w:szCs w:val="20"/>
        </w:rPr>
        <w:t xml:space="preserve">Amparo en revisión 883/2004. Operadora </w:t>
      </w:r>
      <w:proofErr w:type="spellStart"/>
      <w:r w:rsidRPr="00A40225">
        <w:rPr>
          <w:i/>
          <w:iCs/>
          <w:color w:val="2E74B5" w:themeColor="accent1" w:themeShade="BF"/>
          <w:sz w:val="20"/>
          <w:szCs w:val="20"/>
        </w:rPr>
        <w:t>Valmex</w:t>
      </w:r>
      <w:proofErr w:type="spellEnd"/>
      <w:r w:rsidRPr="00A40225">
        <w:rPr>
          <w:i/>
          <w:iCs/>
          <w:color w:val="2E74B5" w:themeColor="accent1" w:themeShade="BF"/>
          <w:sz w:val="20"/>
          <w:szCs w:val="20"/>
        </w:rPr>
        <w:t xml:space="preserve"> de Sociedades de Inversión, S.A. de C.V. 3 de septiembre de 2004. Unanimidad de cuatro votos. Ponente: José Ramón Cossío Díaz. Secretario: Francisco Javier Solís López. </w:t>
      </w:r>
    </w:p>
    <w:p w:rsidR="00A40225" w:rsidRPr="00A40225" w:rsidRDefault="00A40225" w:rsidP="00A40225">
      <w:pPr>
        <w:pStyle w:val="Default"/>
        <w:spacing w:line="276" w:lineRule="auto"/>
        <w:jc w:val="both"/>
        <w:rPr>
          <w:i/>
          <w:iCs/>
          <w:color w:val="2E74B5" w:themeColor="accent1" w:themeShade="BF"/>
          <w:sz w:val="20"/>
          <w:szCs w:val="20"/>
        </w:rPr>
      </w:pPr>
      <w:r w:rsidRPr="00A40225">
        <w:rPr>
          <w:i/>
          <w:iCs/>
          <w:color w:val="2E74B5" w:themeColor="accent1" w:themeShade="BF"/>
          <w:sz w:val="20"/>
          <w:szCs w:val="20"/>
        </w:rPr>
        <w:t xml:space="preserve">Amparo en revisión 1182/2004. José Carlos Vázquez Rodríguez y otro. 6 de octubre de 2004. Unanimidad de cuatro votos. Ponente: José Ramón Cossío Díaz. Secretario: Miguel Enrique Sánchez Frías. </w:t>
      </w:r>
    </w:p>
    <w:p w:rsidR="00A40225" w:rsidRPr="00A40225" w:rsidRDefault="00A40225" w:rsidP="00A40225">
      <w:pPr>
        <w:pStyle w:val="Default"/>
        <w:spacing w:line="276" w:lineRule="auto"/>
        <w:jc w:val="both"/>
        <w:rPr>
          <w:i/>
          <w:color w:val="2E74B5" w:themeColor="accent1" w:themeShade="BF"/>
          <w:sz w:val="20"/>
          <w:szCs w:val="20"/>
        </w:rPr>
      </w:pPr>
    </w:p>
    <w:p w:rsidR="00723719" w:rsidRDefault="00A40225" w:rsidP="00A40225">
      <w:pPr>
        <w:pStyle w:val="Default"/>
        <w:spacing w:line="276" w:lineRule="auto"/>
        <w:jc w:val="both"/>
        <w:rPr>
          <w:i/>
          <w:iCs/>
          <w:color w:val="2E74B5" w:themeColor="accent1" w:themeShade="BF"/>
          <w:sz w:val="20"/>
          <w:szCs w:val="20"/>
        </w:rPr>
      </w:pPr>
      <w:r w:rsidRPr="00A40225">
        <w:rPr>
          <w:i/>
          <w:iCs/>
          <w:color w:val="2E74B5" w:themeColor="accent1" w:themeShade="BF"/>
          <w:sz w:val="20"/>
          <w:szCs w:val="20"/>
        </w:rPr>
        <w:t>Tesis de jurisprudencia 33/2005. Aprobada por la Primera Sala de este Alto Tribunal, en sesión de treinta de marzo de dos mil cinco.”</w:t>
      </w:r>
    </w:p>
    <w:p w:rsidR="00A40225" w:rsidRPr="00A40225" w:rsidRDefault="00A40225" w:rsidP="00A40225">
      <w:pPr>
        <w:pStyle w:val="Default"/>
        <w:spacing w:line="276" w:lineRule="auto"/>
        <w:jc w:val="both"/>
        <w:rPr>
          <w:i/>
          <w:color w:val="2E74B5" w:themeColor="accent1" w:themeShade="BF"/>
          <w:sz w:val="20"/>
          <w:szCs w:val="20"/>
        </w:rPr>
      </w:pPr>
      <w:r w:rsidRPr="00A40225">
        <w:rPr>
          <w:i/>
          <w:iCs/>
          <w:color w:val="2E74B5" w:themeColor="accent1" w:themeShade="BF"/>
          <w:sz w:val="20"/>
          <w:szCs w:val="20"/>
        </w:rPr>
        <w:t xml:space="preserve"> </w:t>
      </w:r>
    </w:p>
    <w:p w:rsidR="00A40225" w:rsidRDefault="00A40225" w:rsidP="00723719">
      <w:pPr>
        <w:pStyle w:val="corte4fondo"/>
        <w:spacing w:line="276" w:lineRule="auto"/>
        <w:ind w:firstLine="708"/>
        <w:rPr>
          <w:rFonts w:cs="Arial"/>
          <w:color w:val="2E74B5" w:themeColor="accent1" w:themeShade="BF"/>
          <w:sz w:val="24"/>
          <w:szCs w:val="24"/>
          <w:lang w:val="es-MX"/>
        </w:rPr>
      </w:pPr>
      <w:r w:rsidRPr="00A40225">
        <w:rPr>
          <w:rFonts w:cs="Arial"/>
          <w:i/>
          <w:color w:val="2E74B5" w:themeColor="accent1" w:themeShade="BF"/>
          <w:sz w:val="20"/>
        </w:rPr>
        <w:t xml:space="preserve"> </w:t>
      </w:r>
      <w:r w:rsidR="00723719" w:rsidRPr="00723719">
        <w:rPr>
          <w:rFonts w:cs="Arial"/>
          <w:color w:val="2E74B5" w:themeColor="accent1" w:themeShade="BF"/>
          <w:sz w:val="24"/>
          <w:szCs w:val="24"/>
          <w:lang w:val="es-MX"/>
        </w:rPr>
        <w:t xml:space="preserve">Por otro lado, no pasa desapercibido para esta Comisión que </w:t>
      </w:r>
      <w:r w:rsidR="00723719">
        <w:rPr>
          <w:rFonts w:cs="Arial"/>
          <w:color w:val="2E74B5" w:themeColor="accent1" w:themeShade="BF"/>
          <w:sz w:val="24"/>
          <w:szCs w:val="24"/>
          <w:lang w:val="es-MX"/>
        </w:rPr>
        <w:t xml:space="preserve">la Titular de la unidad de Transparencia a través del informe que rindió ante esta Comisión se advierte la manifestación relativa a que con fecha 14 de junio del presente año, en </w:t>
      </w:r>
      <w:r w:rsidR="000B7400">
        <w:rPr>
          <w:rFonts w:cs="Arial"/>
          <w:color w:val="2E74B5" w:themeColor="accent1" w:themeShade="BF"/>
          <w:sz w:val="24"/>
          <w:szCs w:val="24"/>
          <w:lang w:val="es-MX"/>
        </w:rPr>
        <w:t>vía</w:t>
      </w:r>
      <w:r w:rsidR="00723719">
        <w:rPr>
          <w:rFonts w:cs="Arial"/>
          <w:color w:val="2E74B5" w:themeColor="accent1" w:themeShade="BF"/>
          <w:sz w:val="24"/>
          <w:szCs w:val="24"/>
          <w:lang w:val="es-MX"/>
        </w:rPr>
        <w:t xml:space="preserve"> de alcance </w:t>
      </w:r>
      <w:r w:rsidR="00BB2777">
        <w:rPr>
          <w:rFonts w:cs="Arial"/>
          <w:color w:val="2E74B5" w:themeColor="accent1" w:themeShade="BF"/>
          <w:sz w:val="24"/>
          <w:szCs w:val="24"/>
          <w:lang w:val="es-MX"/>
        </w:rPr>
        <w:t xml:space="preserve">se notificó y envío en versión electrónica digitalizada al correo electrónico del peticionario el Acta número 09 de 08 ocho de junio de 2018 dos mil dieciocho, la cual cuenta con las rubricas de los integrantes del Comité de Transparencia de la Comisión Estatal de Garantía de Acceso a la Información. Asimismo, indicó que inicialmente se le había proporcionado en formato “Word” es decir, en formato en datos abiertos, dicho en otras </w:t>
      </w:r>
      <w:r w:rsidR="00E009A8">
        <w:rPr>
          <w:rFonts w:cs="Arial"/>
          <w:color w:val="2E74B5" w:themeColor="accent1" w:themeShade="BF"/>
          <w:sz w:val="24"/>
          <w:szCs w:val="24"/>
          <w:lang w:val="es-MX"/>
        </w:rPr>
        <w:t>palabras,</w:t>
      </w:r>
      <w:r w:rsidR="00BB2777">
        <w:rPr>
          <w:rFonts w:cs="Arial"/>
          <w:color w:val="2E74B5" w:themeColor="accent1" w:themeShade="BF"/>
          <w:sz w:val="24"/>
          <w:szCs w:val="24"/>
          <w:lang w:val="es-MX"/>
        </w:rPr>
        <w:t xml:space="preserve"> en un formato manipulable y reutilizable.</w:t>
      </w:r>
    </w:p>
    <w:p w:rsidR="00E009A8" w:rsidRPr="00723719" w:rsidRDefault="00E009A8" w:rsidP="00723719">
      <w:pPr>
        <w:pStyle w:val="corte4fondo"/>
        <w:spacing w:line="276" w:lineRule="auto"/>
        <w:ind w:firstLine="708"/>
        <w:rPr>
          <w:rFonts w:cs="Arial"/>
          <w:color w:val="2E74B5" w:themeColor="accent1" w:themeShade="BF"/>
          <w:sz w:val="24"/>
          <w:szCs w:val="24"/>
          <w:lang w:val="es-MX"/>
        </w:rPr>
      </w:pPr>
    </w:p>
    <w:p w:rsidR="00685E2A" w:rsidRPr="00685E2A" w:rsidRDefault="00A40225" w:rsidP="00685E2A">
      <w:pPr>
        <w:spacing w:after="0"/>
        <w:ind w:firstLine="708"/>
        <w:jc w:val="both"/>
        <w:rPr>
          <w:rFonts w:ascii="Arial" w:hAnsi="Arial" w:cs="Arial"/>
          <w:color w:val="4F81BD"/>
          <w:sz w:val="24"/>
          <w:szCs w:val="24"/>
        </w:rPr>
      </w:pPr>
      <w:r w:rsidRPr="00685E2A">
        <w:rPr>
          <w:rFonts w:ascii="Arial" w:hAnsi="Arial" w:cs="Arial"/>
          <w:color w:val="2E74B5" w:themeColor="accent1" w:themeShade="BF"/>
          <w:sz w:val="24"/>
          <w:szCs w:val="24"/>
        </w:rPr>
        <w:t xml:space="preserve">Por lo anteriormente expuesto, </w:t>
      </w:r>
      <w:r w:rsidR="00685E2A" w:rsidRPr="00685E2A">
        <w:rPr>
          <w:rFonts w:ascii="Arial" w:hAnsi="Arial" w:cs="Arial"/>
          <w:color w:val="4F81BD"/>
          <w:sz w:val="24"/>
          <w:szCs w:val="24"/>
        </w:rPr>
        <w:t xml:space="preserve">esta Comisión concluye que el agravio en estudio </w:t>
      </w:r>
      <w:r w:rsidR="00685E2A" w:rsidRPr="00685E2A">
        <w:rPr>
          <w:rFonts w:ascii="Arial" w:hAnsi="Arial" w:cs="Arial"/>
          <w:b/>
          <w:color w:val="4F81BD"/>
          <w:sz w:val="24"/>
          <w:szCs w:val="24"/>
        </w:rPr>
        <w:t>resultó infundado</w:t>
      </w:r>
      <w:r w:rsidR="00685E2A" w:rsidRPr="00685E2A">
        <w:rPr>
          <w:rFonts w:ascii="Arial" w:hAnsi="Arial" w:cs="Arial"/>
          <w:color w:val="4F81BD"/>
          <w:sz w:val="24"/>
          <w:szCs w:val="24"/>
        </w:rPr>
        <w:t>, siendo procedente confirmar la respuesta del sujeto obligado otorgada a la solicitud de información con folio 00</w:t>
      </w:r>
      <w:r w:rsidR="00685E2A">
        <w:rPr>
          <w:rFonts w:ascii="Arial" w:hAnsi="Arial" w:cs="Arial"/>
          <w:color w:val="4F81BD"/>
          <w:sz w:val="24"/>
          <w:szCs w:val="24"/>
        </w:rPr>
        <w:t>3634</w:t>
      </w:r>
      <w:r w:rsidR="00685E2A" w:rsidRPr="00685E2A">
        <w:rPr>
          <w:rFonts w:ascii="Arial" w:hAnsi="Arial" w:cs="Arial"/>
          <w:color w:val="4F81BD"/>
          <w:sz w:val="24"/>
          <w:szCs w:val="24"/>
        </w:rPr>
        <w:t xml:space="preserve">18 presentada a través de la Plataforma Nacional de Transparencia de conformidad con el artículo 175, </w:t>
      </w:r>
      <w:r w:rsidR="00685E2A" w:rsidRPr="00685E2A">
        <w:rPr>
          <w:rFonts w:ascii="Arial" w:hAnsi="Arial" w:cs="Arial"/>
          <w:color w:val="4F81BD"/>
          <w:sz w:val="24"/>
          <w:szCs w:val="24"/>
        </w:rPr>
        <w:lastRenderedPageBreak/>
        <w:t>fracción II de la Ley de Transparencia y Acceso a la Información Pública del Estado de San Luis Potosí.</w:t>
      </w:r>
    </w:p>
    <w:p w:rsidR="00A05D03" w:rsidRPr="00A40225" w:rsidRDefault="00A05D03" w:rsidP="00685E2A">
      <w:pPr>
        <w:pStyle w:val="Encabezado"/>
        <w:spacing w:line="276" w:lineRule="auto"/>
        <w:rPr>
          <w:rFonts w:ascii="Arial" w:hAnsi="Arial" w:cs="Arial"/>
          <w:color w:val="2E74B5" w:themeColor="accent1" w:themeShade="BF"/>
          <w:sz w:val="24"/>
          <w:szCs w:val="24"/>
        </w:rPr>
      </w:pPr>
    </w:p>
    <w:p w:rsidR="00790280" w:rsidRPr="00790280" w:rsidRDefault="00790280" w:rsidP="00685E2A">
      <w:pPr>
        <w:pStyle w:val="corte4fondo"/>
        <w:tabs>
          <w:tab w:val="left" w:pos="567"/>
        </w:tabs>
        <w:spacing w:line="276" w:lineRule="auto"/>
        <w:ind w:firstLine="0"/>
        <w:rPr>
          <w:rFonts w:cs="Arial"/>
          <w:b/>
          <w:color w:val="2E74B5" w:themeColor="accent1" w:themeShade="BF"/>
          <w:sz w:val="24"/>
          <w:szCs w:val="24"/>
          <w:lang w:val="es-MX"/>
        </w:rPr>
      </w:pPr>
      <w:r>
        <w:rPr>
          <w:rFonts w:cs="Arial"/>
          <w:b/>
          <w:color w:val="2E74B5" w:themeColor="accent1" w:themeShade="BF"/>
          <w:sz w:val="24"/>
          <w:szCs w:val="24"/>
          <w:lang w:val="es-MX"/>
        </w:rPr>
        <w:tab/>
      </w:r>
      <w:r w:rsidRPr="00790280">
        <w:rPr>
          <w:rFonts w:cs="Arial"/>
          <w:b/>
          <w:color w:val="2E74B5" w:themeColor="accent1" w:themeShade="BF"/>
          <w:sz w:val="24"/>
          <w:szCs w:val="24"/>
          <w:lang w:val="es-MX"/>
        </w:rPr>
        <w:t>7.2. Archivo.</w:t>
      </w:r>
    </w:p>
    <w:p w:rsidR="00790280" w:rsidRPr="00790280" w:rsidRDefault="00790280" w:rsidP="00685E2A">
      <w:pPr>
        <w:pStyle w:val="corte4fondo"/>
        <w:tabs>
          <w:tab w:val="left" w:pos="567"/>
        </w:tabs>
        <w:spacing w:line="276" w:lineRule="auto"/>
        <w:ind w:firstLine="0"/>
        <w:rPr>
          <w:rFonts w:cs="Arial"/>
          <w:b/>
          <w:color w:val="2E74B5" w:themeColor="accent1" w:themeShade="BF"/>
          <w:sz w:val="24"/>
          <w:szCs w:val="24"/>
          <w:lang w:val="es-MX"/>
        </w:rPr>
      </w:pPr>
      <w:r w:rsidRPr="00790280">
        <w:rPr>
          <w:rFonts w:cs="Arial"/>
          <w:b/>
          <w:color w:val="2E74B5" w:themeColor="accent1" w:themeShade="BF"/>
          <w:sz w:val="24"/>
          <w:szCs w:val="24"/>
          <w:lang w:val="es-MX"/>
        </w:rPr>
        <w:tab/>
      </w:r>
    </w:p>
    <w:p w:rsidR="00790280" w:rsidRPr="00790280" w:rsidRDefault="00790280" w:rsidP="00685E2A">
      <w:pPr>
        <w:pStyle w:val="corte4fondo"/>
        <w:tabs>
          <w:tab w:val="left" w:pos="567"/>
        </w:tabs>
        <w:spacing w:line="276" w:lineRule="auto"/>
        <w:ind w:firstLine="0"/>
        <w:rPr>
          <w:rFonts w:cs="Arial"/>
          <w:color w:val="2E74B5" w:themeColor="accent1" w:themeShade="BF"/>
          <w:sz w:val="24"/>
          <w:szCs w:val="24"/>
          <w:lang w:val="es-MX"/>
        </w:rPr>
      </w:pPr>
      <w:r w:rsidRPr="00790280">
        <w:rPr>
          <w:rFonts w:cs="Arial"/>
          <w:b/>
          <w:color w:val="2E74B5" w:themeColor="accent1" w:themeShade="BF"/>
          <w:sz w:val="24"/>
          <w:szCs w:val="24"/>
          <w:lang w:val="es-MX"/>
        </w:rPr>
        <w:tab/>
      </w:r>
      <w:r w:rsidRPr="00790280">
        <w:rPr>
          <w:rFonts w:cs="Arial"/>
          <w:color w:val="2E74B5" w:themeColor="accent1" w:themeShade="BF"/>
          <w:sz w:val="24"/>
          <w:szCs w:val="24"/>
          <w:lang w:val="es-MX"/>
        </w:rPr>
        <w:t xml:space="preserve">Que una vez que la presente resolución sea notificada a las partes, la ponencia mande archivar el presente asunto como totalmente concluido. </w:t>
      </w:r>
    </w:p>
    <w:p w:rsidR="00A05D03" w:rsidRPr="00A40225" w:rsidRDefault="00790280" w:rsidP="00685E2A">
      <w:pPr>
        <w:pStyle w:val="corte4fondo"/>
        <w:tabs>
          <w:tab w:val="left" w:pos="567"/>
        </w:tabs>
        <w:spacing w:line="276" w:lineRule="auto"/>
        <w:ind w:firstLine="0"/>
        <w:rPr>
          <w:rFonts w:cs="Arial"/>
          <w:b/>
          <w:i/>
          <w:color w:val="2E74B5" w:themeColor="accent1" w:themeShade="BF"/>
          <w:sz w:val="24"/>
          <w:szCs w:val="24"/>
        </w:rPr>
      </w:pPr>
      <w:r w:rsidRPr="00790280">
        <w:rPr>
          <w:rFonts w:cs="Arial"/>
          <w:b/>
          <w:color w:val="2E74B5" w:themeColor="accent1" w:themeShade="BF"/>
          <w:sz w:val="24"/>
          <w:szCs w:val="24"/>
          <w:lang w:val="es-MX"/>
        </w:rPr>
        <w:tab/>
      </w:r>
    </w:p>
    <w:p w:rsidR="00884D7B" w:rsidRPr="00A40225" w:rsidRDefault="00884D7B" w:rsidP="00685E2A">
      <w:pPr>
        <w:pStyle w:val="corte4fondo"/>
        <w:tabs>
          <w:tab w:val="left" w:pos="567"/>
        </w:tabs>
        <w:spacing w:line="276" w:lineRule="auto"/>
        <w:jc w:val="center"/>
        <w:rPr>
          <w:rFonts w:cs="Arial"/>
          <w:color w:val="2E74B5" w:themeColor="accent1" w:themeShade="BF"/>
          <w:sz w:val="24"/>
          <w:szCs w:val="24"/>
          <w:lang w:val="es-MX"/>
        </w:rPr>
      </w:pPr>
      <w:r w:rsidRPr="00A40225">
        <w:rPr>
          <w:rFonts w:cs="Arial"/>
          <w:b/>
          <w:color w:val="2E74B5" w:themeColor="accent1" w:themeShade="BF"/>
          <w:sz w:val="24"/>
          <w:szCs w:val="24"/>
          <w:lang w:val="es-MX"/>
        </w:rPr>
        <w:t>RESOLUTIVO</w:t>
      </w:r>
      <w:r w:rsidRPr="00A40225">
        <w:rPr>
          <w:rFonts w:cs="Arial"/>
          <w:color w:val="2E74B5" w:themeColor="accent1" w:themeShade="BF"/>
          <w:sz w:val="24"/>
          <w:szCs w:val="24"/>
          <w:lang w:val="es-MX"/>
        </w:rPr>
        <w:t xml:space="preserve"> </w:t>
      </w:r>
    </w:p>
    <w:p w:rsidR="00884D7B" w:rsidRPr="00A40225" w:rsidRDefault="00884D7B" w:rsidP="00685E2A">
      <w:pPr>
        <w:pStyle w:val="corte4fondo"/>
        <w:tabs>
          <w:tab w:val="left" w:pos="567"/>
        </w:tabs>
        <w:spacing w:line="276" w:lineRule="auto"/>
        <w:rPr>
          <w:rFonts w:cs="Arial"/>
          <w:color w:val="2E74B5" w:themeColor="accent1" w:themeShade="BF"/>
          <w:sz w:val="24"/>
          <w:szCs w:val="24"/>
          <w:lang w:val="es-MX"/>
        </w:rPr>
      </w:pPr>
    </w:p>
    <w:p w:rsidR="00884D7B" w:rsidRPr="00AB72E0" w:rsidRDefault="00A40225" w:rsidP="00685E2A">
      <w:pPr>
        <w:pStyle w:val="corte4fondo"/>
        <w:tabs>
          <w:tab w:val="left" w:pos="567"/>
        </w:tabs>
        <w:spacing w:line="276" w:lineRule="auto"/>
        <w:rPr>
          <w:rFonts w:cs="Arial"/>
          <w:color w:val="2E74B5" w:themeColor="accent1" w:themeShade="BF"/>
          <w:sz w:val="24"/>
          <w:szCs w:val="24"/>
          <w:lang w:val="es-MX"/>
        </w:rPr>
      </w:pPr>
      <w:r w:rsidRPr="00A40225">
        <w:rPr>
          <w:rFonts w:cs="Arial"/>
          <w:b/>
          <w:color w:val="2E74B5" w:themeColor="accent1" w:themeShade="BF"/>
          <w:sz w:val="24"/>
          <w:szCs w:val="24"/>
          <w:lang w:val="es-MX"/>
        </w:rPr>
        <w:t>Primero</w:t>
      </w:r>
      <w:r w:rsidR="00884D7B" w:rsidRPr="00A40225">
        <w:rPr>
          <w:rFonts w:cs="Arial"/>
          <w:color w:val="2E74B5" w:themeColor="accent1" w:themeShade="BF"/>
          <w:sz w:val="24"/>
          <w:szCs w:val="24"/>
          <w:lang w:val="es-MX"/>
        </w:rPr>
        <w:t xml:space="preserve">. Esta Comisión Estatal de Garantía y Acceso a la Información Pública </w:t>
      </w:r>
      <w:r w:rsidR="00884D7B" w:rsidRPr="00A40225">
        <w:rPr>
          <w:rFonts w:cs="Arial"/>
          <w:b/>
          <w:color w:val="2E74B5" w:themeColor="accent1" w:themeShade="BF"/>
          <w:sz w:val="24"/>
          <w:szCs w:val="24"/>
          <w:lang w:val="es-MX"/>
        </w:rPr>
        <w:t xml:space="preserve">sobresee </w:t>
      </w:r>
      <w:r w:rsidR="00884D7B" w:rsidRPr="00A40225">
        <w:rPr>
          <w:rFonts w:cs="Arial"/>
          <w:color w:val="2E74B5" w:themeColor="accent1" w:themeShade="BF"/>
          <w:sz w:val="24"/>
          <w:szCs w:val="24"/>
          <w:lang w:val="es-MX"/>
        </w:rPr>
        <w:t xml:space="preserve">el presente recurso por los fundamentos y las razones desarrolladas en </w:t>
      </w:r>
      <w:r w:rsidR="00884D7B" w:rsidRPr="00AB72E0">
        <w:rPr>
          <w:rFonts w:cs="Arial"/>
          <w:color w:val="2E74B5" w:themeColor="accent1" w:themeShade="BF"/>
          <w:sz w:val="24"/>
          <w:szCs w:val="24"/>
          <w:lang w:val="es-MX"/>
        </w:rPr>
        <w:t xml:space="preserve">el </w:t>
      </w:r>
      <w:r w:rsidR="00AB72E0" w:rsidRPr="00AB72E0">
        <w:rPr>
          <w:rFonts w:cs="Arial"/>
          <w:color w:val="2E74B5" w:themeColor="accent1" w:themeShade="BF"/>
          <w:sz w:val="24"/>
          <w:szCs w:val="24"/>
          <w:lang w:val="es-MX"/>
        </w:rPr>
        <w:t>considerando quinto</w:t>
      </w:r>
      <w:r w:rsidR="00884D7B" w:rsidRPr="00AB72E0">
        <w:rPr>
          <w:rFonts w:cs="Arial"/>
          <w:color w:val="2E74B5" w:themeColor="accent1" w:themeShade="BF"/>
          <w:sz w:val="24"/>
          <w:szCs w:val="24"/>
          <w:lang w:val="es-MX"/>
        </w:rPr>
        <w:t xml:space="preserve"> de la presente resolución.</w:t>
      </w:r>
    </w:p>
    <w:p w:rsidR="00A40225" w:rsidRPr="00AB72E0" w:rsidRDefault="00A40225" w:rsidP="00A40225">
      <w:pPr>
        <w:pStyle w:val="corte4fondo"/>
        <w:tabs>
          <w:tab w:val="left" w:pos="567"/>
        </w:tabs>
        <w:spacing w:line="276" w:lineRule="auto"/>
        <w:rPr>
          <w:rFonts w:cs="Arial"/>
          <w:color w:val="2E74B5" w:themeColor="accent1" w:themeShade="BF"/>
          <w:sz w:val="24"/>
          <w:szCs w:val="24"/>
          <w:lang w:val="es-MX"/>
        </w:rPr>
      </w:pPr>
    </w:p>
    <w:p w:rsidR="00A40225" w:rsidRPr="00A40225" w:rsidRDefault="00A40225" w:rsidP="00A40225">
      <w:pPr>
        <w:pStyle w:val="corte4fondo"/>
        <w:tabs>
          <w:tab w:val="left" w:pos="567"/>
        </w:tabs>
        <w:spacing w:line="276" w:lineRule="auto"/>
        <w:rPr>
          <w:rFonts w:cs="Arial"/>
          <w:color w:val="2E74B5" w:themeColor="accent1" w:themeShade="BF"/>
          <w:sz w:val="24"/>
          <w:szCs w:val="24"/>
          <w:lang w:val="es-MX"/>
        </w:rPr>
      </w:pPr>
      <w:r w:rsidRPr="00AB72E0">
        <w:rPr>
          <w:rFonts w:cs="Arial"/>
          <w:b/>
          <w:color w:val="2E74B5" w:themeColor="accent1" w:themeShade="BF"/>
          <w:sz w:val="24"/>
          <w:szCs w:val="24"/>
          <w:lang w:val="es-MX"/>
        </w:rPr>
        <w:t>Segundo</w:t>
      </w:r>
      <w:r w:rsidRPr="00AB72E0">
        <w:rPr>
          <w:rFonts w:cs="Arial"/>
          <w:color w:val="2E74B5" w:themeColor="accent1" w:themeShade="BF"/>
          <w:sz w:val="24"/>
          <w:szCs w:val="24"/>
          <w:lang w:val="es-MX"/>
        </w:rPr>
        <w:t xml:space="preserve">. Esta Comisión Estatal de Garantía y Acceso a la Información Pública </w:t>
      </w:r>
      <w:r w:rsidRPr="00AB72E0">
        <w:rPr>
          <w:rFonts w:cs="Arial"/>
          <w:b/>
          <w:color w:val="2E74B5" w:themeColor="accent1" w:themeShade="BF"/>
          <w:sz w:val="24"/>
          <w:szCs w:val="24"/>
          <w:lang w:val="es-MX"/>
        </w:rPr>
        <w:t>confirma</w:t>
      </w:r>
      <w:r w:rsidRPr="00AB72E0">
        <w:rPr>
          <w:rFonts w:cs="Arial"/>
          <w:color w:val="2E74B5" w:themeColor="accent1" w:themeShade="BF"/>
          <w:sz w:val="24"/>
          <w:szCs w:val="24"/>
          <w:lang w:val="es-MX"/>
        </w:rPr>
        <w:t xml:space="preserve"> el acto impugnado por los fundamentos y las razones desarrolladas en el considerando séptimo de la presente resolución.</w:t>
      </w:r>
    </w:p>
    <w:p w:rsidR="00A40225" w:rsidRPr="00A40225" w:rsidRDefault="00A40225" w:rsidP="00A40225">
      <w:pPr>
        <w:pStyle w:val="corte4fondo"/>
        <w:tabs>
          <w:tab w:val="left" w:pos="567"/>
        </w:tabs>
        <w:spacing w:line="276" w:lineRule="auto"/>
        <w:rPr>
          <w:rFonts w:cs="Arial"/>
          <w:color w:val="2E74B5" w:themeColor="accent1" w:themeShade="BF"/>
          <w:sz w:val="24"/>
          <w:szCs w:val="24"/>
          <w:lang w:val="es-MX"/>
        </w:rPr>
      </w:pPr>
    </w:p>
    <w:p w:rsidR="00884D7B" w:rsidRPr="00A40225" w:rsidRDefault="00884D7B" w:rsidP="00A40225">
      <w:pPr>
        <w:pStyle w:val="corte4fondo"/>
        <w:tabs>
          <w:tab w:val="left" w:pos="567"/>
        </w:tabs>
        <w:spacing w:line="276" w:lineRule="auto"/>
        <w:rPr>
          <w:rFonts w:cs="Arial"/>
          <w:color w:val="2E74B5" w:themeColor="accent1" w:themeShade="BF"/>
          <w:sz w:val="24"/>
          <w:szCs w:val="24"/>
          <w:lang w:val="es-MX"/>
        </w:rPr>
      </w:pPr>
      <w:r w:rsidRPr="00A40225">
        <w:rPr>
          <w:rFonts w:cs="Arial"/>
          <w:b/>
          <w:color w:val="2E74B5" w:themeColor="accent1" w:themeShade="BF"/>
          <w:sz w:val="24"/>
          <w:szCs w:val="24"/>
          <w:lang w:val="es-MX"/>
        </w:rPr>
        <w:t xml:space="preserve">Notifíquese; </w:t>
      </w:r>
      <w:r w:rsidRPr="00A40225">
        <w:rPr>
          <w:rFonts w:cs="Arial"/>
          <w:color w:val="2E74B5" w:themeColor="accent1" w:themeShade="BF"/>
          <w:sz w:val="24"/>
          <w:szCs w:val="24"/>
          <w:lang w:val="es-MX"/>
        </w:rPr>
        <w:t>por oficio a las autoridades</w:t>
      </w:r>
      <w:r w:rsidRPr="00A40225">
        <w:rPr>
          <w:rFonts w:cs="Arial"/>
          <w:b/>
          <w:color w:val="2E74B5" w:themeColor="accent1" w:themeShade="BF"/>
          <w:sz w:val="24"/>
          <w:szCs w:val="24"/>
          <w:lang w:val="es-MX"/>
        </w:rPr>
        <w:t xml:space="preserve"> </w:t>
      </w:r>
      <w:r w:rsidRPr="00A40225">
        <w:rPr>
          <w:rFonts w:cs="Arial"/>
          <w:color w:val="2E74B5" w:themeColor="accent1" w:themeShade="BF"/>
          <w:sz w:val="24"/>
          <w:szCs w:val="24"/>
          <w:lang w:val="es-MX"/>
        </w:rPr>
        <w:t>y a la recurrente por el medio que designó.</w:t>
      </w:r>
    </w:p>
    <w:p w:rsidR="00884D7B" w:rsidRPr="00A40225" w:rsidRDefault="00884D7B" w:rsidP="00A40225">
      <w:pPr>
        <w:pStyle w:val="corte4fondo"/>
        <w:tabs>
          <w:tab w:val="left" w:pos="567"/>
        </w:tabs>
        <w:spacing w:line="276" w:lineRule="auto"/>
        <w:rPr>
          <w:rFonts w:cs="Arial"/>
          <w:color w:val="2E74B5" w:themeColor="accent1" w:themeShade="BF"/>
          <w:sz w:val="24"/>
          <w:szCs w:val="24"/>
          <w:lang w:val="es-MX"/>
        </w:rPr>
      </w:pPr>
    </w:p>
    <w:p w:rsidR="0011257C" w:rsidRPr="00A40225" w:rsidRDefault="0011257C" w:rsidP="00A40225">
      <w:pPr>
        <w:pStyle w:val="corte4fondo"/>
        <w:tabs>
          <w:tab w:val="left" w:pos="567"/>
        </w:tabs>
        <w:spacing w:line="276" w:lineRule="auto"/>
        <w:rPr>
          <w:rFonts w:eastAsia="Arial Unicode MS" w:cs="Arial"/>
          <w:color w:val="2E74B5" w:themeColor="accent1" w:themeShade="BF"/>
          <w:sz w:val="24"/>
          <w:szCs w:val="24"/>
        </w:rPr>
      </w:pPr>
      <w:r w:rsidRPr="00A40225">
        <w:rPr>
          <w:rFonts w:cs="Arial"/>
          <w:color w:val="2E74B5" w:themeColor="accent1" w:themeShade="BF"/>
          <w:sz w:val="24"/>
          <w:szCs w:val="24"/>
        </w:rPr>
        <w:t xml:space="preserve">Así, por unanimidad de votos lo resolvió la Comisión Estatal de Garantía de Acceso a la Información Pública, integrada por los Comisionados Licenciados </w:t>
      </w:r>
      <w:proofErr w:type="spellStart"/>
      <w:r w:rsidRPr="00A40225">
        <w:rPr>
          <w:rFonts w:cs="Arial"/>
          <w:color w:val="2E74B5" w:themeColor="accent1" w:themeShade="BF"/>
          <w:sz w:val="24"/>
          <w:szCs w:val="24"/>
        </w:rPr>
        <w:t>Mariajosé</w:t>
      </w:r>
      <w:proofErr w:type="spellEnd"/>
      <w:r w:rsidRPr="00A40225">
        <w:rPr>
          <w:rFonts w:cs="Arial"/>
          <w:color w:val="2E74B5" w:themeColor="accent1" w:themeShade="BF"/>
          <w:sz w:val="24"/>
          <w:szCs w:val="24"/>
        </w:rPr>
        <w:t xml:space="preserve"> González Zarzosa, Mtro. Alejandro Lafuente Torres, Paulina Sánchez Pérez del Pozo, Presidente, siendo ponente la última de los nombrados, quienes, en unión de la Licenciada Rosa María Motilla García, Secretaria de Pleno que da fe, firman esta resolución. </w:t>
      </w:r>
      <w:r w:rsidRPr="00A40225">
        <w:rPr>
          <w:rFonts w:eastAsia="Arial Unicode MS" w:cs="Arial"/>
          <w:color w:val="2E74B5" w:themeColor="accent1" w:themeShade="BF"/>
          <w:sz w:val="24"/>
          <w:szCs w:val="24"/>
        </w:rPr>
        <w:t xml:space="preserve">   </w:t>
      </w:r>
    </w:p>
    <w:p w:rsidR="0011257C" w:rsidRPr="00A40225" w:rsidRDefault="0011257C" w:rsidP="00A40225">
      <w:pPr>
        <w:pStyle w:val="corte4fondo"/>
        <w:tabs>
          <w:tab w:val="left" w:pos="567"/>
        </w:tabs>
        <w:spacing w:line="276" w:lineRule="auto"/>
        <w:rPr>
          <w:rFonts w:cs="Arial"/>
          <w:color w:val="2E74B5" w:themeColor="accent1" w:themeShade="BF"/>
          <w:sz w:val="24"/>
          <w:szCs w:val="24"/>
        </w:rPr>
      </w:pPr>
    </w:p>
    <w:p w:rsidR="0011257C" w:rsidRPr="00A40225" w:rsidRDefault="0011257C" w:rsidP="00A40225">
      <w:pPr>
        <w:spacing w:after="0"/>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A40225" w:rsidRPr="00A40225" w:rsidTr="006220E4">
        <w:trPr>
          <w:trHeight w:val="2654"/>
          <w:jc w:val="center"/>
        </w:trPr>
        <w:tc>
          <w:tcPr>
            <w:tcW w:w="4706" w:type="dxa"/>
            <w:gridSpan w:val="2"/>
          </w:tcPr>
          <w:p w:rsidR="0011257C" w:rsidRPr="00A40225" w:rsidRDefault="0011257C" w:rsidP="00A40225">
            <w:pPr>
              <w:spacing w:after="0"/>
              <w:jc w:val="center"/>
              <w:rPr>
                <w:rFonts w:ascii="Arial" w:eastAsia="Arial Unicode MS" w:hAnsi="Arial" w:cs="Arial"/>
                <w:b/>
                <w:color w:val="2E74B5" w:themeColor="accent1" w:themeShade="BF"/>
                <w:sz w:val="24"/>
                <w:szCs w:val="24"/>
              </w:rPr>
            </w:pPr>
            <w:r w:rsidRPr="00A40225">
              <w:rPr>
                <w:rFonts w:ascii="Arial" w:eastAsia="Arial Unicode MS" w:hAnsi="Arial" w:cs="Arial"/>
                <w:b/>
                <w:color w:val="2E74B5" w:themeColor="accent1" w:themeShade="BF"/>
                <w:sz w:val="24"/>
                <w:szCs w:val="24"/>
              </w:rPr>
              <w:t xml:space="preserve">        COMISIONADA </w:t>
            </w:r>
          </w:p>
          <w:p w:rsidR="0011257C" w:rsidRPr="00A40225" w:rsidRDefault="0011257C" w:rsidP="00A40225">
            <w:pPr>
              <w:spacing w:after="0"/>
              <w:ind w:left="360" w:firstLine="708"/>
              <w:jc w:val="center"/>
              <w:rPr>
                <w:rFonts w:ascii="Arial" w:eastAsia="Arial Unicode MS" w:hAnsi="Arial" w:cs="Arial"/>
                <w:b/>
                <w:color w:val="2E74B5" w:themeColor="accent1" w:themeShade="BF"/>
                <w:sz w:val="24"/>
                <w:szCs w:val="24"/>
              </w:rPr>
            </w:pPr>
          </w:p>
          <w:p w:rsidR="0011257C" w:rsidRPr="00A40225" w:rsidRDefault="0011257C" w:rsidP="00A40225">
            <w:pPr>
              <w:spacing w:after="0"/>
              <w:ind w:left="360" w:firstLine="708"/>
              <w:jc w:val="center"/>
              <w:rPr>
                <w:rFonts w:ascii="Arial" w:eastAsia="Arial Unicode MS" w:hAnsi="Arial" w:cs="Arial"/>
                <w:b/>
                <w:color w:val="2E74B5" w:themeColor="accent1" w:themeShade="BF"/>
                <w:sz w:val="24"/>
                <w:szCs w:val="24"/>
              </w:rPr>
            </w:pPr>
          </w:p>
          <w:p w:rsidR="0011257C" w:rsidRPr="00A40225" w:rsidRDefault="0011257C" w:rsidP="00A40225">
            <w:pPr>
              <w:tabs>
                <w:tab w:val="left" w:pos="1358"/>
              </w:tabs>
              <w:spacing w:after="0"/>
              <w:ind w:firstLine="36"/>
              <w:jc w:val="center"/>
              <w:rPr>
                <w:rFonts w:ascii="Arial" w:eastAsia="Arial Unicode MS" w:hAnsi="Arial" w:cs="Arial"/>
                <w:b/>
                <w:color w:val="2E74B5" w:themeColor="accent1" w:themeShade="BF"/>
                <w:sz w:val="24"/>
                <w:szCs w:val="24"/>
              </w:rPr>
            </w:pPr>
            <w:r w:rsidRPr="00A40225">
              <w:rPr>
                <w:rFonts w:ascii="Arial" w:eastAsia="Arial Unicode MS" w:hAnsi="Arial" w:cs="Arial"/>
                <w:b/>
                <w:color w:val="2E74B5" w:themeColor="accent1" w:themeShade="BF"/>
                <w:sz w:val="24"/>
                <w:szCs w:val="24"/>
              </w:rPr>
              <w:t xml:space="preserve">MARIAJOSÉ </w:t>
            </w:r>
          </w:p>
          <w:p w:rsidR="0011257C" w:rsidRPr="00A40225" w:rsidRDefault="0011257C" w:rsidP="00A40225">
            <w:pPr>
              <w:spacing w:after="0"/>
              <w:ind w:left="360" w:firstLine="36"/>
              <w:jc w:val="center"/>
              <w:rPr>
                <w:rFonts w:ascii="Arial" w:eastAsia="Arial Unicode MS" w:hAnsi="Arial" w:cs="Arial"/>
                <w:b/>
                <w:color w:val="2E74B5" w:themeColor="accent1" w:themeShade="BF"/>
                <w:sz w:val="24"/>
                <w:szCs w:val="24"/>
              </w:rPr>
            </w:pPr>
            <w:r w:rsidRPr="00A40225">
              <w:rPr>
                <w:rFonts w:ascii="Arial" w:eastAsia="Arial Unicode MS" w:hAnsi="Arial" w:cs="Arial"/>
                <w:b/>
                <w:color w:val="2E74B5" w:themeColor="accent1" w:themeShade="BF"/>
                <w:sz w:val="24"/>
                <w:szCs w:val="24"/>
              </w:rPr>
              <w:t xml:space="preserve">GONZÁLEZ ZARZOSA </w:t>
            </w:r>
          </w:p>
          <w:p w:rsidR="0011257C" w:rsidRPr="00A40225" w:rsidRDefault="0011257C" w:rsidP="00A40225">
            <w:pPr>
              <w:spacing w:after="0"/>
              <w:ind w:left="360" w:firstLine="708"/>
              <w:jc w:val="center"/>
              <w:rPr>
                <w:rFonts w:ascii="Arial" w:eastAsia="Arial Unicode MS" w:hAnsi="Arial" w:cs="Arial"/>
                <w:b/>
                <w:color w:val="2E74B5" w:themeColor="accent1" w:themeShade="BF"/>
                <w:sz w:val="24"/>
                <w:szCs w:val="24"/>
              </w:rPr>
            </w:pPr>
          </w:p>
          <w:p w:rsidR="0011257C" w:rsidRPr="00A40225" w:rsidRDefault="0011257C" w:rsidP="00A40225">
            <w:pPr>
              <w:spacing w:after="0"/>
              <w:rPr>
                <w:rFonts w:ascii="Arial" w:eastAsia="Arial Unicode MS" w:hAnsi="Arial" w:cs="Arial"/>
                <w:b/>
                <w:color w:val="2E74B5" w:themeColor="accent1" w:themeShade="BF"/>
                <w:sz w:val="24"/>
                <w:szCs w:val="24"/>
              </w:rPr>
            </w:pPr>
            <w:r w:rsidRPr="00A40225">
              <w:rPr>
                <w:rFonts w:ascii="Arial" w:eastAsia="Arial Unicode MS" w:hAnsi="Arial" w:cs="Arial"/>
                <w:b/>
                <w:color w:val="2E74B5" w:themeColor="accent1" w:themeShade="BF"/>
                <w:sz w:val="24"/>
                <w:szCs w:val="24"/>
              </w:rPr>
              <w:t xml:space="preserve">                   </w:t>
            </w:r>
          </w:p>
          <w:p w:rsidR="0011257C" w:rsidRPr="00A40225" w:rsidRDefault="0011257C" w:rsidP="00A40225">
            <w:pPr>
              <w:spacing w:after="0"/>
              <w:rPr>
                <w:rFonts w:ascii="Arial" w:eastAsia="Arial Unicode MS" w:hAnsi="Arial" w:cs="Arial"/>
                <w:b/>
                <w:color w:val="2E74B5" w:themeColor="accent1" w:themeShade="BF"/>
                <w:sz w:val="24"/>
                <w:szCs w:val="24"/>
              </w:rPr>
            </w:pPr>
          </w:p>
        </w:tc>
        <w:tc>
          <w:tcPr>
            <w:tcW w:w="5194" w:type="dxa"/>
            <w:gridSpan w:val="2"/>
          </w:tcPr>
          <w:p w:rsidR="0011257C" w:rsidRPr="00A40225" w:rsidRDefault="0011257C" w:rsidP="00A40225">
            <w:pPr>
              <w:spacing w:after="0"/>
              <w:ind w:left="360" w:firstLine="708"/>
              <w:rPr>
                <w:rFonts w:ascii="Arial" w:eastAsia="Arial Unicode MS" w:hAnsi="Arial" w:cs="Arial"/>
                <w:b/>
                <w:color w:val="2E74B5" w:themeColor="accent1" w:themeShade="BF"/>
                <w:sz w:val="24"/>
                <w:szCs w:val="24"/>
              </w:rPr>
            </w:pPr>
            <w:r w:rsidRPr="00A40225">
              <w:rPr>
                <w:rFonts w:ascii="Arial" w:eastAsia="Arial Unicode MS" w:hAnsi="Arial" w:cs="Arial"/>
                <w:b/>
                <w:color w:val="2E74B5" w:themeColor="accent1" w:themeShade="BF"/>
                <w:sz w:val="24"/>
                <w:szCs w:val="24"/>
              </w:rPr>
              <w:t xml:space="preserve">              COMISIONADO </w:t>
            </w:r>
          </w:p>
          <w:p w:rsidR="0011257C" w:rsidRPr="00A40225" w:rsidRDefault="0011257C" w:rsidP="00A40225">
            <w:pPr>
              <w:spacing w:after="0"/>
              <w:ind w:left="360" w:firstLine="708"/>
              <w:jc w:val="center"/>
              <w:rPr>
                <w:rFonts w:ascii="Arial" w:eastAsia="Arial Unicode MS" w:hAnsi="Arial" w:cs="Arial"/>
                <w:b/>
                <w:color w:val="2E74B5" w:themeColor="accent1" w:themeShade="BF"/>
                <w:sz w:val="24"/>
                <w:szCs w:val="24"/>
              </w:rPr>
            </w:pPr>
          </w:p>
          <w:p w:rsidR="0011257C" w:rsidRPr="00A40225" w:rsidRDefault="0011257C" w:rsidP="00A40225">
            <w:pPr>
              <w:spacing w:after="0"/>
              <w:ind w:left="360" w:firstLine="708"/>
              <w:jc w:val="center"/>
              <w:rPr>
                <w:rFonts w:ascii="Arial" w:eastAsia="Arial Unicode MS" w:hAnsi="Arial" w:cs="Arial"/>
                <w:b/>
                <w:color w:val="2E74B5" w:themeColor="accent1" w:themeShade="BF"/>
                <w:sz w:val="24"/>
                <w:szCs w:val="24"/>
              </w:rPr>
            </w:pPr>
          </w:p>
          <w:p w:rsidR="0011257C" w:rsidRPr="00A40225" w:rsidRDefault="0011257C" w:rsidP="00A40225">
            <w:pPr>
              <w:spacing w:after="0"/>
              <w:rPr>
                <w:rFonts w:ascii="Arial" w:eastAsia="Arial Unicode MS" w:hAnsi="Arial" w:cs="Arial"/>
                <w:b/>
                <w:color w:val="2E74B5" w:themeColor="accent1" w:themeShade="BF"/>
                <w:sz w:val="24"/>
                <w:szCs w:val="24"/>
              </w:rPr>
            </w:pPr>
            <w:r w:rsidRPr="00A40225">
              <w:rPr>
                <w:rFonts w:ascii="Arial" w:eastAsia="Arial Unicode MS" w:hAnsi="Arial" w:cs="Arial"/>
                <w:b/>
                <w:color w:val="2E74B5" w:themeColor="accent1" w:themeShade="BF"/>
                <w:sz w:val="24"/>
                <w:szCs w:val="24"/>
              </w:rPr>
              <w:t xml:space="preserve">                     MTRO. ALEJANDRO </w:t>
            </w:r>
          </w:p>
          <w:p w:rsidR="0011257C" w:rsidRPr="00A40225" w:rsidRDefault="0011257C" w:rsidP="00A40225">
            <w:pPr>
              <w:pStyle w:val="corte4fondo"/>
              <w:tabs>
                <w:tab w:val="left" w:pos="567"/>
              </w:tabs>
              <w:spacing w:line="276" w:lineRule="auto"/>
              <w:ind w:firstLine="0"/>
              <w:rPr>
                <w:rFonts w:cs="Arial"/>
                <w:i/>
                <w:color w:val="2E74B5" w:themeColor="accent1" w:themeShade="BF"/>
                <w:sz w:val="10"/>
                <w:szCs w:val="10"/>
              </w:rPr>
            </w:pPr>
            <w:r w:rsidRPr="00A40225">
              <w:rPr>
                <w:rFonts w:eastAsia="Arial Unicode MS" w:cs="Arial"/>
                <w:b/>
                <w:color w:val="2E74B5" w:themeColor="accent1" w:themeShade="BF"/>
                <w:sz w:val="24"/>
                <w:szCs w:val="24"/>
              </w:rPr>
              <w:t xml:space="preserve">                    LAFUENTE TORRES</w:t>
            </w:r>
          </w:p>
          <w:p w:rsidR="0011257C" w:rsidRPr="00A40225" w:rsidRDefault="0011257C" w:rsidP="00A40225">
            <w:pPr>
              <w:spacing w:after="0"/>
              <w:ind w:left="360" w:firstLine="708"/>
              <w:jc w:val="center"/>
              <w:rPr>
                <w:rFonts w:ascii="Arial" w:eastAsia="Arial Unicode MS" w:hAnsi="Arial" w:cs="Arial"/>
                <w:b/>
                <w:color w:val="2E74B5" w:themeColor="accent1" w:themeShade="BF"/>
                <w:sz w:val="24"/>
                <w:szCs w:val="24"/>
              </w:rPr>
            </w:pPr>
          </w:p>
          <w:p w:rsidR="0011257C" w:rsidRPr="00A40225" w:rsidRDefault="0011257C" w:rsidP="00A40225">
            <w:pPr>
              <w:pStyle w:val="corte4fondo"/>
              <w:tabs>
                <w:tab w:val="left" w:pos="567"/>
              </w:tabs>
              <w:spacing w:line="276" w:lineRule="auto"/>
              <w:ind w:firstLine="0"/>
              <w:rPr>
                <w:rFonts w:eastAsia="Arial Unicode MS" w:cs="Arial"/>
                <w:b/>
                <w:color w:val="2E74B5" w:themeColor="accent1" w:themeShade="BF"/>
                <w:sz w:val="24"/>
                <w:szCs w:val="24"/>
              </w:rPr>
            </w:pPr>
          </w:p>
        </w:tc>
      </w:tr>
      <w:tr w:rsidR="00A40225" w:rsidRPr="00A40225" w:rsidTr="006220E4">
        <w:trPr>
          <w:trHeight w:val="2085"/>
          <w:jc w:val="center"/>
        </w:trPr>
        <w:tc>
          <w:tcPr>
            <w:tcW w:w="4552" w:type="dxa"/>
          </w:tcPr>
          <w:p w:rsidR="0011257C" w:rsidRPr="00A40225" w:rsidRDefault="0011257C" w:rsidP="00A40225">
            <w:pPr>
              <w:spacing w:after="0"/>
              <w:ind w:left="360" w:hanging="360"/>
              <w:jc w:val="center"/>
              <w:rPr>
                <w:rFonts w:ascii="Arial" w:eastAsia="Arial Unicode MS" w:hAnsi="Arial" w:cs="Arial"/>
                <w:b/>
                <w:color w:val="2E74B5" w:themeColor="accent1" w:themeShade="BF"/>
                <w:sz w:val="24"/>
                <w:szCs w:val="24"/>
              </w:rPr>
            </w:pPr>
            <w:r w:rsidRPr="00A40225">
              <w:rPr>
                <w:rFonts w:ascii="Arial" w:eastAsia="Arial Unicode MS" w:hAnsi="Arial" w:cs="Arial"/>
                <w:b/>
                <w:color w:val="2E74B5" w:themeColor="accent1" w:themeShade="BF"/>
                <w:sz w:val="24"/>
                <w:szCs w:val="24"/>
              </w:rPr>
              <w:t>COMISIONADA PRESIDENTE</w:t>
            </w:r>
          </w:p>
          <w:p w:rsidR="0011257C" w:rsidRPr="00A40225" w:rsidRDefault="0011257C" w:rsidP="00A40225">
            <w:pPr>
              <w:spacing w:after="0"/>
              <w:ind w:left="360"/>
              <w:rPr>
                <w:rFonts w:ascii="Arial" w:eastAsia="Arial Unicode MS" w:hAnsi="Arial" w:cs="Arial"/>
                <w:b/>
                <w:color w:val="2E74B5" w:themeColor="accent1" w:themeShade="BF"/>
                <w:sz w:val="24"/>
                <w:szCs w:val="24"/>
              </w:rPr>
            </w:pPr>
          </w:p>
          <w:p w:rsidR="0011257C" w:rsidRPr="00A40225" w:rsidRDefault="0011257C" w:rsidP="00A40225">
            <w:pPr>
              <w:spacing w:after="0"/>
              <w:ind w:left="360"/>
              <w:rPr>
                <w:rFonts w:ascii="Arial" w:eastAsia="Arial Unicode MS" w:hAnsi="Arial" w:cs="Arial"/>
                <w:b/>
                <w:color w:val="2E74B5" w:themeColor="accent1" w:themeShade="BF"/>
                <w:sz w:val="24"/>
                <w:szCs w:val="24"/>
              </w:rPr>
            </w:pPr>
          </w:p>
          <w:p w:rsidR="0011257C" w:rsidRPr="00A40225" w:rsidRDefault="0011257C" w:rsidP="00A40225">
            <w:pPr>
              <w:spacing w:after="0"/>
              <w:ind w:left="360"/>
              <w:rPr>
                <w:rFonts w:ascii="Arial" w:eastAsia="Arial Unicode MS" w:hAnsi="Arial" w:cs="Arial"/>
                <w:b/>
                <w:color w:val="2E74B5" w:themeColor="accent1" w:themeShade="BF"/>
                <w:sz w:val="24"/>
                <w:szCs w:val="24"/>
              </w:rPr>
            </w:pPr>
          </w:p>
          <w:p w:rsidR="0011257C" w:rsidRPr="00A40225" w:rsidRDefault="0011257C" w:rsidP="00A40225">
            <w:pPr>
              <w:spacing w:after="0"/>
              <w:jc w:val="center"/>
              <w:rPr>
                <w:rFonts w:ascii="Arial" w:eastAsia="Arial Unicode MS" w:hAnsi="Arial" w:cs="Arial"/>
                <w:b/>
                <w:color w:val="2E74B5" w:themeColor="accent1" w:themeShade="BF"/>
                <w:sz w:val="24"/>
                <w:szCs w:val="24"/>
              </w:rPr>
            </w:pPr>
            <w:r w:rsidRPr="00A40225">
              <w:rPr>
                <w:rFonts w:ascii="Arial" w:eastAsia="Arial Unicode MS" w:hAnsi="Arial" w:cs="Arial"/>
                <w:b/>
                <w:color w:val="2E74B5" w:themeColor="accent1" w:themeShade="BF"/>
                <w:sz w:val="24"/>
                <w:szCs w:val="24"/>
              </w:rPr>
              <w:t xml:space="preserve">LIC. PAULINA SÁNCHEZ </w:t>
            </w:r>
          </w:p>
          <w:p w:rsidR="0011257C" w:rsidRPr="00A40225" w:rsidRDefault="0011257C" w:rsidP="00A40225">
            <w:pPr>
              <w:spacing w:after="0"/>
              <w:jc w:val="center"/>
              <w:rPr>
                <w:rFonts w:ascii="Arial" w:eastAsia="Arial Unicode MS" w:hAnsi="Arial" w:cs="Arial"/>
                <w:b/>
                <w:color w:val="2E74B5" w:themeColor="accent1" w:themeShade="BF"/>
                <w:sz w:val="24"/>
                <w:szCs w:val="24"/>
              </w:rPr>
            </w:pPr>
            <w:r w:rsidRPr="00A40225">
              <w:rPr>
                <w:rFonts w:ascii="Arial" w:eastAsia="Arial Unicode MS" w:hAnsi="Arial" w:cs="Arial"/>
                <w:b/>
                <w:color w:val="2E74B5" w:themeColor="accent1" w:themeShade="BF"/>
                <w:sz w:val="24"/>
                <w:szCs w:val="24"/>
              </w:rPr>
              <w:t>PÉREZ DEL POZO</w:t>
            </w:r>
          </w:p>
          <w:p w:rsidR="0011257C" w:rsidRPr="00A40225" w:rsidRDefault="0011257C" w:rsidP="00A40225">
            <w:pPr>
              <w:spacing w:after="0"/>
              <w:ind w:left="360" w:firstLine="36"/>
              <w:jc w:val="center"/>
              <w:rPr>
                <w:rFonts w:ascii="Arial" w:eastAsia="Arial Unicode MS" w:hAnsi="Arial" w:cs="Arial"/>
                <w:b/>
                <w:color w:val="2E74B5" w:themeColor="accent1" w:themeShade="BF"/>
                <w:sz w:val="24"/>
                <w:szCs w:val="24"/>
              </w:rPr>
            </w:pPr>
          </w:p>
        </w:tc>
        <w:tc>
          <w:tcPr>
            <w:tcW w:w="334" w:type="dxa"/>
            <w:gridSpan w:val="2"/>
          </w:tcPr>
          <w:p w:rsidR="0011257C" w:rsidRPr="00A40225" w:rsidRDefault="0011257C" w:rsidP="00A40225">
            <w:pPr>
              <w:spacing w:after="0"/>
              <w:ind w:left="360" w:firstLine="708"/>
              <w:jc w:val="center"/>
              <w:rPr>
                <w:rFonts w:ascii="Arial" w:eastAsia="Arial Unicode MS" w:hAnsi="Arial" w:cs="Arial"/>
                <w:b/>
                <w:color w:val="2E74B5" w:themeColor="accent1" w:themeShade="BF"/>
                <w:sz w:val="24"/>
                <w:szCs w:val="24"/>
              </w:rPr>
            </w:pPr>
          </w:p>
        </w:tc>
        <w:tc>
          <w:tcPr>
            <w:tcW w:w="5014" w:type="dxa"/>
          </w:tcPr>
          <w:p w:rsidR="0011257C" w:rsidRPr="00A40225" w:rsidRDefault="0011257C" w:rsidP="00A40225">
            <w:pPr>
              <w:spacing w:after="0"/>
              <w:ind w:left="360" w:firstLine="708"/>
              <w:rPr>
                <w:rFonts w:ascii="Arial" w:eastAsia="Arial Unicode MS" w:hAnsi="Arial" w:cs="Arial"/>
                <w:b/>
                <w:color w:val="2E74B5" w:themeColor="accent1" w:themeShade="BF"/>
                <w:sz w:val="24"/>
                <w:szCs w:val="24"/>
              </w:rPr>
            </w:pPr>
            <w:r w:rsidRPr="00A40225">
              <w:rPr>
                <w:rFonts w:ascii="Arial" w:eastAsia="Arial Unicode MS" w:hAnsi="Arial" w:cs="Arial"/>
                <w:b/>
                <w:color w:val="2E74B5" w:themeColor="accent1" w:themeShade="BF"/>
                <w:sz w:val="24"/>
                <w:szCs w:val="24"/>
              </w:rPr>
              <w:t>SECRETARIA DE PLENO</w:t>
            </w:r>
          </w:p>
          <w:p w:rsidR="0011257C" w:rsidRPr="00A40225" w:rsidRDefault="0011257C" w:rsidP="00A40225">
            <w:pPr>
              <w:spacing w:after="0"/>
              <w:ind w:left="360" w:firstLine="708"/>
              <w:jc w:val="center"/>
              <w:rPr>
                <w:rFonts w:ascii="Arial" w:eastAsia="Arial Unicode MS" w:hAnsi="Arial" w:cs="Arial"/>
                <w:b/>
                <w:color w:val="2E74B5" w:themeColor="accent1" w:themeShade="BF"/>
                <w:sz w:val="24"/>
                <w:szCs w:val="24"/>
              </w:rPr>
            </w:pPr>
          </w:p>
          <w:p w:rsidR="0011257C" w:rsidRPr="00A40225" w:rsidRDefault="0011257C" w:rsidP="00A40225">
            <w:pPr>
              <w:spacing w:after="0"/>
              <w:ind w:left="360" w:firstLine="708"/>
              <w:jc w:val="center"/>
              <w:rPr>
                <w:rFonts w:ascii="Arial" w:eastAsia="Arial Unicode MS" w:hAnsi="Arial" w:cs="Arial"/>
                <w:b/>
                <w:color w:val="2E74B5" w:themeColor="accent1" w:themeShade="BF"/>
                <w:sz w:val="24"/>
                <w:szCs w:val="24"/>
              </w:rPr>
            </w:pPr>
          </w:p>
          <w:p w:rsidR="0011257C" w:rsidRPr="00A40225" w:rsidRDefault="0011257C" w:rsidP="00A40225">
            <w:pPr>
              <w:spacing w:after="0"/>
              <w:ind w:left="360" w:firstLine="708"/>
              <w:jc w:val="center"/>
              <w:rPr>
                <w:rFonts w:ascii="Arial" w:eastAsia="Arial Unicode MS" w:hAnsi="Arial" w:cs="Arial"/>
                <w:b/>
                <w:color w:val="2E74B5" w:themeColor="accent1" w:themeShade="BF"/>
                <w:sz w:val="24"/>
                <w:szCs w:val="24"/>
              </w:rPr>
            </w:pPr>
          </w:p>
          <w:p w:rsidR="0011257C" w:rsidRPr="00A40225" w:rsidRDefault="0011257C" w:rsidP="00A40225">
            <w:pPr>
              <w:spacing w:after="0"/>
              <w:ind w:left="360" w:hanging="360"/>
              <w:jc w:val="center"/>
              <w:rPr>
                <w:rFonts w:ascii="Arial" w:eastAsia="Arial Unicode MS" w:hAnsi="Arial" w:cs="Arial"/>
                <w:b/>
                <w:color w:val="2E74B5" w:themeColor="accent1" w:themeShade="BF"/>
                <w:sz w:val="24"/>
                <w:szCs w:val="24"/>
              </w:rPr>
            </w:pPr>
            <w:r w:rsidRPr="00A40225">
              <w:rPr>
                <w:rFonts w:ascii="Arial" w:eastAsia="Arial Unicode MS" w:hAnsi="Arial" w:cs="Arial"/>
                <w:b/>
                <w:color w:val="2E74B5" w:themeColor="accent1" w:themeShade="BF"/>
                <w:sz w:val="24"/>
                <w:szCs w:val="24"/>
              </w:rPr>
              <w:t xml:space="preserve">LIC. ROSA MARÍA MOTILLA GARCÍA </w:t>
            </w:r>
          </w:p>
        </w:tc>
      </w:tr>
    </w:tbl>
    <w:p w:rsidR="0011257C" w:rsidRPr="00A40225" w:rsidRDefault="0011257C" w:rsidP="00A40225">
      <w:pPr>
        <w:pStyle w:val="corte4fondo"/>
        <w:tabs>
          <w:tab w:val="left" w:pos="567"/>
        </w:tabs>
        <w:spacing w:line="276" w:lineRule="auto"/>
        <w:ind w:firstLine="0"/>
        <w:rPr>
          <w:rFonts w:cs="Arial"/>
          <w:color w:val="2E74B5" w:themeColor="accent1" w:themeShade="BF"/>
          <w:sz w:val="10"/>
          <w:szCs w:val="10"/>
        </w:rPr>
      </w:pPr>
      <w:r w:rsidRPr="00A40225">
        <w:rPr>
          <w:rFonts w:cs="Arial"/>
          <w:color w:val="2E74B5" w:themeColor="accent1" w:themeShade="BF"/>
          <w:sz w:val="10"/>
          <w:szCs w:val="10"/>
        </w:rPr>
        <w:t xml:space="preserve">*ESTAS FIRMAS PERTENECEN A LA RESOLUCIÓN DE LA REVISIÓN 506/2018-2 QUE FUE INTERPUESTO CONTRA </w:t>
      </w:r>
      <w:r w:rsidRPr="00A40225">
        <w:rPr>
          <w:rFonts w:cs="Arial"/>
          <w:color w:val="2E74B5" w:themeColor="accent1" w:themeShade="BF"/>
          <w:sz w:val="10"/>
          <w:szCs w:val="10"/>
          <w:lang w:val="es-MX"/>
        </w:rPr>
        <w:t xml:space="preserve">LA COMISIÓN ESTATAL DE GARANTÍA DE ACCESO A LA INFORMACIÓN PÚBLICA </w:t>
      </w:r>
      <w:r w:rsidRPr="00A40225">
        <w:rPr>
          <w:rFonts w:cs="Arial"/>
          <w:color w:val="2E74B5" w:themeColor="accent1" w:themeShade="BF"/>
          <w:sz w:val="10"/>
          <w:szCs w:val="10"/>
        </w:rPr>
        <w:t xml:space="preserve">Y QUE FUE APROBADA EN LA SESIÓN EXTRAORDINARIA DEL </w:t>
      </w:r>
      <w:r w:rsidR="005C1995" w:rsidRPr="00A40225">
        <w:rPr>
          <w:rFonts w:cs="Arial"/>
          <w:color w:val="2E74B5" w:themeColor="accent1" w:themeShade="BF"/>
          <w:sz w:val="10"/>
          <w:szCs w:val="10"/>
          <w:lang w:val="es-MX"/>
        </w:rPr>
        <w:t xml:space="preserve">12 DOCE DE SEPTIEMBRE </w:t>
      </w:r>
      <w:r w:rsidRPr="00A40225">
        <w:rPr>
          <w:rFonts w:cs="Arial"/>
          <w:color w:val="2E74B5" w:themeColor="accent1" w:themeShade="BF"/>
          <w:sz w:val="10"/>
          <w:szCs w:val="10"/>
        </w:rPr>
        <w:t>DE 2018 DOS MIL DIECIOCHO.</w:t>
      </w:r>
    </w:p>
    <w:p w:rsidR="0011257C" w:rsidRPr="00A40225" w:rsidRDefault="0011257C" w:rsidP="00A40225">
      <w:pPr>
        <w:pStyle w:val="corte4fondo"/>
        <w:tabs>
          <w:tab w:val="left" w:pos="567"/>
          <w:tab w:val="left" w:pos="3643"/>
        </w:tabs>
        <w:spacing w:line="276" w:lineRule="auto"/>
        <w:rPr>
          <w:rFonts w:cs="Arial"/>
          <w:i/>
          <w:color w:val="2E74B5" w:themeColor="accent1" w:themeShade="BF"/>
          <w:sz w:val="10"/>
          <w:szCs w:val="10"/>
        </w:rPr>
      </w:pPr>
      <w:bookmarkStart w:id="0" w:name="_GoBack"/>
      <w:bookmarkEnd w:id="0"/>
    </w:p>
    <w:p w:rsidR="0011257C" w:rsidRPr="00A40225" w:rsidRDefault="0011257C" w:rsidP="00A40225">
      <w:pPr>
        <w:pStyle w:val="corte4fondo"/>
        <w:tabs>
          <w:tab w:val="left" w:pos="567"/>
        </w:tabs>
        <w:spacing w:line="276" w:lineRule="auto"/>
        <w:ind w:firstLine="0"/>
        <w:rPr>
          <w:rFonts w:cs="Arial"/>
          <w:i/>
          <w:color w:val="2E74B5" w:themeColor="accent1" w:themeShade="BF"/>
          <w:sz w:val="10"/>
          <w:szCs w:val="10"/>
        </w:rPr>
      </w:pPr>
    </w:p>
    <w:p w:rsidR="00884D7B" w:rsidRPr="00A40225" w:rsidRDefault="0011257C" w:rsidP="003C02B3">
      <w:pPr>
        <w:pStyle w:val="corte4fondo"/>
        <w:tabs>
          <w:tab w:val="left" w:pos="567"/>
        </w:tabs>
        <w:spacing w:line="276" w:lineRule="auto"/>
        <w:ind w:firstLine="0"/>
        <w:rPr>
          <w:color w:val="2E74B5" w:themeColor="accent1" w:themeShade="BF"/>
        </w:rPr>
      </w:pPr>
      <w:r w:rsidRPr="00A40225">
        <w:rPr>
          <w:rFonts w:cs="Arial"/>
          <w:i/>
          <w:color w:val="2E74B5" w:themeColor="accent1" w:themeShade="BF"/>
          <w:sz w:val="10"/>
          <w:szCs w:val="10"/>
        </w:rPr>
        <w:t xml:space="preserve">L/MEMH </w:t>
      </w:r>
    </w:p>
    <w:sectPr w:rsidR="00884D7B" w:rsidRPr="00A40225" w:rsidSect="00685E2A">
      <w:headerReference w:type="default" r:id="rId9"/>
      <w:pgSz w:w="12242" w:h="20163" w:code="5"/>
      <w:pgMar w:top="2835" w:right="851" w:bottom="226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28F" w:rsidRDefault="0034428F" w:rsidP="00884D7B">
      <w:pPr>
        <w:spacing w:after="0" w:line="240" w:lineRule="auto"/>
      </w:pPr>
      <w:r>
        <w:separator/>
      </w:r>
    </w:p>
  </w:endnote>
  <w:endnote w:type="continuationSeparator" w:id="0">
    <w:p w:rsidR="0034428F" w:rsidRDefault="0034428F" w:rsidP="00884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28F" w:rsidRDefault="0034428F" w:rsidP="00884D7B">
      <w:pPr>
        <w:spacing w:after="0" w:line="240" w:lineRule="auto"/>
      </w:pPr>
      <w:r>
        <w:separator/>
      </w:r>
    </w:p>
  </w:footnote>
  <w:footnote w:type="continuationSeparator" w:id="0">
    <w:p w:rsidR="0034428F" w:rsidRDefault="0034428F" w:rsidP="00884D7B">
      <w:pPr>
        <w:spacing w:after="0" w:line="240" w:lineRule="auto"/>
      </w:pPr>
      <w:r>
        <w:continuationSeparator/>
      </w:r>
    </w:p>
  </w:footnote>
  <w:footnote w:id="1">
    <w:p w:rsidR="00884D7B" w:rsidRPr="00DA1577" w:rsidRDefault="00884D7B" w:rsidP="00884D7B">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884D7B" w:rsidRDefault="00884D7B" w:rsidP="00884D7B">
      <w:pPr>
        <w:pStyle w:val="Default"/>
        <w:jc w:val="both"/>
        <w:rPr>
          <w:rFonts w:eastAsia="Arial Unicode MS"/>
          <w:sz w:val="16"/>
          <w:szCs w:val="16"/>
        </w:rPr>
      </w:pPr>
      <w:r w:rsidRPr="003505B3">
        <w:rPr>
          <w:rStyle w:val="Refdenotaalpie"/>
          <w:rFonts w:ascii="Arial Unicode MS" w:eastAsia="Arial Unicode MS" w:hAnsi="Arial Unicode MS" w:cs="Arial Unicode MS"/>
          <w:sz w:val="16"/>
          <w:szCs w:val="16"/>
        </w:rPr>
        <w:footnoteRef/>
      </w:r>
      <w:r>
        <w:rPr>
          <w:rFonts w:ascii="Arial Unicode MS" w:eastAsia="Arial Unicode MS" w:hAnsi="Arial Unicode MS" w:cs="Arial Unicode MS"/>
          <w:sz w:val="16"/>
          <w:szCs w:val="16"/>
        </w:rPr>
        <w:t xml:space="preserve"> </w:t>
      </w:r>
      <w:r w:rsidRPr="00505CCC">
        <w:rPr>
          <w:rFonts w:ascii="Arial Unicode MS" w:eastAsia="Arial Unicode MS" w:hAnsi="Arial Unicode MS" w:cs="Arial Unicode MS"/>
          <w:b/>
          <w:sz w:val="16"/>
          <w:szCs w:val="16"/>
        </w:rPr>
        <w:t>ARTÍCULO 1°.</w:t>
      </w:r>
      <w:r w:rsidRPr="00505CCC">
        <w:rPr>
          <w:rFonts w:ascii="Arial Unicode MS" w:eastAsia="Arial Unicode MS" w:hAnsi="Arial Unicode MS" w:cs="Arial Unicode MS"/>
          <w:sz w:val="16"/>
          <w:szCs w:val="16"/>
        </w:rPr>
        <w:t xml:space="preserve"> </w:t>
      </w:r>
      <w:r>
        <w:rPr>
          <w:rFonts w:ascii="Arial Unicode MS" w:eastAsia="Arial Unicode MS" w:hAnsi="Arial Unicode MS" w:cs="Arial Unicode MS"/>
          <w:sz w:val="16"/>
          <w:szCs w:val="16"/>
        </w:rPr>
        <w:t xml:space="preserve">– […] </w:t>
      </w:r>
      <w:r w:rsidRPr="00505CCC">
        <w:rPr>
          <w:rFonts w:ascii="Arial Unicode MS" w:eastAsia="Arial Unicode MS" w:hAnsi="Arial Unicode MS" w:cs="Arial Unicode MS"/>
          <w:sz w:val="16"/>
          <w:szCs w:val="16"/>
        </w:rPr>
        <w:t xml:space="preserve">Tiene por objeto transparentar el ejercicio de la función pública y establecer los principios, bases generales y procedimientos para garantizar a toda persona el derecho humano de acceso a la información en posesión de cualquier autoridad, entidad, órgano y organismo de los poderes, Legislativo; Ejecutivo; y Judicial; organismos autónomos; partidos políticos; fideicomisos y fondos públicos; así como de cualquier persona física, moral o sindicato que reciba y ejerza recursos públicos </w:t>
      </w:r>
      <w:r w:rsidRPr="00E20A68">
        <w:rPr>
          <w:rFonts w:eastAsia="Arial Unicode MS"/>
          <w:sz w:val="16"/>
          <w:szCs w:val="16"/>
        </w:rPr>
        <w:t>o realice actos de autoridad en el ámbito estatal y municipal.</w:t>
      </w:r>
    </w:p>
    <w:p w:rsidR="00884D7B" w:rsidRPr="00E20A68" w:rsidRDefault="00884D7B" w:rsidP="00884D7B">
      <w:pPr>
        <w:pStyle w:val="Default"/>
        <w:jc w:val="both"/>
        <w:rPr>
          <w:rFonts w:eastAsia="Arial Unicode MS"/>
          <w:sz w:val="16"/>
          <w:szCs w:val="16"/>
        </w:rPr>
      </w:pPr>
    </w:p>
  </w:footnote>
  <w:footnote w:id="3">
    <w:p w:rsidR="00884D7B" w:rsidRPr="00AB72E0" w:rsidRDefault="00884D7B" w:rsidP="00AB72E0">
      <w:pPr>
        <w:pStyle w:val="Default"/>
        <w:jc w:val="both"/>
        <w:rPr>
          <w:sz w:val="14"/>
          <w:szCs w:val="14"/>
        </w:rPr>
      </w:pPr>
      <w:r w:rsidRPr="00AB72E0">
        <w:rPr>
          <w:rStyle w:val="Refdenotaalpie"/>
          <w:color w:val="2E74B5" w:themeColor="accent1" w:themeShade="BF"/>
          <w:sz w:val="14"/>
          <w:szCs w:val="14"/>
        </w:rPr>
        <w:footnoteRef/>
      </w:r>
      <w:r w:rsidRPr="00AB72E0">
        <w:rPr>
          <w:color w:val="2E74B5" w:themeColor="accent1" w:themeShade="BF"/>
          <w:sz w:val="14"/>
          <w:szCs w:val="14"/>
        </w:rPr>
        <w:t xml:space="preserve"> </w:t>
      </w:r>
      <w:r w:rsidRPr="00AB72E0">
        <w:rPr>
          <w:b/>
          <w:bCs/>
          <w:color w:val="2E74B5" w:themeColor="accent1" w:themeShade="BF"/>
          <w:sz w:val="14"/>
          <w:szCs w:val="14"/>
        </w:rPr>
        <w:t xml:space="preserve">ARTÍCULO 179. </w:t>
      </w:r>
      <w:r w:rsidRPr="00AB72E0">
        <w:rPr>
          <w:color w:val="2E74B5" w:themeColor="accent1" w:themeShade="BF"/>
          <w:sz w:val="14"/>
          <w:szCs w:val="14"/>
        </w:rPr>
        <w:t>El recurso será desechado por improcedente cuando: I</w:t>
      </w:r>
      <w:r w:rsidRPr="00AB72E0">
        <w:rPr>
          <w:b/>
          <w:bCs/>
          <w:color w:val="2E74B5" w:themeColor="accent1" w:themeShade="BF"/>
          <w:sz w:val="14"/>
          <w:szCs w:val="14"/>
        </w:rPr>
        <w:t xml:space="preserve">. </w:t>
      </w:r>
      <w:r w:rsidRPr="00AB72E0">
        <w:rPr>
          <w:color w:val="2E74B5" w:themeColor="accent1" w:themeShade="BF"/>
          <w:sz w:val="14"/>
          <w:szCs w:val="14"/>
        </w:rPr>
        <w:t>Sea extemporáneo por haber transcurrido el plazo establecido en el artículo 166 de la presente Ley</w:t>
      </w:r>
      <w:r w:rsidR="00143D8C" w:rsidRPr="00AB72E0">
        <w:rPr>
          <w:color w:val="2E74B5" w:themeColor="accent1" w:themeShade="BF"/>
          <w:sz w:val="14"/>
          <w:szCs w:val="14"/>
        </w:rPr>
        <w:t>; II.</w:t>
      </w:r>
      <w:r w:rsidRPr="00AB72E0">
        <w:rPr>
          <w:b/>
          <w:bCs/>
          <w:color w:val="2E74B5" w:themeColor="accent1" w:themeShade="BF"/>
          <w:sz w:val="14"/>
          <w:szCs w:val="14"/>
        </w:rPr>
        <w:t xml:space="preserve"> </w:t>
      </w:r>
      <w:r w:rsidRPr="00AB72E0">
        <w:rPr>
          <w:color w:val="2E74B5" w:themeColor="accent1" w:themeShade="BF"/>
          <w:sz w:val="14"/>
          <w:szCs w:val="14"/>
        </w:rPr>
        <w:t>Se esté tramitando ante el Poder Judicial algún recurso o medio de defensa interpuesto por el recurrente</w:t>
      </w:r>
      <w:r w:rsidR="00143D8C" w:rsidRPr="00AB72E0">
        <w:rPr>
          <w:color w:val="2E74B5" w:themeColor="accent1" w:themeShade="BF"/>
          <w:sz w:val="14"/>
          <w:szCs w:val="14"/>
        </w:rPr>
        <w:t>; III.</w:t>
      </w:r>
      <w:r w:rsidRPr="00AB72E0">
        <w:rPr>
          <w:b/>
          <w:bCs/>
          <w:color w:val="2E74B5" w:themeColor="accent1" w:themeShade="BF"/>
          <w:sz w:val="14"/>
          <w:szCs w:val="14"/>
        </w:rPr>
        <w:t xml:space="preserve"> </w:t>
      </w:r>
      <w:r w:rsidRPr="00AB72E0">
        <w:rPr>
          <w:color w:val="2E74B5" w:themeColor="accent1" w:themeShade="BF"/>
          <w:sz w:val="14"/>
          <w:szCs w:val="14"/>
        </w:rPr>
        <w:t>Se esté tramitando ante la CEGAIP algún recurso de revisión por el mismo quejoso en los mismos términos</w:t>
      </w:r>
      <w:r w:rsidR="00143D8C" w:rsidRPr="00AB72E0">
        <w:rPr>
          <w:color w:val="2E74B5" w:themeColor="accent1" w:themeShade="BF"/>
          <w:sz w:val="14"/>
          <w:szCs w:val="14"/>
        </w:rPr>
        <w:t>; IV.</w:t>
      </w:r>
      <w:r w:rsidRPr="00AB72E0">
        <w:rPr>
          <w:b/>
          <w:bCs/>
          <w:color w:val="2E74B5" w:themeColor="accent1" w:themeShade="BF"/>
          <w:sz w:val="14"/>
          <w:szCs w:val="14"/>
        </w:rPr>
        <w:t xml:space="preserve"> </w:t>
      </w:r>
      <w:r w:rsidRPr="00AB72E0">
        <w:rPr>
          <w:color w:val="2E74B5" w:themeColor="accent1" w:themeShade="BF"/>
          <w:sz w:val="14"/>
          <w:szCs w:val="14"/>
        </w:rPr>
        <w:t xml:space="preserve">No actualice alguno de los supuestos previstos en el artículo 167 de la presente </w:t>
      </w:r>
      <w:r w:rsidR="00143D8C" w:rsidRPr="00AB72E0">
        <w:rPr>
          <w:color w:val="2E74B5" w:themeColor="accent1" w:themeShade="BF"/>
          <w:sz w:val="14"/>
          <w:szCs w:val="14"/>
        </w:rPr>
        <w:t>Ley; V.</w:t>
      </w:r>
      <w:r w:rsidRPr="00AB72E0">
        <w:rPr>
          <w:b/>
          <w:bCs/>
          <w:color w:val="2E74B5" w:themeColor="accent1" w:themeShade="BF"/>
          <w:sz w:val="14"/>
          <w:szCs w:val="14"/>
        </w:rPr>
        <w:t xml:space="preserve"> </w:t>
      </w:r>
      <w:r w:rsidRPr="00AB72E0">
        <w:rPr>
          <w:color w:val="2E74B5" w:themeColor="accent1" w:themeShade="BF"/>
          <w:sz w:val="14"/>
          <w:szCs w:val="14"/>
        </w:rPr>
        <w:t xml:space="preserve">No se haya desahogado la prevención en los términos establecidos en el artículo 168 de la presente </w:t>
      </w:r>
      <w:r w:rsidR="00143D8C" w:rsidRPr="00AB72E0">
        <w:rPr>
          <w:color w:val="2E74B5" w:themeColor="accent1" w:themeShade="BF"/>
          <w:sz w:val="14"/>
          <w:szCs w:val="14"/>
        </w:rPr>
        <w:t>Ley; VI</w:t>
      </w:r>
      <w:r w:rsidRPr="00AB72E0">
        <w:rPr>
          <w:b/>
          <w:bCs/>
          <w:color w:val="2E74B5" w:themeColor="accent1" w:themeShade="BF"/>
          <w:sz w:val="14"/>
          <w:szCs w:val="14"/>
        </w:rPr>
        <w:t xml:space="preserve">. </w:t>
      </w:r>
      <w:r w:rsidRPr="00AB72E0">
        <w:rPr>
          <w:color w:val="2E74B5" w:themeColor="accent1" w:themeShade="BF"/>
          <w:sz w:val="14"/>
          <w:szCs w:val="14"/>
        </w:rPr>
        <w:t>Se impugne la veracidad de la información proporcionada</w:t>
      </w:r>
      <w:r w:rsidR="00143D8C" w:rsidRPr="00AB72E0">
        <w:rPr>
          <w:color w:val="2E74B5" w:themeColor="accent1" w:themeShade="BF"/>
          <w:sz w:val="14"/>
          <w:szCs w:val="14"/>
        </w:rPr>
        <w:t>; VII.</w:t>
      </w:r>
      <w:r w:rsidRPr="00AB72E0">
        <w:rPr>
          <w:b/>
          <w:bCs/>
          <w:color w:val="2E74B5" w:themeColor="accent1" w:themeShade="BF"/>
          <w:sz w:val="14"/>
          <w:szCs w:val="14"/>
        </w:rPr>
        <w:t xml:space="preserve"> </w:t>
      </w:r>
      <w:r w:rsidRPr="00AB72E0">
        <w:rPr>
          <w:color w:val="2E74B5" w:themeColor="accent1" w:themeShade="BF"/>
          <w:sz w:val="14"/>
          <w:szCs w:val="14"/>
        </w:rPr>
        <w:t xml:space="preserve">Se trate de una consulta, </w:t>
      </w:r>
      <w:r w:rsidR="00143D8C" w:rsidRPr="00AB72E0">
        <w:rPr>
          <w:color w:val="2E74B5" w:themeColor="accent1" w:themeShade="BF"/>
          <w:sz w:val="14"/>
          <w:szCs w:val="14"/>
        </w:rPr>
        <w:t>o VIII.</w:t>
      </w:r>
      <w:r w:rsidRPr="00AB72E0">
        <w:rPr>
          <w:b/>
          <w:bCs/>
          <w:color w:val="2E74B5" w:themeColor="accent1" w:themeShade="BF"/>
          <w:sz w:val="14"/>
          <w:szCs w:val="14"/>
        </w:rPr>
        <w:t xml:space="preserve"> </w:t>
      </w:r>
      <w:r w:rsidRPr="00AB72E0">
        <w:rPr>
          <w:color w:val="2E74B5" w:themeColor="accent1" w:themeShade="BF"/>
          <w:sz w:val="14"/>
          <w:szCs w:val="14"/>
        </w:rPr>
        <w:t>El recurrente amplíe su solicitud en el recurso de revisión, únicamente respecto de los nuevos contenidos.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0F1" w:rsidRPr="008850DE" w:rsidRDefault="008600DE" w:rsidP="00DA00F1">
    <w:pPr>
      <w:pStyle w:val="Encabezado"/>
      <w:tabs>
        <w:tab w:val="left" w:pos="3969"/>
      </w:tabs>
      <w:jc w:val="center"/>
      <w:rPr>
        <w:rFonts w:ascii="Arial" w:hAnsi="Arial" w:cs="Arial"/>
        <w:sz w:val="16"/>
        <w:szCs w:val="16"/>
      </w:rPr>
    </w:pPr>
    <w:r w:rsidRPr="00F23CCE">
      <w:rPr>
        <w:rFonts w:ascii="Arial" w:hAnsi="Arial" w:cs="Arial"/>
      </w:rPr>
      <w:t xml:space="preserve">                        </w:t>
    </w:r>
    <w:r>
      <w:rPr>
        <w:rFonts w:ascii="Arial" w:hAnsi="Arial" w:cs="Arial"/>
      </w:rPr>
      <w:t xml:space="preserve">                            </w:t>
    </w:r>
    <w:r w:rsidRPr="00F23CCE">
      <w:rPr>
        <w:rFonts w:ascii="Arial" w:hAnsi="Arial" w:cs="Arial"/>
      </w:rPr>
      <w:fldChar w:fldCharType="begin"/>
    </w:r>
    <w:r w:rsidRPr="00F23CCE">
      <w:rPr>
        <w:rFonts w:ascii="Arial" w:hAnsi="Arial" w:cs="Arial"/>
      </w:rPr>
      <w:instrText xml:space="preserve"> PAGE   \* MERGEFORMAT </w:instrText>
    </w:r>
    <w:r w:rsidRPr="00F23CCE">
      <w:rPr>
        <w:rFonts w:ascii="Arial" w:hAnsi="Arial" w:cs="Arial"/>
      </w:rPr>
      <w:fldChar w:fldCharType="separate"/>
    </w:r>
    <w:r w:rsidR="000B7400">
      <w:rPr>
        <w:rFonts w:ascii="Arial" w:hAnsi="Arial" w:cs="Arial"/>
        <w:noProof/>
      </w:rPr>
      <w:t>11</w:t>
    </w:r>
    <w:r w:rsidRPr="00F23CCE">
      <w:rPr>
        <w:rFonts w:ascii="Arial" w:hAnsi="Arial" w:cs="Arial"/>
      </w:rPr>
      <w:fldChar w:fldCharType="end"/>
    </w:r>
    <w:r>
      <w:rPr>
        <w:rFonts w:ascii="Arial" w:hAnsi="Arial" w:cs="Arial"/>
      </w:rPr>
      <w:t xml:space="preserve">                          </w:t>
    </w:r>
    <w:r w:rsidRPr="00AB72E0">
      <w:rPr>
        <w:rFonts w:ascii="Arial" w:hAnsi="Arial" w:cs="Arial"/>
        <w:color w:val="2E74B5" w:themeColor="accent1" w:themeShade="BF"/>
        <w:sz w:val="16"/>
        <w:szCs w:val="16"/>
      </w:rPr>
      <w:t xml:space="preserve">RECURSO DE REVISIÓN  </w:t>
    </w:r>
    <w:r w:rsidR="00884D7B" w:rsidRPr="00AB72E0">
      <w:rPr>
        <w:rFonts w:ascii="Arial" w:hAnsi="Arial" w:cs="Arial"/>
        <w:color w:val="2E74B5" w:themeColor="accent1" w:themeShade="BF"/>
        <w:sz w:val="16"/>
        <w:szCs w:val="16"/>
      </w:rPr>
      <w:t>506/2018-2</w:t>
    </w:r>
  </w:p>
  <w:p w:rsidR="00DA00F1" w:rsidRDefault="0034428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351764B0"/>
    <w:multiLevelType w:val="hybridMultilevel"/>
    <w:tmpl w:val="1294FA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D7B"/>
    <w:rsid w:val="0006517C"/>
    <w:rsid w:val="000B7400"/>
    <w:rsid w:val="0011257C"/>
    <w:rsid w:val="00143D8C"/>
    <w:rsid w:val="00241A3A"/>
    <w:rsid w:val="0029690D"/>
    <w:rsid w:val="002B4137"/>
    <w:rsid w:val="002C0C01"/>
    <w:rsid w:val="0034428F"/>
    <w:rsid w:val="003C02B3"/>
    <w:rsid w:val="003C4C69"/>
    <w:rsid w:val="00400D4F"/>
    <w:rsid w:val="00465EC0"/>
    <w:rsid w:val="00485B18"/>
    <w:rsid w:val="004F2A93"/>
    <w:rsid w:val="00515B11"/>
    <w:rsid w:val="005C1995"/>
    <w:rsid w:val="00685E2A"/>
    <w:rsid w:val="006E692D"/>
    <w:rsid w:val="00723719"/>
    <w:rsid w:val="00753287"/>
    <w:rsid w:val="007816F0"/>
    <w:rsid w:val="00790280"/>
    <w:rsid w:val="007C0210"/>
    <w:rsid w:val="008600DE"/>
    <w:rsid w:val="00884D7B"/>
    <w:rsid w:val="00890448"/>
    <w:rsid w:val="00995B21"/>
    <w:rsid w:val="009D5CF2"/>
    <w:rsid w:val="00A05D03"/>
    <w:rsid w:val="00A230FA"/>
    <w:rsid w:val="00A40225"/>
    <w:rsid w:val="00A81CD8"/>
    <w:rsid w:val="00AB4366"/>
    <w:rsid w:val="00AB72E0"/>
    <w:rsid w:val="00B22682"/>
    <w:rsid w:val="00B741D3"/>
    <w:rsid w:val="00BB2777"/>
    <w:rsid w:val="00BD6E8A"/>
    <w:rsid w:val="00C5711C"/>
    <w:rsid w:val="00D651B7"/>
    <w:rsid w:val="00D86FC4"/>
    <w:rsid w:val="00DA7E19"/>
    <w:rsid w:val="00DE53CB"/>
    <w:rsid w:val="00E009A8"/>
    <w:rsid w:val="00E704C4"/>
    <w:rsid w:val="00EB02A7"/>
    <w:rsid w:val="00F140C8"/>
    <w:rsid w:val="00F30FEF"/>
    <w:rsid w:val="00FA0ABD"/>
    <w:rsid w:val="00FE7A5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EC3B"/>
  <w15:chartTrackingRefBased/>
  <w15:docId w15:val="{4B451800-ABEA-457A-8173-314E8650C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D7B"/>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884D7B"/>
    <w:pPr>
      <w:spacing w:after="0" w:line="240" w:lineRule="auto"/>
      <w:ind w:left="2552"/>
    </w:pPr>
    <w:rPr>
      <w:rFonts w:ascii="Arial" w:eastAsia="Times New Roman" w:hAnsi="Arial"/>
      <w:b/>
      <w:caps/>
      <w:sz w:val="30"/>
      <w:szCs w:val="20"/>
      <w:lang w:val="x-none" w:eastAsia="es-MX"/>
    </w:rPr>
  </w:style>
  <w:style w:type="paragraph" w:customStyle="1" w:styleId="corte2ponente">
    <w:name w:val="corte2 ponente"/>
    <w:basedOn w:val="Normal"/>
    <w:link w:val="corte2ponenteCar"/>
    <w:uiPriority w:val="99"/>
    <w:rsid w:val="00884D7B"/>
    <w:pPr>
      <w:spacing w:after="0" w:line="240" w:lineRule="auto"/>
    </w:pPr>
    <w:rPr>
      <w:rFonts w:ascii="Arial" w:eastAsia="Times New Roman" w:hAnsi="Arial"/>
      <w:b/>
      <w:caps/>
      <w:sz w:val="30"/>
      <w:szCs w:val="20"/>
      <w:lang w:val="x-none" w:eastAsia="es-MX"/>
    </w:rPr>
  </w:style>
  <w:style w:type="paragraph" w:customStyle="1" w:styleId="corte4fondo">
    <w:name w:val="corte4 fondo"/>
    <w:basedOn w:val="Normal"/>
    <w:link w:val="corte4fondoCar1"/>
    <w:qFormat/>
    <w:rsid w:val="00884D7B"/>
    <w:pPr>
      <w:spacing w:after="0" w:line="360" w:lineRule="auto"/>
      <w:ind w:firstLine="709"/>
      <w:jc w:val="both"/>
    </w:pPr>
    <w:rPr>
      <w:rFonts w:ascii="Arial" w:eastAsia="Times New Roman" w:hAnsi="Arial"/>
      <w:sz w:val="30"/>
      <w:szCs w:val="20"/>
      <w:lang w:val="x-none" w:eastAsia="es-MX"/>
    </w:rPr>
  </w:style>
  <w:style w:type="character" w:customStyle="1" w:styleId="corte2ponenteCar">
    <w:name w:val="corte2 ponente Car"/>
    <w:link w:val="corte2ponente"/>
    <w:uiPriority w:val="99"/>
    <w:rsid w:val="00884D7B"/>
    <w:rPr>
      <w:rFonts w:ascii="Arial" w:eastAsia="Times New Roman" w:hAnsi="Arial" w:cs="Times New Roman"/>
      <w:b/>
      <w:caps/>
      <w:sz w:val="30"/>
      <w:szCs w:val="20"/>
      <w:lang w:val="x-none" w:eastAsia="es-MX"/>
    </w:rPr>
  </w:style>
  <w:style w:type="character" w:customStyle="1" w:styleId="corte4fondoCar1">
    <w:name w:val="corte4 fondo Car1"/>
    <w:link w:val="corte4fondo"/>
    <w:rsid w:val="00884D7B"/>
    <w:rPr>
      <w:rFonts w:ascii="Arial" w:eastAsia="Times New Roman" w:hAnsi="Arial" w:cs="Times New Roman"/>
      <w:sz w:val="30"/>
      <w:szCs w:val="20"/>
      <w:lang w:val="x-none" w:eastAsia="es-MX"/>
    </w:rPr>
  </w:style>
  <w:style w:type="character" w:customStyle="1" w:styleId="corte1datosCar">
    <w:name w:val="corte1 datos Car"/>
    <w:link w:val="corte1datos"/>
    <w:rsid w:val="00884D7B"/>
    <w:rPr>
      <w:rFonts w:ascii="Arial" w:eastAsia="Times New Roman" w:hAnsi="Arial" w:cs="Times New Roman"/>
      <w:b/>
      <w:caps/>
      <w:sz w:val="30"/>
      <w:szCs w:val="20"/>
      <w:lang w:val="x-none" w:eastAsia="es-MX"/>
    </w:rPr>
  </w:style>
  <w:style w:type="paragraph" w:styleId="Encabezado">
    <w:name w:val="header"/>
    <w:basedOn w:val="Normal"/>
    <w:link w:val="EncabezadoCar"/>
    <w:unhideWhenUsed/>
    <w:rsid w:val="00884D7B"/>
    <w:pPr>
      <w:tabs>
        <w:tab w:val="center" w:pos="4419"/>
        <w:tab w:val="right" w:pos="8838"/>
      </w:tabs>
      <w:spacing w:after="0" w:line="240" w:lineRule="auto"/>
    </w:pPr>
  </w:style>
  <w:style w:type="character" w:customStyle="1" w:styleId="EncabezadoCar">
    <w:name w:val="Encabezado Car"/>
    <w:basedOn w:val="Fuentedeprrafopredeter"/>
    <w:link w:val="Encabezado"/>
    <w:rsid w:val="00884D7B"/>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884D7B"/>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884D7B"/>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884D7B"/>
    <w:rPr>
      <w:rFonts w:ascii="Calibri" w:eastAsia="Calibri" w:hAnsi="Calibri" w:cs="Times New Roman"/>
      <w:sz w:val="20"/>
      <w:szCs w:val="20"/>
    </w:rPr>
  </w:style>
  <w:style w:type="paragraph" w:styleId="NormalWeb">
    <w:name w:val="Normal (Web)"/>
    <w:basedOn w:val="Normal"/>
    <w:uiPriority w:val="99"/>
    <w:rsid w:val="00884D7B"/>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Default">
    <w:name w:val="Default"/>
    <w:rsid w:val="00884D7B"/>
    <w:pPr>
      <w:autoSpaceDE w:val="0"/>
      <w:autoSpaceDN w:val="0"/>
      <w:adjustRightInd w:val="0"/>
      <w:spacing w:after="0" w:line="240" w:lineRule="auto"/>
    </w:pPr>
    <w:rPr>
      <w:rFonts w:ascii="Arial" w:eastAsia="Calibri" w:hAnsi="Arial" w:cs="Arial"/>
      <w:color w:val="000000"/>
      <w:sz w:val="24"/>
      <w:szCs w:val="24"/>
      <w:lang w:eastAsia="es-MX"/>
    </w:rPr>
  </w:style>
  <w:style w:type="paragraph" w:styleId="Piedepgina">
    <w:name w:val="footer"/>
    <w:basedOn w:val="Normal"/>
    <w:link w:val="PiedepginaCar"/>
    <w:uiPriority w:val="99"/>
    <w:unhideWhenUsed/>
    <w:rsid w:val="00884D7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84D7B"/>
    <w:rPr>
      <w:rFonts w:ascii="Calibri" w:eastAsia="Calibri" w:hAnsi="Calibri" w:cs="Times New Roman"/>
    </w:rPr>
  </w:style>
  <w:style w:type="table" w:styleId="Tablaconcuadrcula">
    <w:name w:val="Table Grid"/>
    <w:basedOn w:val="Tablanormal"/>
    <w:uiPriority w:val="39"/>
    <w:rsid w:val="00AB4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11</Pages>
  <Words>4446</Words>
  <Characters>24454</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21</cp:revision>
  <dcterms:created xsi:type="dcterms:W3CDTF">2018-09-07T16:22:00Z</dcterms:created>
  <dcterms:modified xsi:type="dcterms:W3CDTF">2018-09-20T19:20:00Z</dcterms:modified>
</cp:coreProperties>
</file>