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0D7C" w:rsidRPr="00813052" w:rsidRDefault="00E30D7C" w:rsidP="00E30D7C">
      <w:pPr>
        <w:spacing w:after="120" w:line="360" w:lineRule="auto"/>
        <w:jc w:val="both"/>
        <w:rPr>
          <w:rFonts w:ascii="Arial" w:hAnsi="Arial" w:cs="Arial"/>
          <w:sz w:val="24"/>
          <w:szCs w:val="24"/>
        </w:rPr>
      </w:pPr>
      <w:r>
        <w:rPr>
          <w:rFonts w:ascii="Arial" w:hAnsi="Arial" w:cs="Arial"/>
          <w:sz w:val="24"/>
          <w:szCs w:val="24"/>
        </w:rPr>
        <w:t>La Junta D</w:t>
      </w:r>
      <w:r w:rsidRPr="00813052">
        <w:rPr>
          <w:rFonts w:ascii="Arial" w:hAnsi="Arial" w:cs="Arial"/>
          <w:sz w:val="24"/>
          <w:szCs w:val="24"/>
        </w:rPr>
        <w:t>irectiva del Instituto Tecnológico Superior de Tamazunchale con fundamento en lo establecido por los artículos 56 de la Ley Orgánica del Poder Ejecutivo del Estado de San Luis Potosí y 7° fracción IV del D</w:t>
      </w:r>
      <w:bookmarkStart w:id="0" w:name="_GoBack"/>
      <w:bookmarkEnd w:id="0"/>
      <w:r w:rsidRPr="00813052">
        <w:rPr>
          <w:rFonts w:ascii="Arial" w:hAnsi="Arial" w:cs="Arial"/>
          <w:sz w:val="24"/>
          <w:szCs w:val="24"/>
        </w:rPr>
        <w:t xml:space="preserve">ecreto que Crea el Instituto Tecnológico Superior de Tamazunchale, </w:t>
      </w:r>
      <w:r>
        <w:rPr>
          <w:rFonts w:ascii="Arial" w:hAnsi="Arial" w:cs="Arial"/>
          <w:sz w:val="24"/>
          <w:szCs w:val="24"/>
        </w:rPr>
        <w:t xml:space="preserve">S.L.P. </w:t>
      </w:r>
      <w:r w:rsidRPr="00813052">
        <w:rPr>
          <w:rFonts w:ascii="Arial" w:hAnsi="Arial" w:cs="Arial"/>
          <w:sz w:val="24"/>
          <w:szCs w:val="24"/>
        </w:rPr>
        <w:t>ha tenido a bien expedir el siguiente:</w:t>
      </w:r>
    </w:p>
    <w:p w:rsidR="00E30D7C" w:rsidRPr="00813052" w:rsidRDefault="00E30D7C" w:rsidP="00E30D7C">
      <w:pPr>
        <w:spacing w:after="120" w:line="360" w:lineRule="auto"/>
        <w:jc w:val="center"/>
        <w:rPr>
          <w:rFonts w:ascii="Arial" w:hAnsi="Arial" w:cs="Arial"/>
          <w:b/>
          <w:sz w:val="24"/>
          <w:szCs w:val="24"/>
        </w:rPr>
      </w:pPr>
      <w:r w:rsidRPr="00813052">
        <w:rPr>
          <w:rFonts w:ascii="Arial" w:hAnsi="Arial" w:cs="Arial"/>
          <w:b/>
          <w:sz w:val="24"/>
          <w:szCs w:val="24"/>
        </w:rPr>
        <w:t>REGLAMENTO INTERIOR</w:t>
      </w:r>
    </w:p>
    <w:p w:rsidR="00E30D7C" w:rsidRPr="00813052" w:rsidRDefault="00E30D7C" w:rsidP="00E30D7C">
      <w:pPr>
        <w:spacing w:after="120" w:line="360" w:lineRule="auto"/>
        <w:jc w:val="center"/>
        <w:rPr>
          <w:rFonts w:ascii="Arial" w:hAnsi="Arial" w:cs="Arial"/>
          <w:b/>
          <w:sz w:val="24"/>
          <w:szCs w:val="24"/>
        </w:rPr>
      </w:pPr>
      <w:r w:rsidRPr="00813052">
        <w:rPr>
          <w:rFonts w:ascii="Arial" w:hAnsi="Arial" w:cs="Arial"/>
          <w:b/>
          <w:sz w:val="24"/>
          <w:szCs w:val="24"/>
        </w:rPr>
        <w:t>DEL INSTITUTO TECNOLÓGICO SUPERIOR DE TAMAZUNCHALE</w:t>
      </w:r>
    </w:p>
    <w:p w:rsidR="00E30D7C" w:rsidRPr="00000A73" w:rsidRDefault="00E30D7C" w:rsidP="00E30D7C">
      <w:pPr>
        <w:spacing w:after="120" w:line="360" w:lineRule="auto"/>
        <w:jc w:val="center"/>
        <w:rPr>
          <w:rFonts w:ascii="Arial" w:hAnsi="Arial" w:cs="Arial"/>
          <w:b/>
          <w:sz w:val="24"/>
          <w:szCs w:val="24"/>
        </w:rPr>
      </w:pPr>
      <w:r w:rsidRPr="00000A73">
        <w:rPr>
          <w:rFonts w:ascii="Arial" w:hAnsi="Arial" w:cs="Arial"/>
          <w:b/>
          <w:sz w:val="24"/>
          <w:szCs w:val="24"/>
        </w:rPr>
        <w:t>CAPÍTULO III</w:t>
      </w:r>
    </w:p>
    <w:p w:rsidR="00E30D7C" w:rsidRPr="00000A73" w:rsidRDefault="00E30D7C" w:rsidP="00E30D7C">
      <w:pPr>
        <w:spacing w:after="120" w:line="360" w:lineRule="auto"/>
        <w:jc w:val="center"/>
        <w:rPr>
          <w:rFonts w:ascii="Arial" w:hAnsi="Arial" w:cs="Arial"/>
          <w:b/>
          <w:sz w:val="24"/>
          <w:szCs w:val="24"/>
        </w:rPr>
      </w:pPr>
      <w:r w:rsidRPr="00000A73">
        <w:rPr>
          <w:rFonts w:ascii="Arial" w:hAnsi="Arial" w:cs="Arial"/>
          <w:b/>
          <w:sz w:val="24"/>
          <w:szCs w:val="24"/>
        </w:rPr>
        <w:t>DEL DIRECTOR GENERAL</w:t>
      </w:r>
    </w:p>
    <w:p w:rsidR="00E30D7C" w:rsidRPr="00000A73" w:rsidRDefault="00E30D7C" w:rsidP="00E30D7C">
      <w:pPr>
        <w:spacing w:after="120" w:line="360" w:lineRule="auto"/>
        <w:jc w:val="both"/>
        <w:rPr>
          <w:rFonts w:ascii="Arial" w:hAnsi="Arial" w:cs="Arial"/>
          <w:sz w:val="24"/>
          <w:szCs w:val="24"/>
        </w:rPr>
      </w:pPr>
      <w:r w:rsidRPr="00000A73">
        <w:rPr>
          <w:rFonts w:ascii="Arial" w:hAnsi="Arial" w:cs="Arial"/>
          <w:b/>
          <w:sz w:val="24"/>
          <w:szCs w:val="24"/>
        </w:rPr>
        <w:t>Artículo 9°</w:t>
      </w:r>
      <w:r w:rsidRPr="00000A73">
        <w:rPr>
          <w:rFonts w:ascii="Arial" w:hAnsi="Arial" w:cs="Arial"/>
          <w:sz w:val="24"/>
          <w:szCs w:val="24"/>
        </w:rPr>
        <w:t>. El Director General del Instituto, además de las atribuciones que le confiere el artículo 15 del Decreto de creación, tendrá las siguientes:</w:t>
      </w:r>
    </w:p>
    <w:p w:rsidR="00E30D7C" w:rsidRPr="00000A73" w:rsidRDefault="00E30D7C" w:rsidP="00E30D7C">
      <w:pPr>
        <w:pStyle w:val="Prrafodelista"/>
        <w:numPr>
          <w:ilvl w:val="0"/>
          <w:numId w:val="1"/>
        </w:numPr>
        <w:spacing w:after="120" w:line="360" w:lineRule="auto"/>
        <w:jc w:val="both"/>
        <w:rPr>
          <w:rFonts w:ascii="Arial" w:hAnsi="Arial" w:cs="Arial"/>
          <w:sz w:val="24"/>
          <w:szCs w:val="24"/>
        </w:rPr>
      </w:pPr>
      <w:r w:rsidRPr="00000A73">
        <w:rPr>
          <w:rFonts w:ascii="Arial" w:hAnsi="Arial" w:cs="Arial"/>
          <w:sz w:val="24"/>
          <w:szCs w:val="24"/>
        </w:rPr>
        <w:t>Acordar con los titulares de las unidades administrativas y con los servidores públicos el despacho de los asuntos de la competencia de éstos, cuando así lo considere necesario;</w:t>
      </w:r>
    </w:p>
    <w:p w:rsidR="00E30D7C" w:rsidRPr="00000A73" w:rsidRDefault="00E30D7C" w:rsidP="00E30D7C">
      <w:pPr>
        <w:pStyle w:val="Prrafodelista"/>
        <w:numPr>
          <w:ilvl w:val="0"/>
          <w:numId w:val="1"/>
        </w:numPr>
        <w:spacing w:after="120" w:line="360" w:lineRule="auto"/>
        <w:jc w:val="both"/>
        <w:rPr>
          <w:rFonts w:ascii="Arial" w:hAnsi="Arial" w:cs="Arial"/>
          <w:sz w:val="24"/>
          <w:szCs w:val="24"/>
        </w:rPr>
      </w:pPr>
      <w:r w:rsidRPr="00000A73">
        <w:rPr>
          <w:rFonts w:ascii="Arial" w:hAnsi="Arial" w:cs="Arial"/>
          <w:sz w:val="24"/>
          <w:szCs w:val="24"/>
        </w:rPr>
        <w:t>Definir las políticas de instrumentación de los sistemas de control que fueren necesarios, tomando las acciones correspondientes para corregir las deficiencias que se detectaran y presentar a la Junta Directiva informes periódicos sobre el cumplimiento de los objetivos del sistema de control, su funcionamiento y programa de mejoramiento;</w:t>
      </w:r>
    </w:p>
    <w:p w:rsidR="00E30D7C" w:rsidRPr="00000A73" w:rsidRDefault="00E30D7C" w:rsidP="00E30D7C">
      <w:pPr>
        <w:pStyle w:val="Prrafodelista"/>
        <w:numPr>
          <w:ilvl w:val="0"/>
          <w:numId w:val="1"/>
        </w:numPr>
        <w:spacing w:after="120" w:line="360" w:lineRule="auto"/>
        <w:jc w:val="both"/>
        <w:rPr>
          <w:rFonts w:ascii="Arial" w:hAnsi="Arial" w:cs="Arial"/>
          <w:sz w:val="24"/>
          <w:szCs w:val="24"/>
        </w:rPr>
      </w:pPr>
      <w:r w:rsidRPr="00000A73">
        <w:rPr>
          <w:rFonts w:ascii="Arial" w:hAnsi="Arial" w:cs="Arial"/>
          <w:sz w:val="24"/>
          <w:szCs w:val="24"/>
        </w:rPr>
        <w:t>Proponer a  la Junta Directiva para su aprobación, de conformidad con normatividad, políticas, bases y programas generales, que reglen, los convenios, contratos o acuerdos que debe celebrar el Instituto con terceros en obras públicas, adquisiciones, arrendamientos y prestación de servicios de cualquier naturaleza;</w:t>
      </w:r>
    </w:p>
    <w:p w:rsidR="00E30D7C" w:rsidRPr="00000A73" w:rsidRDefault="00E30D7C" w:rsidP="00E30D7C">
      <w:pPr>
        <w:pStyle w:val="Prrafodelista"/>
        <w:numPr>
          <w:ilvl w:val="0"/>
          <w:numId w:val="1"/>
        </w:numPr>
        <w:spacing w:after="120" w:line="360" w:lineRule="auto"/>
        <w:jc w:val="both"/>
        <w:rPr>
          <w:rFonts w:ascii="Arial" w:hAnsi="Arial" w:cs="Arial"/>
          <w:sz w:val="24"/>
          <w:szCs w:val="24"/>
        </w:rPr>
      </w:pPr>
      <w:r w:rsidRPr="00000A73">
        <w:rPr>
          <w:rFonts w:ascii="Arial" w:hAnsi="Arial" w:cs="Arial"/>
          <w:sz w:val="24"/>
          <w:szCs w:val="24"/>
        </w:rPr>
        <w:t>Proporcionar al Comisario Público designado por la Contraloría General del Estado, las facilidades e informes necesarios para el desempeño de su función.</w:t>
      </w:r>
    </w:p>
    <w:p w:rsidR="00E30D7C" w:rsidRPr="00000A73" w:rsidRDefault="00E30D7C" w:rsidP="00E30D7C">
      <w:pPr>
        <w:pStyle w:val="Prrafodelista"/>
        <w:numPr>
          <w:ilvl w:val="0"/>
          <w:numId w:val="1"/>
        </w:numPr>
        <w:spacing w:after="120" w:line="360" w:lineRule="auto"/>
        <w:jc w:val="both"/>
        <w:rPr>
          <w:rFonts w:ascii="Arial" w:hAnsi="Arial" w:cs="Arial"/>
          <w:sz w:val="24"/>
          <w:szCs w:val="24"/>
        </w:rPr>
      </w:pPr>
      <w:r w:rsidRPr="00000A73">
        <w:rPr>
          <w:rFonts w:ascii="Arial" w:hAnsi="Arial" w:cs="Arial"/>
          <w:sz w:val="24"/>
          <w:szCs w:val="24"/>
        </w:rPr>
        <w:t>Implementar las acciones necesarias para el cumplimiento del Sistema Integral de Archivos de acuerdo a la normatividad en la materia;</w:t>
      </w:r>
    </w:p>
    <w:p w:rsidR="00E30D7C" w:rsidRPr="00000A73" w:rsidRDefault="00E30D7C" w:rsidP="00E30D7C">
      <w:pPr>
        <w:pStyle w:val="Prrafodelista"/>
        <w:numPr>
          <w:ilvl w:val="0"/>
          <w:numId w:val="1"/>
        </w:numPr>
        <w:spacing w:after="120" w:line="360" w:lineRule="auto"/>
        <w:jc w:val="both"/>
        <w:rPr>
          <w:rFonts w:ascii="Arial" w:hAnsi="Arial" w:cs="Arial"/>
          <w:sz w:val="24"/>
          <w:szCs w:val="24"/>
        </w:rPr>
      </w:pPr>
      <w:r w:rsidRPr="00000A73">
        <w:rPr>
          <w:rFonts w:ascii="Arial" w:hAnsi="Arial" w:cs="Arial"/>
          <w:sz w:val="24"/>
          <w:szCs w:val="24"/>
        </w:rPr>
        <w:lastRenderedPageBreak/>
        <w:t>Presentar a la Junta Directiva los informes de las auditorías, revisiones, investigaciones y fiscalizaciones que lleve a cabo el Órgano de Control a través del Comisario Público designado por la Contraloría General del Estado;</w:t>
      </w:r>
    </w:p>
    <w:p w:rsidR="00E30D7C" w:rsidRPr="00000A73" w:rsidRDefault="00E30D7C" w:rsidP="00E30D7C">
      <w:pPr>
        <w:pStyle w:val="Prrafodelista"/>
        <w:numPr>
          <w:ilvl w:val="0"/>
          <w:numId w:val="1"/>
        </w:numPr>
        <w:spacing w:after="120" w:line="360" w:lineRule="auto"/>
        <w:jc w:val="both"/>
        <w:rPr>
          <w:rFonts w:ascii="Arial" w:hAnsi="Arial" w:cs="Arial"/>
          <w:sz w:val="24"/>
          <w:szCs w:val="24"/>
        </w:rPr>
      </w:pPr>
      <w:r w:rsidRPr="00000A73">
        <w:rPr>
          <w:rFonts w:ascii="Arial" w:hAnsi="Arial" w:cs="Arial"/>
          <w:sz w:val="24"/>
          <w:szCs w:val="24"/>
        </w:rPr>
        <w:t>Coordinar la implementación de mecanismos que contribuyan a garantizar el acceso de los ciudadanos a la información carácter público del Instituto en el marco de lo dispuesto en la Ley de Acceso a la Información Pública del Estado de San Luis Potosí y sus lineamientos;</w:t>
      </w:r>
    </w:p>
    <w:p w:rsidR="00E30D7C" w:rsidRPr="00000A73" w:rsidRDefault="00E30D7C" w:rsidP="00E30D7C">
      <w:pPr>
        <w:pStyle w:val="Prrafodelista"/>
        <w:numPr>
          <w:ilvl w:val="0"/>
          <w:numId w:val="1"/>
        </w:numPr>
        <w:spacing w:after="120" w:line="360" w:lineRule="auto"/>
        <w:jc w:val="both"/>
        <w:rPr>
          <w:rFonts w:ascii="Arial" w:hAnsi="Arial" w:cs="Arial"/>
          <w:sz w:val="24"/>
          <w:szCs w:val="24"/>
        </w:rPr>
      </w:pPr>
      <w:r w:rsidRPr="00000A73">
        <w:rPr>
          <w:rFonts w:ascii="Arial" w:hAnsi="Arial" w:cs="Arial"/>
          <w:sz w:val="24"/>
          <w:szCs w:val="24"/>
        </w:rPr>
        <w:t>Someter a la consideración de la Junta Directiva a más tardar en la primera quincena del mes de octubre de cada año, el Anteproyecto del Programa de Presupuesto de la entidad, así como el Programa Operativo Anual del instituto, mismo que deberá elaborarse de conformidad con la legislación aplicable; y</w:t>
      </w:r>
    </w:p>
    <w:p w:rsidR="00E30D7C" w:rsidRPr="00000A73" w:rsidRDefault="00E30D7C" w:rsidP="00E30D7C">
      <w:pPr>
        <w:pStyle w:val="Prrafodelista"/>
        <w:numPr>
          <w:ilvl w:val="0"/>
          <w:numId w:val="1"/>
        </w:numPr>
        <w:spacing w:after="120" w:line="360" w:lineRule="auto"/>
        <w:jc w:val="both"/>
        <w:rPr>
          <w:rFonts w:ascii="Arial" w:hAnsi="Arial" w:cs="Arial"/>
          <w:sz w:val="24"/>
          <w:szCs w:val="24"/>
        </w:rPr>
      </w:pPr>
      <w:r w:rsidRPr="00000A73">
        <w:rPr>
          <w:rFonts w:ascii="Arial" w:hAnsi="Arial" w:cs="Arial"/>
          <w:sz w:val="24"/>
          <w:szCs w:val="24"/>
        </w:rPr>
        <w:t>Las demás que le confieran otras disposiciones normativas, así como las que expresamente le encomiende la Junta Directiva.</w:t>
      </w:r>
    </w:p>
    <w:p w:rsidR="00BB0D62" w:rsidRDefault="00BB0D62"/>
    <w:sectPr w:rsidR="00BB0D62">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66A5" w:rsidRDefault="00B266A5" w:rsidP="00E30D7C">
      <w:pPr>
        <w:spacing w:after="0" w:line="240" w:lineRule="auto"/>
      </w:pPr>
      <w:r>
        <w:separator/>
      </w:r>
    </w:p>
  </w:endnote>
  <w:endnote w:type="continuationSeparator" w:id="0">
    <w:p w:rsidR="00B266A5" w:rsidRDefault="00B266A5" w:rsidP="00E30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66A5" w:rsidRDefault="00B266A5" w:rsidP="00E30D7C">
      <w:pPr>
        <w:spacing w:after="0" w:line="240" w:lineRule="auto"/>
      </w:pPr>
      <w:r>
        <w:separator/>
      </w:r>
    </w:p>
  </w:footnote>
  <w:footnote w:type="continuationSeparator" w:id="0">
    <w:p w:rsidR="00B266A5" w:rsidRDefault="00B266A5" w:rsidP="00E30D7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0D7C" w:rsidRPr="00E30D7C" w:rsidRDefault="00E30D7C" w:rsidP="00E30D7C">
    <w:pPr>
      <w:pStyle w:val="Encabezado"/>
      <w:jc w:val="center"/>
      <w:rPr>
        <w:b/>
        <w:sz w:val="44"/>
        <w:u w:val="single"/>
      </w:rPr>
    </w:pPr>
    <w:r w:rsidRPr="00E30D7C">
      <w:rPr>
        <w:b/>
        <w:sz w:val="28"/>
        <w:u w:val="single"/>
      </w:rPr>
      <w:t>Fragmento de la norma que establece las facultades que correspondan a cada área.</w:t>
    </w:r>
  </w:p>
  <w:p w:rsidR="00E30D7C" w:rsidRPr="00E30D7C" w:rsidRDefault="00E30D7C">
    <w:pPr>
      <w:pStyle w:val="Encabezado"/>
      <w:rPr>
        <w:b/>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E785E5C"/>
    <w:multiLevelType w:val="hybridMultilevel"/>
    <w:tmpl w:val="2CDAF01C"/>
    <w:lvl w:ilvl="0" w:tplc="5ECC375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D7C"/>
    <w:rsid w:val="00B266A5"/>
    <w:rsid w:val="00BB0D62"/>
    <w:rsid w:val="00E30D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5765BA1-8BBB-47C3-9931-37A69E5AA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0D7C"/>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30D7C"/>
    <w:pPr>
      <w:ind w:left="720"/>
      <w:contextualSpacing/>
    </w:pPr>
  </w:style>
  <w:style w:type="paragraph" w:styleId="Encabezado">
    <w:name w:val="header"/>
    <w:basedOn w:val="Normal"/>
    <w:link w:val="EncabezadoCar"/>
    <w:uiPriority w:val="99"/>
    <w:unhideWhenUsed/>
    <w:rsid w:val="00E30D7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30D7C"/>
    <w:rPr>
      <w:rFonts w:eastAsiaTheme="minorEastAsia"/>
      <w:lang w:eastAsia="es-MX"/>
    </w:rPr>
  </w:style>
  <w:style w:type="paragraph" w:styleId="Piedepgina">
    <w:name w:val="footer"/>
    <w:basedOn w:val="Normal"/>
    <w:link w:val="PiedepginaCar"/>
    <w:uiPriority w:val="99"/>
    <w:unhideWhenUsed/>
    <w:rsid w:val="00E30D7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30D7C"/>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405</Words>
  <Characters>2228</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fragmento de la norma que establece las facultades que correspondan a cada área</dc:title>
  <dc:subject/>
  <dc:creator>RECHUM</dc:creator>
  <cp:keywords/>
  <dc:description/>
  <cp:lastModifiedBy>RECHUM</cp:lastModifiedBy>
  <cp:revision>1</cp:revision>
  <dcterms:created xsi:type="dcterms:W3CDTF">2018-07-09T14:35:00Z</dcterms:created>
  <dcterms:modified xsi:type="dcterms:W3CDTF">2018-07-09T14:39:00Z</dcterms:modified>
</cp:coreProperties>
</file>