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4428D375"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w:t>
      </w:r>
      <w:r w:rsidR="00BA3AE6">
        <w:rPr>
          <w:rFonts w:ascii="Arial" w:hAnsi="Arial" w:cs="Arial"/>
          <w:b/>
          <w:sz w:val="20"/>
          <w:szCs w:val="20"/>
        </w:rPr>
        <w:t>30</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090820">
        <w:rPr>
          <w:rFonts w:ascii="Arial" w:hAnsi="Arial" w:cs="Arial"/>
          <w:b/>
          <w:sz w:val="20"/>
          <w:szCs w:val="20"/>
        </w:rPr>
        <w:t xml:space="preserve"> </w:t>
      </w:r>
      <w:r w:rsidR="007A583A">
        <w:rPr>
          <w:rFonts w:ascii="Arial" w:hAnsi="Arial" w:cs="Arial"/>
          <w:b/>
          <w:sz w:val="20"/>
          <w:szCs w:val="20"/>
        </w:rPr>
        <w:t>TITULAR DE DIRECCION GENERAL DE PENSIONES</w:t>
      </w:r>
      <w:r w:rsidR="00944CE0" w:rsidRPr="00944CE0">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2FB663F1"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r w:rsidR="00090820">
        <w:rPr>
          <w:rFonts w:ascii="Arial" w:hAnsi="Arial" w:cs="Arial"/>
          <w:b/>
          <w:sz w:val="20"/>
          <w:szCs w:val="20"/>
          <w:lang w:val="es-MX"/>
        </w:rPr>
        <w:t xml:space="preserve"> </w:t>
      </w:r>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12D16B3B"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w:t>
      </w:r>
      <w:r w:rsidR="007A583A">
        <w:rPr>
          <w:rFonts w:ascii="Arial" w:hAnsi="Arial" w:cs="Arial"/>
          <w:b/>
          <w:sz w:val="20"/>
          <w:szCs w:val="20"/>
        </w:rPr>
        <w:t>31</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w:t>
      </w:r>
      <w:r w:rsidR="00A607E4">
        <w:rPr>
          <w:rFonts w:ascii="Arial" w:hAnsi="Arial" w:cs="Arial"/>
          <w:b/>
          <w:sz w:val="20"/>
          <w:szCs w:val="20"/>
        </w:rPr>
        <w:t xml:space="preserve"> </w:t>
      </w:r>
      <w:r w:rsidR="007A583A">
        <w:rPr>
          <w:rFonts w:ascii="Arial" w:hAnsi="Arial" w:cs="Arial"/>
          <w:b/>
          <w:sz w:val="20"/>
          <w:szCs w:val="20"/>
        </w:rPr>
        <w:t>DIRECCION GENERAL DE PENSIONES</w:t>
      </w:r>
      <w:r w:rsidR="00090820">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0C3F49BF"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C7394D">
        <w:rPr>
          <w:rFonts w:ascii="Arial" w:hAnsi="Arial" w:cs="Arial"/>
          <w:lang w:val="es-MX"/>
        </w:rPr>
        <w:t>2</w:t>
      </w:r>
      <w:r w:rsidR="00171DC8">
        <w:rPr>
          <w:rFonts w:ascii="Arial" w:hAnsi="Arial" w:cs="Arial"/>
          <w:lang w:val="es-MX"/>
        </w:rPr>
        <w:t>3 veintitrés</w:t>
      </w:r>
      <w:r w:rsidR="00C7394D">
        <w:rPr>
          <w:rFonts w:ascii="Arial" w:hAnsi="Arial" w:cs="Arial"/>
          <w:lang w:val="es-MX"/>
        </w:rPr>
        <w:t xml:space="preserve"> de octubre</w:t>
      </w:r>
      <w:r w:rsidR="00263B2B" w:rsidRPr="00263B2B">
        <w:rPr>
          <w:rFonts w:ascii="Arial" w:hAnsi="Arial" w:cs="Arial"/>
          <w:lang w:val="es-MX"/>
        </w:rPr>
        <w:t xml:space="preserve"> de</w:t>
      </w:r>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171DC8">
        <w:rPr>
          <w:rFonts w:ascii="Arial" w:hAnsi="Arial" w:cs="Arial"/>
          <w:b/>
          <w:lang w:val="es-MX"/>
        </w:rPr>
        <w:t>1</w:t>
      </w:r>
      <w:r w:rsidR="00A607E4">
        <w:rPr>
          <w:rFonts w:ascii="Arial" w:hAnsi="Arial" w:cs="Arial"/>
          <w:b/>
          <w:lang w:val="es-MX"/>
        </w:rPr>
        <w:t>8</w:t>
      </w:r>
      <w:r w:rsidR="007A583A">
        <w:rPr>
          <w:rFonts w:ascii="Arial" w:hAnsi="Arial" w:cs="Arial"/>
          <w:b/>
          <w:lang w:val="es-MX"/>
        </w:rPr>
        <w:t>4</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66ACE7D7" w14:textId="59D7C3D5" w:rsidR="00C13EB0" w:rsidRPr="00C7394D" w:rsidRDefault="003E648E" w:rsidP="00C13EB0">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p>
    <w:p w14:paraId="3B43227B"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San Luis Potosí, San Luis Potosí, 23 veintitrés de octubre de 2018 dos mil dieciocho.    </w:t>
      </w:r>
    </w:p>
    <w:p w14:paraId="198E94F7"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0DF577C3"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Visto el estado que guardan los presentes autos y de una revisión a las constancias que integran el expediente con fundamento en los artículos 8; 10; 27, primer párrafo; 184 y 185 de la Ley de Transparencia y Acceso a la Información Pública del Estado, esta Comisión procede a analizar el presente sumario a efecto de determinar el cumplimiento o incumplimiento a la resolución dictada en el recurso de revisión que se actúa.</w:t>
      </w:r>
    </w:p>
    <w:p w14:paraId="1D0037E1"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2C6C6385"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En primer término, resulta necesario insertar los efectos dictados en la resolución:</w:t>
      </w:r>
    </w:p>
    <w:p w14:paraId="5532A24F"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128984F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p>
    <w:p w14:paraId="40BFEB60"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En las condiciones anotadas y, al haber resultado fundado el agravio hecho valer por el particular, esta Comisión Estatal de Garantía de Acceso a la Información Pública de conformidad con el artículo 175, fracción III de la Ley de Transparencia y Acceso a la Información </w:t>
      </w:r>
      <w:proofErr w:type="spellStart"/>
      <w:r w:rsidRPr="007A583A">
        <w:rPr>
          <w:rFonts w:ascii="Arial" w:hAnsi="Arial" w:cs="Arial"/>
          <w:color w:val="5B9BD5" w:themeColor="accent5"/>
          <w:sz w:val="16"/>
          <w:szCs w:val="16"/>
        </w:rPr>
        <w:t>Publica</w:t>
      </w:r>
      <w:proofErr w:type="spellEnd"/>
      <w:r w:rsidRPr="007A583A">
        <w:rPr>
          <w:rFonts w:ascii="Arial" w:hAnsi="Arial" w:cs="Arial"/>
          <w:color w:val="5B9BD5" w:themeColor="accent5"/>
          <w:sz w:val="16"/>
          <w:szCs w:val="16"/>
        </w:rPr>
        <w:t xml:space="preserve"> del Estado revoca la respuesta proporcionada por el sujeto obligado y lo conmina a que entregue:</w:t>
      </w:r>
    </w:p>
    <w:p w14:paraId="1DB59952"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5AC7914A"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r w:rsidRPr="007A583A">
        <w:rPr>
          <w:rFonts w:ascii="Arial" w:hAnsi="Arial" w:cs="Arial"/>
          <w:color w:val="5B9BD5" w:themeColor="accent5"/>
          <w:sz w:val="16"/>
          <w:szCs w:val="16"/>
        </w:rPr>
        <w:tab/>
        <w:t>El documento, en donde se especifique lo siguiente</w:t>
      </w:r>
    </w:p>
    <w:p w14:paraId="351DAE0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A) Fecha de inicio de cotización. </w:t>
      </w:r>
    </w:p>
    <w:p w14:paraId="4EAB37A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B. Antigüedad en el servicio.</w:t>
      </w:r>
    </w:p>
    <w:p w14:paraId="1984244C"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C. Beneficios como derechohabiente disfruto y</w:t>
      </w:r>
    </w:p>
    <w:p w14:paraId="7D71246A"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D) Tipo de pensión que en su caso obtendré:</w:t>
      </w:r>
    </w:p>
    <w:p w14:paraId="788EE82C"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 jubilación</w:t>
      </w:r>
    </w:p>
    <w:p w14:paraId="1D6DCEF5"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b) Edad Avanzada o</w:t>
      </w:r>
    </w:p>
    <w:p w14:paraId="18A940E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c) invalidez</w:t>
      </w:r>
    </w:p>
    <w:p w14:paraId="302CBF95"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3FBE77CB"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Todo esto dentro del </w:t>
      </w:r>
      <w:proofErr w:type="spellStart"/>
      <w:r w:rsidRPr="007A583A">
        <w:rPr>
          <w:rFonts w:ascii="Arial" w:hAnsi="Arial" w:cs="Arial"/>
          <w:color w:val="5B9BD5" w:themeColor="accent5"/>
          <w:sz w:val="16"/>
          <w:szCs w:val="16"/>
        </w:rPr>
        <w:t>articulo</w:t>
      </w:r>
      <w:proofErr w:type="spellEnd"/>
      <w:r w:rsidRPr="007A583A">
        <w:rPr>
          <w:rFonts w:ascii="Arial" w:hAnsi="Arial" w:cs="Arial"/>
          <w:color w:val="5B9BD5" w:themeColor="accent5"/>
          <w:sz w:val="16"/>
          <w:szCs w:val="16"/>
        </w:rPr>
        <w:t xml:space="preserve"> 61 de la Ley de Pensiones para los Trabajadores al Servicio del Estado de San Luis Potosí y que </w:t>
      </w:r>
      <w:proofErr w:type="gramStart"/>
      <w:r w:rsidRPr="007A583A">
        <w:rPr>
          <w:rFonts w:ascii="Arial" w:hAnsi="Arial" w:cs="Arial"/>
          <w:color w:val="5B9BD5" w:themeColor="accent5"/>
          <w:sz w:val="16"/>
          <w:szCs w:val="16"/>
        </w:rPr>
        <w:t>de acuerdo a</w:t>
      </w:r>
      <w:proofErr w:type="gramEnd"/>
      <w:r w:rsidRPr="007A583A">
        <w:rPr>
          <w:rFonts w:ascii="Arial" w:hAnsi="Arial" w:cs="Arial"/>
          <w:color w:val="5B9BD5" w:themeColor="accent5"/>
          <w:sz w:val="16"/>
          <w:szCs w:val="16"/>
        </w:rPr>
        <w:t xml:space="preserve"> plan de pensiones solo tengo derecho a gozar de la pensión que ofrece esta institución, una vez cumplidos los requisitos establecidos en la ley.</w:t>
      </w:r>
    </w:p>
    <w:p w14:paraId="09067739"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58187C54"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O bien;</w:t>
      </w:r>
    </w:p>
    <w:p w14:paraId="3E668C51"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7F21C52E"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r w:rsidRPr="007A583A">
        <w:rPr>
          <w:rFonts w:ascii="Arial" w:hAnsi="Arial" w:cs="Arial"/>
          <w:color w:val="5B9BD5" w:themeColor="accent5"/>
          <w:sz w:val="16"/>
          <w:szCs w:val="16"/>
        </w:rPr>
        <w:tab/>
        <w:t>Todos y cada uno de los documentos de que se desprendan los datos solicitados por el particular, precisados en el punto anterior.”.</w:t>
      </w:r>
    </w:p>
    <w:p w14:paraId="4D967A09"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lastRenderedPageBreak/>
        <w:t xml:space="preserve"> […]” </w:t>
      </w:r>
    </w:p>
    <w:p w14:paraId="20D47CB8"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12C16355"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200C681B"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Debido a lo anterior, el sujeto obligado por conducto del Titular de la Unidad de Transparencia presentó el oficio sin número, recibido en la oficialía de partes de este cuerpo colegiado el 25 veinticinco de junio del año en curso, junto un anexo, donde informa sobre el cumplimiento al resolutivo en análisis y señala medularmente lo siguiente:</w:t>
      </w:r>
    </w:p>
    <w:p w14:paraId="17029E71"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5A85053A"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3C267A68"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p>
    <w:p w14:paraId="2B32B6A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Dándole seguimiento a las instrucciones dadas por este Órgano Garante y para dar cabal cumplimiento a lo requerido, vengo a señalar que con fecha 21 de junio de dos mil dieciocho, se </w:t>
      </w:r>
      <w:proofErr w:type="spellStart"/>
      <w:r w:rsidRPr="007A583A">
        <w:rPr>
          <w:rFonts w:ascii="Arial" w:hAnsi="Arial" w:cs="Arial"/>
          <w:color w:val="5B9BD5" w:themeColor="accent5"/>
          <w:sz w:val="16"/>
          <w:szCs w:val="16"/>
        </w:rPr>
        <w:t>notifico</w:t>
      </w:r>
      <w:proofErr w:type="spellEnd"/>
      <w:r w:rsidRPr="007A583A">
        <w:rPr>
          <w:rFonts w:ascii="Arial" w:hAnsi="Arial" w:cs="Arial"/>
          <w:color w:val="5B9BD5" w:themeColor="accent5"/>
          <w:sz w:val="16"/>
          <w:szCs w:val="16"/>
        </w:rPr>
        <w:t xml:space="preserve"> vía correo electrónico al C. ARMIN RODRIGUEZ </w:t>
      </w:r>
      <w:proofErr w:type="gramStart"/>
      <w:r w:rsidRPr="007A583A">
        <w:rPr>
          <w:rFonts w:ascii="Arial" w:hAnsi="Arial" w:cs="Arial"/>
          <w:color w:val="5B9BD5" w:themeColor="accent5"/>
          <w:sz w:val="16"/>
          <w:szCs w:val="16"/>
        </w:rPr>
        <w:t>CELIA,  la</w:t>
      </w:r>
      <w:proofErr w:type="gramEnd"/>
      <w:r w:rsidRPr="007A583A">
        <w:rPr>
          <w:rFonts w:ascii="Arial" w:hAnsi="Arial" w:cs="Arial"/>
          <w:color w:val="5B9BD5" w:themeColor="accent5"/>
          <w:sz w:val="16"/>
          <w:szCs w:val="16"/>
        </w:rPr>
        <w:t xml:space="preserve"> respuesta proporcionada por el la subdirección de Afiliación, Vigencia de Derecho y Devolución de Fondo, mediante la cual se da acceso a la información solicitada, en versión pública.  </w:t>
      </w:r>
    </w:p>
    <w:p w14:paraId="53971550"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 (SIC)  </w:t>
      </w:r>
    </w:p>
    <w:p w14:paraId="661991AD"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7DF67E19"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745086A1"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Ahora bien, para efecto del presente estudio es importante revisar contenido del oficio sin número (visible a foja 72 autos), mismos que comprenden:</w:t>
      </w:r>
    </w:p>
    <w:p w14:paraId="5049D0F0"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3AE16A2B"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r w:rsidRPr="007A583A">
        <w:rPr>
          <w:rFonts w:ascii="Arial" w:hAnsi="Arial" w:cs="Arial"/>
          <w:color w:val="5B9BD5" w:themeColor="accent5"/>
          <w:sz w:val="16"/>
          <w:szCs w:val="16"/>
        </w:rPr>
        <w:tab/>
        <w:t>Copia certificada del oficio número 1680/2018, de fecha 19 diecinueve de junio del presente año, signado por la subdirectora de Afiliación, Vigencia de Derecho y Devolución del Fondo.</w:t>
      </w:r>
    </w:p>
    <w:p w14:paraId="74B2CB6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r w:rsidRPr="007A583A">
        <w:rPr>
          <w:rFonts w:ascii="Arial" w:hAnsi="Arial" w:cs="Arial"/>
          <w:color w:val="5B9BD5" w:themeColor="accent5"/>
          <w:sz w:val="16"/>
          <w:szCs w:val="16"/>
        </w:rPr>
        <w:tab/>
        <w:t xml:space="preserve">Copia certificada del oficio 1701, de fecha 20 veinte de junio del presente año, signado por el </w:t>
      </w:r>
      <w:proofErr w:type="gramStart"/>
      <w:r w:rsidRPr="007A583A">
        <w:rPr>
          <w:rFonts w:ascii="Arial" w:hAnsi="Arial" w:cs="Arial"/>
          <w:color w:val="5B9BD5" w:themeColor="accent5"/>
          <w:sz w:val="16"/>
          <w:szCs w:val="16"/>
        </w:rPr>
        <w:t>Responsable</w:t>
      </w:r>
      <w:proofErr w:type="gramEnd"/>
      <w:r w:rsidRPr="007A583A">
        <w:rPr>
          <w:rFonts w:ascii="Arial" w:hAnsi="Arial" w:cs="Arial"/>
          <w:color w:val="5B9BD5" w:themeColor="accent5"/>
          <w:sz w:val="16"/>
          <w:szCs w:val="16"/>
        </w:rPr>
        <w:t xml:space="preserve"> de la Unidad de Transparencia de la Dirección de Pensiones del Estado.</w:t>
      </w:r>
    </w:p>
    <w:p w14:paraId="0A335D09"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r w:rsidRPr="007A583A">
        <w:rPr>
          <w:rFonts w:ascii="Arial" w:hAnsi="Arial" w:cs="Arial"/>
          <w:color w:val="5B9BD5" w:themeColor="accent5"/>
          <w:sz w:val="16"/>
          <w:szCs w:val="16"/>
        </w:rPr>
        <w:tab/>
        <w:t>Copia certificada de bandeja de salida en la que se gira notificación al correo señalado para recibir notificaciones por el recurrente.</w:t>
      </w:r>
    </w:p>
    <w:p w14:paraId="6F84D18C"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5567D94D"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Con relación a lo anterior, se advierte que el oficio número 1680/18 contiene lo referente a la respuesta otorgada al recurrente pues consta de los datos correspondientes a la fecha de inicio de cotización, antigüedad en el servicio, beneficios como derecho habiente y el tipo de pensión que le corresponde al recurrente, consistente medularmente en lo siguiente:</w:t>
      </w:r>
    </w:p>
    <w:p w14:paraId="0C08391D"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3283D4B8"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p>
    <w:p w14:paraId="06845FC1"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 Fecha de inicio de cotización. - 01 enero de 1992.</w:t>
      </w:r>
    </w:p>
    <w:p w14:paraId="1F5A187A"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B. Antigüedad en el servicio. – 26, años, 05 meses, 19 días (</w:t>
      </w:r>
      <w:proofErr w:type="gramStart"/>
      <w:r w:rsidRPr="007A583A">
        <w:rPr>
          <w:rFonts w:ascii="Arial" w:hAnsi="Arial" w:cs="Arial"/>
          <w:color w:val="5B9BD5" w:themeColor="accent5"/>
          <w:sz w:val="16"/>
          <w:szCs w:val="16"/>
        </w:rPr>
        <w:t>al día de hoy</w:t>
      </w:r>
      <w:proofErr w:type="gramEnd"/>
      <w:r w:rsidRPr="007A583A">
        <w:rPr>
          <w:rFonts w:ascii="Arial" w:hAnsi="Arial" w:cs="Arial"/>
          <w:color w:val="5B9BD5" w:themeColor="accent5"/>
          <w:sz w:val="16"/>
          <w:szCs w:val="16"/>
        </w:rPr>
        <w:t>)</w:t>
      </w:r>
    </w:p>
    <w:p w14:paraId="5E69BDFC"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C. Beneficios como derechohabiente. – Las que se encuentran establecidas en la Ley de Pensiones y Prestaciones Sociales para los Trabajadores al Servicio del Estado de San Luis Potosí.</w:t>
      </w:r>
    </w:p>
    <w:p w14:paraId="19AA5932"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 […].” (SIC)  </w:t>
      </w:r>
    </w:p>
    <w:p w14:paraId="372C952D"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4463BA29"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Ahora bien, en la resolución dictada en el presente recurso en cuestión conmina al sujeto obligado a la entrega del documento o documentos que se desprendan los datos solicitados por el recurrente, entendiéndose por documento, lo señalado por el artículo 3 fracción XIII de la Ley de Transparencia y Acceso a la Información Pública, a lo que el sujeto obligado realizo un documento ad hoc para la entrega de información el cual no cuenta con la certeza para dar de constancia de los hecho o acto del sujeto obligado en el ejercicio de su funciones.</w:t>
      </w:r>
    </w:p>
    <w:p w14:paraId="40E9966E"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5C3CC423"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“ARTÍCULO 3°. Para los efectos de la presente Ley se entenderá por:</w:t>
      </w:r>
    </w:p>
    <w:p w14:paraId="223D6C2D"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w:t>
      </w:r>
    </w:p>
    <w:p w14:paraId="296BBEA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XIII. Documento: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w:t>
      </w:r>
      <w:r w:rsidRPr="007A583A">
        <w:rPr>
          <w:rFonts w:ascii="Arial" w:hAnsi="Arial" w:cs="Arial"/>
          <w:color w:val="5B9BD5" w:themeColor="accent5"/>
          <w:sz w:val="16"/>
          <w:szCs w:val="16"/>
        </w:rPr>
        <w:lastRenderedPageBreak/>
        <w:t>fuente, tipo o fecha de elaboración. Los documentos pueden ser papeles escritos, o en cualquier medio o formato impreso, sonoro, electrónico, fotográfico, gráfico, visual, holográfico, electrónico o digital;”</w:t>
      </w:r>
    </w:p>
    <w:p w14:paraId="257F0C3A"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1604DFF2"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Conforme al artículo 151 de la ley, los sujetos obligados deben otorgar acceso a los documentos que constan en archivos o que estén obligados a documentar de acuerdo con sus facultades:</w:t>
      </w:r>
    </w:p>
    <w:p w14:paraId="540FF658"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036A66FD"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w:t>
      </w:r>
      <w:proofErr w:type="gramStart"/>
      <w:r w:rsidRPr="007A583A">
        <w:rPr>
          <w:rFonts w:ascii="Arial" w:hAnsi="Arial" w:cs="Arial"/>
          <w:color w:val="5B9BD5" w:themeColor="accent5"/>
          <w:sz w:val="16"/>
          <w:szCs w:val="16"/>
        </w:rPr>
        <w:t>la misma</w:t>
      </w:r>
      <w:proofErr w:type="gramEnd"/>
      <w:r w:rsidRPr="007A583A">
        <w:rPr>
          <w:rFonts w:ascii="Arial" w:hAnsi="Arial" w:cs="Arial"/>
          <w:color w:val="5B9BD5" w:themeColor="accent5"/>
          <w:sz w:val="16"/>
          <w:szCs w:val="16"/>
        </w:rPr>
        <w:t xml:space="preserve"> en Formatos Abiertos.”</w:t>
      </w:r>
    </w:p>
    <w:p w14:paraId="23FDA34C"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546E549A"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Ahora bien, en lo que respecta a cuáles son los beneficios de los que goza el recurrente como derechohabiente, en su respuesta el sujeto obligado únicamente señalo la ley de Pensiones y Prestaciones Sociales para los Trabajadores al Servicio del Estado de San Luis Potosí sin especificar cuáles son y los artículos en los que estos se encuentran contenidos por lo que esta comisión lo conmina a la entrega especifica del contenido de los beneficios de los que goza el recurrente como derechohabiente así como el fundamento legal que lo ampare .</w:t>
      </w:r>
    </w:p>
    <w:p w14:paraId="27B0886A"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Así las cosas, el sujeto obligado también acompañó la constancia que acredita que dichas respuestas fueron notificadas al recurrente, mismas que consiste en envió vía electrónica al correo señalado por el recurrente para recibir notificaciones constancias que generan la convicción de que la notificación fue efectuada de manera correcta, ya que el recurrente señaló en su escrito de interposición de su recurso de revisión que las notificaciones fueran practicadas mediante de correo electrónico.</w:t>
      </w:r>
    </w:p>
    <w:p w14:paraId="3A6E16A3"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 </w:t>
      </w:r>
    </w:p>
    <w:p w14:paraId="2C6733AC"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Con relación a lo anterior es de precisarse que la Ley de transparencia señala:</w:t>
      </w:r>
    </w:p>
    <w:p w14:paraId="0E3619C4"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4C87243B"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“ARTÍCULO 183. Los sujetos obligados, a través de la Unidad de Transparencia, darán estricto cumplimiento a las resoluciones de la CEGAIP y deberán informar a estos sobre su cumplimiento.”</w:t>
      </w:r>
    </w:p>
    <w:p w14:paraId="7785D5D4"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64692385"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“ARTÍCULO 184. Transcurrido el plazo señalado en el artículo anterior, el sujeto obligado deberá informar a la CEGAIP sobre el cumplimento de la resolución.</w:t>
      </w:r>
    </w:p>
    <w:p w14:paraId="308488BF"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677EE2A6"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09C9DD4A"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203B1156"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Debido a lo anterior, se tiene por incumplida la resolución de mérito; ya que no se cumple con lo establecido en el resolutivo en análisis. </w:t>
      </w:r>
    </w:p>
    <w:p w14:paraId="1514E597"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5DB8810F"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En este contexto y con fundamento en lo dispuesto por el artículo 185 de la Ley de Transparencia, así como por el lineamiento vigésimo primero de los Lineamientos para la Recepción, Substanciación, Resolución y Cumplimiento de los recursos de revisión que lleva este cuerpo colegiado, se requiere al Director de Pensiones,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dado a la resolución dictada el 18 dieciocho de mayo de 2018 dos mil dieciocho dentro del recurso en que se actúa, tomando en cuenta las consideraciones contenidas en el presente proveído.</w:t>
      </w:r>
    </w:p>
    <w:p w14:paraId="0A3C06ED"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3BE269D8" w14:textId="77777777" w:rsidR="007A583A" w:rsidRPr="007A583A" w:rsidRDefault="007A583A" w:rsidP="007A583A">
      <w:pPr>
        <w:spacing w:line="360" w:lineRule="auto"/>
        <w:ind w:firstLine="680"/>
        <w:jc w:val="both"/>
        <w:rPr>
          <w:rFonts w:ascii="Arial" w:hAnsi="Arial" w:cs="Arial"/>
          <w:color w:val="5B9BD5" w:themeColor="accent5"/>
          <w:sz w:val="16"/>
          <w:szCs w:val="16"/>
        </w:rPr>
      </w:pPr>
      <w:r w:rsidRPr="007A583A">
        <w:rPr>
          <w:rFonts w:ascii="Arial" w:hAnsi="Arial" w:cs="Arial"/>
          <w:color w:val="5B9BD5" w:themeColor="accent5"/>
          <w:sz w:val="16"/>
          <w:szCs w:val="16"/>
        </w:rPr>
        <w:t xml:space="preserve">Asimismo, se apercibe a los sujetos obligados de </w:t>
      </w:r>
      <w:proofErr w:type="gramStart"/>
      <w:r w:rsidRPr="007A583A">
        <w:rPr>
          <w:rFonts w:ascii="Arial" w:hAnsi="Arial" w:cs="Arial"/>
          <w:color w:val="5B9BD5" w:themeColor="accent5"/>
          <w:sz w:val="16"/>
          <w:szCs w:val="16"/>
        </w:rPr>
        <w:t>que</w:t>
      </w:r>
      <w:proofErr w:type="gramEnd"/>
      <w:r w:rsidRPr="007A583A">
        <w:rPr>
          <w:rFonts w:ascii="Arial" w:hAnsi="Arial" w:cs="Arial"/>
          <w:color w:val="5B9BD5" w:themeColor="accent5"/>
          <w:sz w:val="16"/>
          <w:szCs w:val="16"/>
        </w:rPr>
        <w:t xml:space="preserve"> en caso de no cumplir con la resolución de mérito y el presente auto, se procederá en términos de lo establecido en los artículos 190 y 197 fracción XV de la Ley de Transparencia y Acceso a la Información Pública del Estado. Notifíquese por lista y personalmente al sujeto obligado.</w:t>
      </w:r>
    </w:p>
    <w:p w14:paraId="780362B3" w14:textId="77777777" w:rsidR="007A583A" w:rsidRPr="007A583A" w:rsidRDefault="007A583A" w:rsidP="007A583A">
      <w:pPr>
        <w:spacing w:line="360" w:lineRule="auto"/>
        <w:ind w:firstLine="680"/>
        <w:jc w:val="both"/>
        <w:rPr>
          <w:rFonts w:ascii="Arial" w:hAnsi="Arial" w:cs="Arial"/>
          <w:color w:val="5B9BD5" w:themeColor="accent5"/>
          <w:sz w:val="16"/>
          <w:szCs w:val="16"/>
        </w:rPr>
      </w:pPr>
    </w:p>
    <w:p w14:paraId="46A01FFB" w14:textId="34EE6810" w:rsidR="00C7394D" w:rsidRPr="008E6D79" w:rsidRDefault="007A583A" w:rsidP="007A583A">
      <w:pPr>
        <w:spacing w:line="360" w:lineRule="auto"/>
        <w:ind w:firstLine="680"/>
        <w:jc w:val="both"/>
        <w:rPr>
          <w:rFonts w:ascii="Arial" w:hAnsi="Arial" w:cs="Arial"/>
          <w:color w:val="5B9BD5" w:themeColor="accent5"/>
        </w:rPr>
      </w:pPr>
      <w:r w:rsidRPr="007A583A">
        <w:rPr>
          <w:rFonts w:ascii="Arial" w:hAnsi="Arial" w:cs="Arial"/>
          <w:color w:val="5B9BD5" w:themeColor="accent5"/>
          <w:sz w:val="16"/>
          <w:szCs w:val="16"/>
        </w:rPr>
        <w:t xml:space="preserve">Así lo proveyó y firma el Comisionado ponente de la Comisión Estatal de Garantía de Acceso a la Información Pública Alejandro Lafuente Torres, que actúa con el Licenciado Óscar Villalpando </w:t>
      </w:r>
      <w:proofErr w:type="spellStart"/>
      <w:r w:rsidRPr="007A583A">
        <w:rPr>
          <w:rFonts w:ascii="Arial" w:hAnsi="Arial" w:cs="Arial"/>
          <w:color w:val="5B9BD5" w:themeColor="accent5"/>
          <w:sz w:val="16"/>
          <w:szCs w:val="16"/>
        </w:rPr>
        <w:t>Devo</w:t>
      </w:r>
      <w:proofErr w:type="spellEnd"/>
      <w:r w:rsidRPr="007A583A">
        <w:rPr>
          <w:rFonts w:ascii="Arial" w:hAnsi="Arial" w:cs="Arial"/>
          <w:color w:val="5B9BD5" w:themeColor="accent5"/>
          <w:sz w:val="16"/>
          <w:szCs w:val="16"/>
        </w:rPr>
        <w:t>, Director Jurídico de esta Comisión.</w:t>
      </w:r>
    </w:p>
    <w:p w14:paraId="40077571" w14:textId="15AB7A7C" w:rsidR="006C04BA" w:rsidRPr="000E0BE8" w:rsidRDefault="006C04BA" w:rsidP="00944CE0">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3B4210">
      <w:pgSz w:w="12240" w:h="20160" w:code="5"/>
      <w:pgMar w:top="3119"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D3B41" w14:textId="77777777" w:rsidR="00A749BC" w:rsidRDefault="00A749BC" w:rsidP="00C13204">
      <w:r>
        <w:separator/>
      </w:r>
    </w:p>
  </w:endnote>
  <w:endnote w:type="continuationSeparator" w:id="0">
    <w:p w14:paraId="3DE0FE35" w14:textId="77777777" w:rsidR="00A749BC" w:rsidRDefault="00A749BC"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496175" w14:textId="77777777" w:rsidR="00A749BC" w:rsidRDefault="00A749BC" w:rsidP="00C13204">
      <w:r>
        <w:separator/>
      </w:r>
    </w:p>
  </w:footnote>
  <w:footnote w:type="continuationSeparator" w:id="0">
    <w:p w14:paraId="20816FC0" w14:textId="77777777" w:rsidR="00A749BC" w:rsidRDefault="00A749BC"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526D4"/>
    <w:rsid w:val="00163A02"/>
    <w:rsid w:val="00164840"/>
    <w:rsid w:val="00171DC8"/>
    <w:rsid w:val="001828F2"/>
    <w:rsid w:val="001937B6"/>
    <w:rsid w:val="001B44AC"/>
    <w:rsid w:val="001D2CFB"/>
    <w:rsid w:val="001D6765"/>
    <w:rsid w:val="001F0E4F"/>
    <w:rsid w:val="00212A79"/>
    <w:rsid w:val="002155C8"/>
    <w:rsid w:val="00217739"/>
    <w:rsid w:val="00217BF6"/>
    <w:rsid w:val="00220223"/>
    <w:rsid w:val="002347B2"/>
    <w:rsid w:val="002477FF"/>
    <w:rsid w:val="002603DC"/>
    <w:rsid w:val="00263B2B"/>
    <w:rsid w:val="002653E6"/>
    <w:rsid w:val="002721C6"/>
    <w:rsid w:val="00281751"/>
    <w:rsid w:val="00284222"/>
    <w:rsid w:val="00285C93"/>
    <w:rsid w:val="002B4236"/>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4210"/>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5D23"/>
    <w:rsid w:val="00534CB2"/>
    <w:rsid w:val="00546488"/>
    <w:rsid w:val="00563168"/>
    <w:rsid w:val="00566772"/>
    <w:rsid w:val="005910CD"/>
    <w:rsid w:val="005912F5"/>
    <w:rsid w:val="00596C6E"/>
    <w:rsid w:val="005C7060"/>
    <w:rsid w:val="005D5DF8"/>
    <w:rsid w:val="00624715"/>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A583A"/>
    <w:rsid w:val="007B6292"/>
    <w:rsid w:val="007B7319"/>
    <w:rsid w:val="007C0036"/>
    <w:rsid w:val="007C022A"/>
    <w:rsid w:val="007C2BCA"/>
    <w:rsid w:val="007D78E0"/>
    <w:rsid w:val="00826449"/>
    <w:rsid w:val="00833DC1"/>
    <w:rsid w:val="0084698F"/>
    <w:rsid w:val="00855F18"/>
    <w:rsid w:val="0087714D"/>
    <w:rsid w:val="008776C5"/>
    <w:rsid w:val="00885562"/>
    <w:rsid w:val="0088674E"/>
    <w:rsid w:val="00887AA4"/>
    <w:rsid w:val="00892536"/>
    <w:rsid w:val="008A0A1A"/>
    <w:rsid w:val="008A51F1"/>
    <w:rsid w:val="008C246C"/>
    <w:rsid w:val="008D17AF"/>
    <w:rsid w:val="008D5490"/>
    <w:rsid w:val="008F7294"/>
    <w:rsid w:val="00901DE5"/>
    <w:rsid w:val="009025F3"/>
    <w:rsid w:val="00905199"/>
    <w:rsid w:val="00924E1F"/>
    <w:rsid w:val="00925147"/>
    <w:rsid w:val="00944CE0"/>
    <w:rsid w:val="00987684"/>
    <w:rsid w:val="009B454E"/>
    <w:rsid w:val="009D5D94"/>
    <w:rsid w:val="009D75CB"/>
    <w:rsid w:val="00A02A33"/>
    <w:rsid w:val="00A156D8"/>
    <w:rsid w:val="00A34342"/>
    <w:rsid w:val="00A470AD"/>
    <w:rsid w:val="00A5211C"/>
    <w:rsid w:val="00A5346C"/>
    <w:rsid w:val="00A607E4"/>
    <w:rsid w:val="00A749BC"/>
    <w:rsid w:val="00A762CF"/>
    <w:rsid w:val="00A93053"/>
    <w:rsid w:val="00AA5519"/>
    <w:rsid w:val="00AA6654"/>
    <w:rsid w:val="00AB2D15"/>
    <w:rsid w:val="00AB341A"/>
    <w:rsid w:val="00AB3E81"/>
    <w:rsid w:val="00AC2962"/>
    <w:rsid w:val="00AD5087"/>
    <w:rsid w:val="00AE0013"/>
    <w:rsid w:val="00AF4B3D"/>
    <w:rsid w:val="00AF4CEA"/>
    <w:rsid w:val="00B03DFB"/>
    <w:rsid w:val="00B04523"/>
    <w:rsid w:val="00B14CF4"/>
    <w:rsid w:val="00B33F4C"/>
    <w:rsid w:val="00B542FC"/>
    <w:rsid w:val="00B64E0F"/>
    <w:rsid w:val="00B75A59"/>
    <w:rsid w:val="00B963F7"/>
    <w:rsid w:val="00BA3AE6"/>
    <w:rsid w:val="00BB2943"/>
    <w:rsid w:val="00BB6C11"/>
    <w:rsid w:val="00BC6EC1"/>
    <w:rsid w:val="00BF4036"/>
    <w:rsid w:val="00C06E27"/>
    <w:rsid w:val="00C13204"/>
    <w:rsid w:val="00C13EB0"/>
    <w:rsid w:val="00C21E4A"/>
    <w:rsid w:val="00C3293B"/>
    <w:rsid w:val="00C339CB"/>
    <w:rsid w:val="00C4055E"/>
    <w:rsid w:val="00C41204"/>
    <w:rsid w:val="00C52B8F"/>
    <w:rsid w:val="00C52C96"/>
    <w:rsid w:val="00C7394D"/>
    <w:rsid w:val="00CD4859"/>
    <w:rsid w:val="00CE3BE5"/>
    <w:rsid w:val="00CF062F"/>
    <w:rsid w:val="00CF6D68"/>
    <w:rsid w:val="00D14C70"/>
    <w:rsid w:val="00D16A7E"/>
    <w:rsid w:val="00D2666F"/>
    <w:rsid w:val="00D371C0"/>
    <w:rsid w:val="00D40FB2"/>
    <w:rsid w:val="00D4777B"/>
    <w:rsid w:val="00D57AC8"/>
    <w:rsid w:val="00D67CBD"/>
    <w:rsid w:val="00D93A1D"/>
    <w:rsid w:val="00DA263F"/>
    <w:rsid w:val="00DA3DCD"/>
    <w:rsid w:val="00DA699A"/>
    <w:rsid w:val="00DB2B8C"/>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A037A"/>
    <w:rsid w:val="00EA7571"/>
    <w:rsid w:val="00ED3868"/>
    <w:rsid w:val="00EE3880"/>
    <w:rsid w:val="00EF02E8"/>
    <w:rsid w:val="00F216D2"/>
    <w:rsid w:val="00F30DE9"/>
    <w:rsid w:val="00F31475"/>
    <w:rsid w:val="00F56B32"/>
    <w:rsid w:val="00F61197"/>
    <w:rsid w:val="00F62571"/>
    <w:rsid w:val="00F76072"/>
    <w:rsid w:val="00F8011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940E5-0464-4164-95EC-B25E97600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1544</Words>
  <Characters>8494</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2018-10-22T20:04:00Z</cp:lastPrinted>
  <dcterms:created xsi:type="dcterms:W3CDTF">2018-11-10T18:57:00Z</dcterms:created>
  <dcterms:modified xsi:type="dcterms:W3CDTF">2018-11-10T18:57:00Z</dcterms:modified>
</cp:coreProperties>
</file>