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F2438" w14:textId="23C9AC9E"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6A6940">
        <w:rPr>
          <w:rFonts w:ascii="AvantGarde Bk BT" w:hAnsi="AvantGarde Bk BT" w:cs="Arial"/>
          <w:b/>
          <w:color w:val="000000" w:themeColor="text1"/>
          <w:sz w:val="24"/>
          <w:szCs w:val="24"/>
        </w:rPr>
        <w:t>775</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7F1CA7">
        <w:rPr>
          <w:rFonts w:ascii="AvantGarde Bk BT" w:hAnsi="AvantGarde Bk BT" w:cs="Arial"/>
          <w:b/>
          <w:color w:val="000000" w:themeColor="text1"/>
          <w:sz w:val="24"/>
          <w:szCs w:val="24"/>
        </w:rPr>
        <w:t>PLATAFORMA</w:t>
      </w:r>
    </w:p>
    <w:p w14:paraId="26DD382F"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0FC133A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01E63EB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7900D828"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30716308"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08F0F51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1EF62169"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36C6E44"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51CF1E96" w14:textId="657D8A36" w:rsidR="0004274F" w:rsidRPr="007C5605" w:rsidRDefault="0074590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PODER JUDICIAL DEL ESTADO</w:t>
      </w:r>
      <w:r w:rsidR="002B06B1">
        <w:rPr>
          <w:rFonts w:ascii="AvantGarde Bk BT" w:hAnsi="AvantGarde Bk BT" w:cs="Arial"/>
          <w:b/>
          <w:color w:val="000000" w:themeColor="text1"/>
          <w:sz w:val="24"/>
          <w:szCs w:val="24"/>
        </w:rPr>
        <w:t>.</w:t>
      </w:r>
    </w:p>
    <w:p w14:paraId="11D55250"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3FC3772B"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48BF77A0" w14:textId="1C0D52BD"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B7A3F">
        <w:rPr>
          <w:rFonts w:ascii="AvantGarde Bk BT" w:hAnsi="AvantGarde Bk BT" w:cs="Arial"/>
          <w:color w:val="000000" w:themeColor="text1"/>
          <w:sz w:val="24"/>
          <w:szCs w:val="24"/>
        </w:rPr>
        <w:t>22 veintidós de noviembre</w:t>
      </w:r>
      <w:r w:rsidR="00745909">
        <w:rPr>
          <w:rFonts w:ascii="AvantGarde Bk BT" w:hAnsi="AvantGarde Bk BT" w:cs="Arial"/>
          <w:color w:val="000000" w:themeColor="text1"/>
          <w:sz w:val="24"/>
          <w:szCs w:val="24"/>
        </w:rPr>
        <w:t xml:space="preserve"> </w:t>
      </w:r>
      <w:r w:rsidR="00023148">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745D0825"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300E572C"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313303D5"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0D26DBD9"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26CCC2AA"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93C48F2" w14:textId="4D153A33" w:rsidR="00EC45B0" w:rsidRDefault="0004274F" w:rsidP="00AB7A3F">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AB7A3F">
        <w:rPr>
          <w:rFonts w:ascii="AvantGarde Bk BT" w:hAnsi="AvantGarde Bk BT" w:cs="Arial"/>
          <w:color w:val="000000" w:themeColor="text1"/>
          <w:sz w:val="24"/>
          <w:szCs w:val="24"/>
        </w:rPr>
        <w:t>02 dos de septiembre</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446C2">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446C2">
        <w:rPr>
          <w:rFonts w:ascii="AvantGarde Bk BT" w:hAnsi="AvantGarde Bk BT" w:cs="Arial"/>
          <w:b/>
          <w:color w:val="000000" w:themeColor="text1"/>
          <w:sz w:val="24"/>
          <w:szCs w:val="24"/>
        </w:rPr>
        <w:t>PODER JUDICIAL DEL ESTADO</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9D162C">
        <w:rPr>
          <w:rFonts w:ascii="AvantGarde Bk BT" w:hAnsi="AvantGarde Bk BT" w:cs="Arial"/>
          <w:color w:val="000000" w:themeColor="text1"/>
          <w:sz w:val="24"/>
          <w:szCs w:val="24"/>
        </w:rPr>
        <w:t>de</w:t>
      </w:r>
      <w:r w:rsidR="001C53D3">
        <w:rPr>
          <w:rFonts w:ascii="AvantGarde Bk BT" w:hAnsi="AvantGarde Bk BT" w:cs="Arial"/>
          <w:color w:val="000000" w:themeColor="text1"/>
          <w:sz w:val="24"/>
          <w:szCs w:val="24"/>
        </w:rPr>
        <w:t xml:space="preserve"> la Plataforma Nacional de Transparencia</w:t>
      </w:r>
      <w:r w:rsidR="000B3669">
        <w:rPr>
          <w:rFonts w:ascii="AvantGarde Bk BT" w:hAnsi="AvantGarde Bk BT" w:cs="Arial"/>
          <w:color w:val="000000" w:themeColor="text1"/>
          <w:sz w:val="24"/>
          <w:szCs w:val="24"/>
        </w:rPr>
        <w:t>, misma que quedó registrada con número de folio 00</w:t>
      </w:r>
      <w:r w:rsidR="00AB7A3F">
        <w:rPr>
          <w:rFonts w:ascii="AvantGarde Bk BT" w:hAnsi="AvantGarde Bk BT" w:cs="Arial"/>
          <w:color w:val="000000" w:themeColor="text1"/>
          <w:sz w:val="24"/>
          <w:szCs w:val="24"/>
        </w:rPr>
        <w:t>6534</w:t>
      </w:r>
      <w:r w:rsidR="000B3669">
        <w:rPr>
          <w:rFonts w:ascii="AvantGarde Bk BT" w:hAnsi="AvantGarde Bk BT" w:cs="Arial"/>
          <w:color w:val="000000" w:themeColor="text1"/>
          <w:sz w:val="24"/>
          <w:szCs w:val="24"/>
        </w:rPr>
        <w:t>18</w:t>
      </w:r>
      <w:r w:rsidR="00AB7A3F">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 xml:space="preserve">(Visible a foja </w:t>
      </w:r>
      <w:r w:rsidR="0059683F">
        <w:rPr>
          <w:rFonts w:ascii="AvantGarde Bk BT" w:hAnsi="AvantGarde Bk BT" w:cs="Arial"/>
          <w:color w:val="000000" w:themeColor="text1"/>
          <w:sz w:val="24"/>
          <w:szCs w:val="24"/>
        </w:rPr>
        <w:t>0</w:t>
      </w:r>
      <w:r w:rsidR="00AB7A3F">
        <w:rPr>
          <w:rFonts w:ascii="AvantGarde Bk BT" w:hAnsi="AvantGarde Bk BT" w:cs="Arial"/>
          <w:color w:val="000000" w:themeColor="text1"/>
          <w:sz w:val="24"/>
          <w:szCs w:val="24"/>
        </w:rPr>
        <w:t xml:space="preserve">2 </w:t>
      </w:r>
      <w:r w:rsidR="000B3669">
        <w:rPr>
          <w:rFonts w:ascii="AvantGarde Bk BT" w:hAnsi="AvantGarde Bk BT" w:cs="Arial"/>
          <w:color w:val="000000" w:themeColor="text1"/>
          <w:sz w:val="24"/>
          <w:szCs w:val="24"/>
        </w:rPr>
        <w:t>de autos).</w:t>
      </w:r>
      <w:r w:rsidR="000B3669" w:rsidRPr="000B3669">
        <w:rPr>
          <w:rFonts w:ascii="AvantGarde Bk BT" w:hAnsi="AvantGarde Bk BT" w:cs="Arial"/>
          <w:color w:val="000000" w:themeColor="text1"/>
          <w:sz w:val="24"/>
          <w:szCs w:val="24"/>
        </w:rPr>
        <w:t xml:space="preserve">  </w:t>
      </w:r>
    </w:p>
    <w:p w14:paraId="426687F9" w14:textId="77777777" w:rsidR="00D62AB1" w:rsidRDefault="00D62AB1" w:rsidP="00AB7A3F">
      <w:pPr>
        <w:pStyle w:val="corte4fondo"/>
        <w:tabs>
          <w:tab w:val="left" w:pos="567"/>
        </w:tabs>
        <w:ind w:left="113"/>
        <w:rPr>
          <w:rFonts w:ascii="AvantGarde Bk BT" w:hAnsi="AvantGarde Bk BT" w:cs="Arial"/>
          <w:color w:val="000000" w:themeColor="text1"/>
          <w:sz w:val="24"/>
          <w:szCs w:val="24"/>
        </w:rPr>
      </w:pPr>
    </w:p>
    <w:p w14:paraId="11F61DA5" w14:textId="35813317" w:rsidR="004B04F4" w:rsidRDefault="0004274F" w:rsidP="00D62AB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AB7A3F">
        <w:rPr>
          <w:rFonts w:ascii="AvantGarde Bk BT" w:hAnsi="AvantGarde Bk BT" w:cs="Arial"/>
          <w:color w:val="000000" w:themeColor="text1"/>
          <w:sz w:val="24"/>
          <w:szCs w:val="24"/>
        </w:rPr>
        <w:t>01 uno de octubre</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D74CE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D74CED" w:rsidRPr="00D74CED">
        <w:rPr>
          <w:rFonts w:ascii="AvantGarde Bk BT" w:hAnsi="AvantGarde Bk BT" w:cs="Arial"/>
          <w:b/>
          <w:color w:val="000000" w:themeColor="text1"/>
          <w:sz w:val="24"/>
          <w:szCs w:val="24"/>
        </w:rPr>
        <w:t>PODER JUDICIAL DEL ESTADO</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4B04F4">
        <w:rPr>
          <w:rFonts w:ascii="AvantGarde Bk BT" w:hAnsi="AvantGarde Bk BT" w:cs="Arial"/>
          <w:color w:val="000000" w:themeColor="text1"/>
          <w:sz w:val="24"/>
          <w:szCs w:val="24"/>
        </w:rPr>
        <w:t xml:space="preserve"> visible </w:t>
      </w:r>
      <w:r w:rsidR="00D62AB1">
        <w:rPr>
          <w:rFonts w:ascii="AvantGarde Bk BT" w:hAnsi="AvantGarde Bk BT" w:cs="Arial"/>
          <w:color w:val="000000" w:themeColor="text1"/>
          <w:sz w:val="24"/>
          <w:szCs w:val="24"/>
        </w:rPr>
        <w:t>de</w:t>
      </w:r>
      <w:r w:rsidR="004B04F4">
        <w:rPr>
          <w:rFonts w:ascii="AvantGarde Bk BT" w:hAnsi="AvantGarde Bk BT" w:cs="Arial"/>
          <w:color w:val="000000" w:themeColor="text1"/>
          <w:sz w:val="24"/>
          <w:szCs w:val="24"/>
        </w:rPr>
        <w:t xml:space="preserve"> foja </w:t>
      </w:r>
      <w:r w:rsidR="00D62AB1">
        <w:rPr>
          <w:rFonts w:ascii="AvantGarde Bk BT" w:hAnsi="AvantGarde Bk BT" w:cs="Arial"/>
          <w:color w:val="000000" w:themeColor="text1"/>
          <w:sz w:val="24"/>
          <w:szCs w:val="24"/>
        </w:rPr>
        <w:t>03 a 37</w:t>
      </w:r>
      <w:r w:rsidR="004B04F4">
        <w:rPr>
          <w:rFonts w:ascii="AvantGarde Bk BT" w:hAnsi="AvantGarde Bk BT" w:cs="Arial"/>
          <w:color w:val="000000" w:themeColor="text1"/>
          <w:sz w:val="24"/>
          <w:szCs w:val="24"/>
        </w:rPr>
        <w:t xml:space="preserve"> de autos</w:t>
      </w:r>
      <w:r w:rsidR="00D62AB1">
        <w:rPr>
          <w:rFonts w:ascii="AvantGarde Bk BT" w:hAnsi="AvantGarde Bk BT" w:cs="Arial"/>
          <w:color w:val="000000" w:themeColor="text1"/>
          <w:sz w:val="24"/>
          <w:szCs w:val="24"/>
        </w:rPr>
        <w:t>.</w:t>
      </w:r>
    </w:p>
    <w:p w14:paraId="3891D13F" w14:textId="77777777" w:rsidR="00D62AB1" w:rsidRDefault="00D62AB1" w:rsidP="00D62AB1">
      <w:pPr>
        <w:pStyle w:val="corte4fondo"/>
        <w:tabs>
          <w:tab w:val="left" w:pos="567"/>
        </w:tabs>
        <w:rPr>
          <w:rFonts w:ascii="AvantGarde Bk BT" w:hAnsi="AvantGarde Bk BT" w:cs="Arial"/>
          <w:color w:val="000000" w:themeColor="text1"/>
          <w:sz w:val="24"/>
          <w:szCs w:val="24"/>
        </w:rPr>
      </w:pPr>
    </w:p>
    <w:p w14:paraId="77F486B8" w14:textId="34CFC752" w:rsidR="005A648D" w:rsidRDefault="00CC35B6" w:rsidP="00D62AB1">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D62AB1">
        <w:rPr>
          <w:rFonts w:ascii="AvantGarde Bk BT" w:hAnsi="AvantGarde Bk BT" w:cs="Arial"/>
          <w:color w:val="000000" w:themeColor="text1"/>
          <w:sz w:val="24"/>
          <w:szCs w:val="24"/>
        </w:rPr>
        <w:t>02 dos</w:t>
      </w:r>
      <w:r w:rsidR="00C9469D">
        <w:rPr>
          <w:rFonts w:ascii="AvantGarde Bk BT" w:hAnsi="AvantGarde Bk BT" w:cs="Arial"/>
          <w:color w:val="000000" w:themeColor="text1"/>
          <w:sz w:val="24"/>
          <w:szCs w:val="24"/>
        </w:rPr>
        <w:t xml:space="preserve"> de</w:t>
      </w:r>
      <w:r w:rsidR="00D62AB1">
        <w:rPr>
          <w:rFonts w:ascii="AvantGarde Bk BT" w:hAnsi="AvantGarde Bk BT" w:cs="Arial"/>
          <w:color w:val="000000" w:themeColor="text1"/>
          <w:sz w:val="24"/>
          <w:szCs w:val="24"/>
        </w:rPr>
        <w:t xml:space="preserv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E31DE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D62AB1">
        <w:rPr>
          <w:rFonts w:ascii="AvantGarde Bk BT" w:hAnsi="AvantGarde Bk BT" w:cs="Arial"/>
          <w:color w:val="000000" w:themeColor="text1"/>
          <w:sz w:val="24"/>
          <w:szCs w:val="24"/>
        </w:rPr>
        <w:t>.</w:t>
      </w:r>
      <w:r w:rsidR="005A648D">
        <w:rPr>
          <w:rFonts w:ascii="AvantGarde Bk BT" w:hAnsi="AvantGarde Bk BT" w:cs="Arial"/>
          <w:color w:val="000000" w:themeColor="text1"/>
          <w:sz w:val="24"/>
          <w:szCs w:val="24"/>
        </w:rPr>
        <w:t xml:space="preserve"> (Visible a foja 01 uno de autos).</w:t>
      </w:r>
    </w:p>
    <w:p w14:paraId="7AE12FA9"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2BEE591C" w14:textId="6F39A8AE"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D62AB1">
        <w:rPr>
          <w:rFonts w:ascii="AvantGarde Bk BT" w:hAnsi="AvantGarde Bk BT" w:cs="Arial"/>
          <w:color w:val="000000" w:themeColor="text1"/>
          <w:sz w:val="24"/>
          <w:szCs w:val="24"/>
        </w:rPr>
        <w:t>08 ocho</w:t>
      </w:r>
      <w:r w:rsidR="003D5937">
        <w:rPr>
          <w:rFonts w:ascii="AvantGarde Bk BT" w:hAnsi="AvantGarde Bk BT" w:cs="Arial"/>
          <w:color w:val="000000" w:themeColor="text1"/>
          <w:sz w:val="24"/>
          <w:szCs w:val="24"/>
        </w:rPr>
        <w:t xml:space="preserve"> de </w:t>
      </w:r>
      <w:r w:rsidR="00D62AB1">
        <w:rPr>
          <w:rFonts w:ascii="AvantGarde Bk BT" w:hAnsi="AvantGarde Bk BT" w:cs="Arial"/>
          <w:color w:val="000000" w:themeColor="text1"/>
          <w:sz w:val="24"/>
          <w:szCs w:val="24"/>
        </w:rPr>
        <w:t xml:space="preserve">octubre </w:t>
      </w:r>
      <w:r w:rsidR="00D230E7">
        <w:rPr>
          <w:rFonts w:ascii="AvantGarde Bk BT" w:hAnsi="AvantGarde Bk BT" w:cs="Arial"/>
          <w:color w:val="000000" w:themeColor="text1"/>
          <w:sz w:val="24"/>
          <w:szCs w:val="24"/>
        </w:rPr>
        <w:t xml:space="preserve">de 2018 </w:t>
      </w:r>
      <w:r w:rsidR="00D230E7">
        <w:rPr>
          <w:rFonts w:ascii="AvantGarde Bk BT" w:hAnsi="AvantGarde Bk BT" w:cs="Arial"/>
          <w:color w:val="000000" w:themeColor="text1"/>
          <w:sz w:val="24"/>
          <w:szCs w:val="24"/>
        </w:rPr>
        <w:lastRenderedPageBreak/>
        <w:t>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w:t>
      </w:r>
      <w:proofErr w:type="spellStart"/>
      <w:r w:rsidRPr="007C5605">
        <w:rPr>
          <w:rFonts w:ascii="AvantGarde Bk BT" w:hAnsi="AvantGarde Bk BT" w:cs="Arial"/>
          <w:color w:val="000000" w:themeColor="text1"/>
          <w:sz w:val="24"/>
          <w:szCs w:val="24"/>
        </w:rPr>
        <w:t>desechamiento</w:t>
      </w:r>
      <w:proofErr w:type="spellEnd"/>
      <w:r w:rsidRPr="007C5605">
        <w:rPr>
          <w:rFonts w:ascii="AvantGarde Bk BT" w:hAnsi="AvantGarde Bk BT" w:cs="Arial"/>
          <w:color w:val="000000" w:themeColor="text1"/>
          <w:sz w:val="24"/>
          <w:szCs w:val="24"/>
        </w:rPr>
        <w:t xml:space="preserve"> según fuera el caso.</w:t>
      </w:r>
    </w:p>
    <w:p w14:paraId="71DD649B"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55697B8E" w14:textId="1543AA1C"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D62AB1">
        <w:rPr>
          <w:rFonts w:ascii="AvantGarde Bk BT" w:hAnsi="AvantGarde Bk BT" w:cs="Arial"/>
          <w:color w:val="000000" w:themeColor="text1"/>
          <w:sz w:val="24"/>
          <w:szCs w:val="24"/>
        </w:rPr>
        <w:t>09 nueve de octubre</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14:paraId="4AB5CA21"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3B184222" w14:textId="41AB7A38"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D62AB1">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D62AB1">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 fracci</w:t>
      </w:r>
      <w:r w:rsidR="00D62AB1">
        <w:rPr>
          <w:rFonts w:ascii="AvantGarde Bk BT" w:hAnsi="AvantGarde Bk BT" w:cs="Arial"/>
          <w:color w:val="000000" w:themeColor="text1"/>
          <w:sz w:val="24"/>
          <w:szCs w:val="24"/>
        </w:rPr>
        <w:t xml:space="preserve">ones I y </w:t>
      </w:r>
      <w:r w:rsidR="00BD7074">
        <w:rPr>
          <w:rFonts w:ascii="AvantGarde Bk BT" w:hAnsi="AvantGarde Bk BT" w:cs="Arial"/>
          <w:color w:val="000000" w:themeColor="text1"/>
          <w:sz w:val="24"/>
          <w:szCs w:val="24"/>
        </w:rPr>
        <w:t>V</w:t>
      </w:r>
      <w:r w:rsidR="00D62AB1">
        <w:rPr>
          <w:rFonts w:ascii="AvantGarde Bk BT" w:hAnsi="AvantGarde Bk BT" w:cs="Arial"/>
          <w:color w:val="000000" w:themeColor="text1"/>
          <w:sz w:val="24"/>
          <w:szCs w:val="24"/>
        </w:rPr>
        <w:t>II</w:t>
      </w:r>
      <w:r w:rsidR="00FF46AB">
        <w:rPr>
          <w:rFonts w:ascii="AvantGarde Bk BT" w:hAnsi="AvantGarde Bk BT" w:cs="Arial"/>
          <w:color w:val="000000" w:themeColor="text1"/>
          <w:sz w:val="24"/>
          <w:szCs w:val="24"/>
        </w:rPr>
        <w:t xml:space="preserve"> del artículo 167 de la Ley de la materia.</w:t>
      </w:r>
    </w:p>
    <w:p w14:paraId="2CADECA4" w14:textId="3254B78A"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D62AB1">
        <w:rPr>
          <w:rFonts w:ascii="AvantGarde Bk BT" w:hAnsi="AvantGarde Bk BT" w:cs="Arial"/>
          <w:b/>
          <w:color w:val="000000" w:themeColor="text1"/>
          <w:sz w:val="24"/>
          <w:szCs w:val="24"/>
        </w:rPr>
        <w:t>775</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7D5084">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14:paraId="275C24B3" w14:textId="77777777"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5A266C">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5A266C">
        <w:rPr>
          <w:rFonts w:ascii="AvantGarde Bk BT" w:hAnsi="AvantGarde Bk BT" w:cs="Arial"/>
          <w:b/>
          <w:color w:val="000000" w:themeColor="text1"/>
          <w:sz w:val="24"/>
          <w:szCs w:val="24"/>
        </w:rPr>
        <w:t>PODER JUDICIAL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14F8A7B2"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24601C7"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72BEE5EA"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20872BCF"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7CA869F4"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63F5B9F6" w14:textId="77777777"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14:paraId="64EC0A2D"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 xml:space="preserve">percibió a las autoridades de que en caso de ser omisas para manifestar lo que a su derecho conviniera respecto del presente recurso se aplicarían en su </w:t>
      </w:r>
      <w:r w:rsidRPr="007C5605">
        <w:rPr>
          <w:rFonts w:ascii="AvantGarde Bk BT" w:hAnsi="AvantGarde Bk BT" w:cs="Arial"/>
          <w:color w:val="000000" w:themeColor="text1"/>
          <w:sz w:val="24"/>
          <w:szCs w:val="24"/>
        </w:rPr>
        <w:lastRenderedPageBreak/>
        <w:t>contra las medidas de apremio previstas en el artículo 190, fracción I, de la Ley de Transparencia y Acceso a la Información Pública del Estado.</w:t>
      </w:r>
    </w:p>
    <w:p w14:paraId="4E4F4B32"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530497C0"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723E91BD" w14:textId="20D47BA2"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354E5A">
        <w:rPr>
          <w:rFonts w:ascii="AvantGarde Bk BT" w:hAnsi="AvantGarde Bk BT" w:cs="Arial"/>
          <w:color w:val="000000" w:themeColor="text1"/>
          <w:sz w:val="24"/>
          <w:szCs w:val="24"/>
        </w:rPr>
        <w:t>30 treinta de octubre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6569FC90"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2E0B18B9" w14:textId="009B162A"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w:t>
      </w:r>
      <w:proofErr w:type="gramStart"/>
      <w:r w:rsidRPr="0060124B">
        <w:rPr>
          <w:rFonts w:ascii="AvantGarde Bk BT" w:hAnsi="AvantGarde Bk BT" w:cs="Arial"/>
          <w:color w:val="000000" w:themeColor="text1"/>
          <w:sz w:val="24"/>
          <w:szCs w:val="24"/>
        </w:rPr>
        <w:t>recibido</w:t>
      </w:r>
      <w:r w:rsidR="00FE6F1A">
        <w:rPr>
          <w:rFonts w:ascii="AvantGarde Bk BT" w:hAnsi="AvantGarde Bk BT" w:cs="Arial"/>
          <w:color w:val="000000" w:themeColor="text1"/>
          <w:sz w:val="24"/>
          <w:szCs w:val="24"/>
        </w:rPr>
        <w:t xml:space="preserve"> </w:t>
      </w:r>
      <w:r w:rsidR="00A63284">
        <w:rPr>
          <w:rFonts w:ascii="AvantGarde Bk BT" w:hAnsi="AvantGarde Bk BT" w:cs="Arial"/>
          <w:color w:val="000000" w:themeColor="text1"/>
          <w:sz w:val="24"/>
          <w:szCs w:val="24"/>
        </w:rPr>
        <w:t>oficios</w:t>
      </w:r>
      <w:proofErr w:type="gramEnd"/>
      <w:r w:rsidR="00A63284">
        <w:rPr>
          <w:rFonts w:ascii="AvantGarde Bk BT" w:hAnsi="AvantGarde Bk BT" w:cs="Arial"/>
          <w:color w:val="000000" w:themeColor="text1"/>
          <w:sz w:val="24"/>
          <w:szCs w:val="24"/>
        </w:rPr>
        <w:t xml:space="preserve"> número </w:t>
      </w:r>
      <w:r w:rsidR="00A24254">
        <w:rPr>
          <w:rFonts w:ascii="AvantGarde Bk BT" w:hAnsi="AvantGarde Bk BT" w:cs="Arial"/>
          <w:color w:val="000000" w:themeColor="text1"/>
          <w:sz w:val="24"/>
          <w:szCs w:val="24"/>
        </w:rPr>
        <w:t>UIP/680</w:t>
      </w:r>
      <w:r w:rsidR="00A63284">
        <w:rPr>
          <w:rFonts w:ascii="AvantGarde Bk BT" w:hAnsi="AvantGarde Bk BT" w:cs="Arial"/>
          <w:color w:val="000000" w:themeColor="text1"/>
          <w:sz w:val="24"/>
          <w:szCs w:val="24"/>
        </w:rPr>
        <w:t>/2018</w:t>
      </w:r>
      <w:r w:rsidR="00A24254">
        <w:rPr>
          <w:rFonts w:ascii="AvantGarde Bk BT" w:hAnsi="AvantGarde Bk BT" w:cs="Arial"/>
          <w:color w:val="000000" w:themeColor="text1"/>
          <w:sz w:val="24"/>
          <w:szCs w:val="24"/>
        </w:rPr>
        <w:t xml:space="preserve"> y UIP/680/2018</w:t>
      </w:r>
      <w:r w:rsidR="00A63284">
        <w:rPr>
          <w:rFonts w:ascii="AvantGarde Bk BT" w:hAnsi="AvantGarde Bk BT" w:cs="Arial"/>
          <w:color w:val="000000" w:themeColor="text1"/>
          <w:sz w:val="24"/>
          <w:szCs w:val="24"/>
        </w:rPr>
        <w:t xml:space="preserve">, signado por </w:t>
      </w:r>
      <w:r w:rsidR="00832621">
        <w:rPr>
          <w:rFonts w:ascii="AvantGarde Bk BT" w:hAnsi="AvantGarde Bk BT" w:cs="Arial"/>
          <w:color w:val="000000" w:themeColor="text1"/>
          <w:sz w:val="24"/>
          <w:szCs w:val="24"/>
        </w:rPr>
        <w:t xml:space="preserve">el Jefe de la Unidad de Transparencia </w:t>
      </w:r>
      <w:r w:rsidR="00A24254">
        <w:rPr>
          <w:rFonts w:ascii="AvantGarde Bk BT" w:hAnsi="AvantGarde Bk BT" w:cs="Arial"/>
          <w:color w:val="000000" w:themeColor="text1"/>
          <w:sz w:val="24"/>
          <w:szCs w:val="24"/>
        </w:rPr>
        <w:t>y el Presidente del Supremo Tribunal de Justicia del Estado</w:t>
      </w:r>
      <w:r w:rsidR="00832621">
        <w:rPr>
          <w:rFonts w:ascii="AvantGarde Bk BT" w:hAnsi="AvantGarde Bk BT" w:cs="Arial"/>
          <w:color w:val="000000" w:themeColor="text1"/>
          <w:sz w:val="24"/>
          <w:szCs w:val="24"/>
        </w:rPr>
        <w:t>.</w:t>
      </w:r>
    </w:p>
    <w:p w14:paraId="7AC04712" w14:textId="23B2A76D" w:rsidR="00927BD8" w:rsidRPr="0060124B" w:rsidRDefault="00A24254" w:rsidP="00B5231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R</w:t>
      </w:r>
      <w:r w:rsidR="00927BD8" w:rsidRPr="0060124B">
        <w:rPr>
          <w:rFonts w:ascii="AvantGarde Bk BT" w:hAnsi="AvantGarde Bk BT" w:cs="Arial"/>
          <w:color w:val="000000" w:themeColor="text1"/>
          <w:sz w:val="24"/>
          <w:szCs w:val="24"/>
        </w:rPr>
        <w:t xml:space="preserve">econoció </w:t>
      </w:r>
      <w:r>
        <w:rPr>
          <w:rFonts w:ascii="AvantGarde Bk BT" w:hAnsi="AvantGarde Bk BT" w:cs="Arial"/>
          <w:color w:val="000000" w:themeColor="text1"/>
          <w:sz w:val="24"/>
          <w:szCs w:val="24"/>
        </w:rPr>
        <w:t>la personería con la que comparecieron</w:t>
      </w:r>
      <w:r w:rsidR="00927BD8" w:rsidRPr="0060124B">
        <w:rPr>
          <w:rFonts w:ascii="AvantGarde Bk BT" w:hAnsi="AvantGarde Bk BT" w:cs="Arial"/>
          <w:color w:val="000000" w:themeColor="text1"/>
          <w:sz w:val="24"/>
          <w:szCs w:val="24"/>
        </w:rPr>
        <w:t xml:space="preserve"> en este expediente.</w:t>
      </w:r>
    </w:p>
    <w:p w14:paraId="3D7383E3" w14:textId="6B39CA55"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 xml:space="preserve">Tuvo </w:t>
      </w:r>
      <w:r w:rsidR="00CC35B6" w:rsidRPr="004D1715">
        <w:rPr>
          <w:rFonts w:ascii="AvantGarde Bk BT" w:hAnsi="AvantGarde Bk BT" w:cs="Arial"/>
          <w:color w:val="000000" w:themeColor="text1"/>
          <w:sz w:val="24"/>
          <w:szCs w:val="24"/>
        </w:rPr>
        <w:t xml:space="preserve">por </w:t>
      </w:r>
      <w:r w:rsidR="00A24254">
        <w:rPr>
          <w:rFonts w:ascii="AvantGarde Bk BT" w:hAnsi="AvantGarde Bk BT" w:cs="Arial"/>
          <w:color w:val="000000" w:themeColor="text1"/>
          <w:sz w:val="24"/>
          <w:szCs w:val="24"/>
        </w:rPr>
        <w:t xml:space="preserve">rendido en tiempo el informe ordenado en el auto de admisión, por realizadas las </w:t>
      </w:r>
      <w:r w:rsidR="00CA366F" w:rsidRPr="004D1715">
        <w:rPr>
          <w:rFonts w:ascii="AvantGarde Bk BT" w:hAnsi="AvantGarde Bk BT" w:cs="Arial"/>
          <w:color w:val="000000" w:themeColor="text1"/>
          <w:sz w:val="24"/>
          <w:szCs w:val="24"/>
        </w:rPr>
        <w:t>manifes</w:t>
      </w:r>
      <w:r w:rsidR="00A24254">
        <w:rPr>
          <w:rFonts w:ascii="AvantGarde Bk BT" w:hAnsi="AvantGarde Bk BT" w:cs="Arial"/>
          <w:color w:val="000000" w:themeColor="text1"/>
          <w:sz w:val="24"/>
          <w:szCs w:val="24"/>
        </w:rPr>
        <w:t>taciones correspondientes al sujeto obligado</w:t>
      </w:r>
      <w:r>
        <w:rPr>
          <w:rFonts w:ascii="AvantGarde Bk BT" w:hAnsi="AvantGarde Bk BT" w:cs="Arial"/>
          <w:color w:val="000000" w:themeColor="text1"/>
          <w:sz w:val="24"/>
          <w:szCs w:val="24"/>
        </w:rPr>
        <w:t>.</w:t>
      </w:r>
    </w:p>
    <w:p w14:paraId="1397692B" w14:textId="2E27D0A0"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w:t>
      </w:r>
      <w:r w:rsidR="0061501E">
        <w:rPr>
          <w:rFonts w:ascii="AvantGarde Bk BT" w:hAnsi="AvantGarde Bk BT" w:cs="Arial"/>
          <w:color w:val="000000" w:themeColor="text1"/>
          <w:sz w:val="24"/>
          <w:szCs w:val="24"/>
        </w:rPr>
        <w:t xml:space="preserve"> omiso en ofrecer pruebas y realizar manifestaciones en vía de </w:t>
      </w:r>
      <w:r w:rsidR="00CA366F" w:rsidRPr="004D1715">
        <w:rPr>
          <w:rFonts w:ascii="AvantGarde Bk BT" w:hAnsi="AvantGarde Bk BT" w:cs="Arial"/>
          <w:color w:val="000000" w:themeColor="text1"/>
          <w:sz w:val="24"/>
          <w:szCs w:val="24"/>
        </w:rPr>
        <w:t>alegatos.</w:t>
      </w:r>
    </w:p>
    <w:p w14:paraId="32AA57F6" w14:textId="77777777"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14:paraId="4BFD3AD4" w14:textId="77777777" w:rsidR="00906E32" w:rsidRDefault="00906E32" w:rsidP="00832621">
      <w:pPr>
        <w:pStyle w:val="corte4fondo"/>
        <w:tabs>
          <w:tab w:val="left" w:pos="567"/>
        </w:tabs>
        <w:ind w:firstLine="0"/>
        <w:rPr>
          <w:rFonts w:ascii="AvantGarde Bk BT" w:hAnsi="AvantGarde Bk BT" w:cs="Arial"/>
          <w:color w:val="000000" w:themeColor="text1"/>
          <w:sz w:val="24"/>
          <w:szCs w:val="24"/>
        </w:rPr>
      </w:pPr>
    </w:p>
    <w:p w14:paraId="4CC6B546"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7E252B99"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73067F5F"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w:t>
      </w:r>
      <w:r w:rsidRPr="007C5605">
        <w:rPr>
          <w:rFonts w:ascii="AvantGarde Bk BT" w:hAnsi="AvantGarde Bk BT" w:cs="Arial"/>
          <w:color w:val="000000" w:themeColor="text1"/>
          <w:sz w:val="24"/>
          <w:szCs w:val="24"/>
        </w:rPr>
        <w:lastRenderedPageBreak/>
        <w:t xml:space="preserve">I y II, 35, fracción I, y 175 de la Ley de Transparencia y Acceso a la Información Pública de este Estado. </w:t>
      </w:r>
    </w:p>
    <w:p w14:paraId="5B5143D7"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57A47156"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5A9CCF1A"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4CC1F0A3"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47396F09"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0165939A" w14:textId="11BD4518"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w:t>
      </w:r>
      <w:r w:rsidR="0061501E">
        <w:rPr>
          <w:rFonts w:ascii="AvantGarde Bk BT" w:hAnsi="AvantGarde Bk BT" w:cs="Arial"/>
          <w:color w:val="000000" w:themeColor="text1"/>
          <w:sz w:val="24"/>
          <w:szCs w:val="24"/>
        </w:rPr>
        <w:t xml:space="preserve"> ser presentado</w:t>
      </w:r>
      <w:r w:rsidR="00E215D2" w:rsidRPr="00EA2555">
        <w:rPr>
          <w:rFonts w:ascii="AvantGarde Bk BT" w:hAnsi="AvantGarde Bk BT" w:cs="Arial"/>
          <w:color w:val="000000" w:themeColor="text1"/>
          <w:sz w:val="24"/>
          <w:szCs w:val="24"/>
        </w:rPr>
        <w:t xml:space="preserve"> dentro del plazo de quince días a que se refiere el artículo 166 de la Ley de Transparencia y Acceso a la Información Pública del Estado, como se expone a continuación:</w:t>
      </w:r>
    </w:p>
    <w:p w14:paraId="30DC1A91"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06F3F92F" w14:textId="7986153C"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1501E">
        <w:rPr>
          <w:rFonts w:ascii="AvantGarde Bk BT" w:hAnsi="AvantGarde Bk BT" w:cs="Arial"/>
          <w:color w:val="000000" w:themeColor="text1"/>
          <w:sz w:val="24"/>
          <w:szCs w:val="24"/>
        </w:rPr>
        <w:t>01 uno de octubre</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1501E">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w:t>
      </w:r>
      <w:r w:rsidR="0061501E">
        <w:rPr>
          <w:rFonts w:ascii="AvantGarde Bk BT" w:hAnsi="AvantGarde Bk BT" w:cs="Arial"/>
          <w:color w:val="000000" w:themeColor="text1"/>
          <w:sz w:val="24"/>
          <w:szCs w:val="24"/>
        </w:rPr>
        <w:t>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14:paraId="58AB2A25" w14:textId="51631021"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1501E">
        <w:rPr>
          <w:rFonts w:ascii="AvantGarde Bk BT" w:hAnsi="AvantGarde Bk BT" w:cs="Arial"/>
          <w:color w:val="000000" w:themeColor="text1"/>
          <w:sz w:val="24"/>
          <w:szCs w:val="24"/>
        </w:rPr>
        <w:t>02 dos</w:t>
      </w:r>
      <w:r w:rsidR="00630546">
        <w:rPr>
          <w:rFonts w:ascii="AvantGarde Bk BT" w:hAnsi="AvantGarde Bk BT" w:cs="Arial"/>
          <w:color w:val="000000" w:themeColor="text1"/>
          <w:sz w:val="24"/>
          <w:szCs w:val="24"/>
        </w:rPr>
        <w:t xml:space="preserve"> al </w:t>
      </w:r>
      <w:r w:rsidR="0061501E">
        <w:rPr>
          <w:rFonts w:ascii="AvantGarde Bk BT" w:hAnsi="AvantGarde Bk BT" w:cs="Arial"/>
          <w:color w:val="000000" w:themeColor="text1"/>
          <w:sz w:val="24"/>
          <w:szCs w:val="24"/>
        </w:rPr>
        <w:t>24 veinticuatro, ambos de octubre</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14:paraId="397CBA20" w14:textId="515748DC"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1501E">
        <w:rPr>
          <w:rFonts w:ascii="AvantGarde Bk BT" w:hAnsi="AvantGarde Bk BT" w:cs="Arial"/>
          <w:color w:val="000000" w:themeColor="text1"/>
          <w:sz w:val="24"/>
          <w:szCs w:val="24"/>
        </w:rPr>
        <w:t>06 seis, 07 siete, 12 doce, 13 trece, 14 catorce, 20 veinte y 21 veintiuno de octubre</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00FD3658" w14:textId="60FDFD7B"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1F5EF9">
        <w:rPr>
          <w:rFonts w:ascii="AvantGarde Bk BT" w:hAnsi="AvantGarde Bk BT" w:cs="Arial"/>
          <w:color w:val="000000" w:themeColor="text1"/>
          <w:sz w:val="24"/>
          <w:szCs w:val="24"/>
        </w:rPr>
        <w:t>0</w:t>
      </w:r>
      <w:r w:rsidR="0061501E">
        <w:rPr>
          <w:rFonts w:ascii="AvantGarde Bk BT" w:hAnsi="AvantGarde Bk BT" w:cs="Arial"/>
          <w:color w:val="000000" w:themeColor="text1"/>
          <w:sz w:val="24"/>
          <w:szCs w:val="24"/>
        </w:rPr>
        <w:t>3</w:t>
      </w:r>
      <w:r w:rsidR="001F5EF9">
        <w:rPr>
          <w:rFonts w:ascii="AvantGarde Bk BT" w:hAnsi="AvantGarde Bk BT" w:cs="Arial"/>
          <w:color w:val="000000" w:themeColor="text1"/>
          <w:sz w:val="24"/>
          <w:szCs w:val="24"/>
        </w:rPr>
        <w:t xml:space="preserve"> </w:t>
      </w:r>
      <w:r w:rsidR="0061501E">
        <w:rPr>
          <w:rFonts w:ascii="AvantGarde Bk BT" w:hAnsi="AvantGarde Bk BT" w:cs="Arial"/>
          <w:color w:val="000000" w:themeColor="text1"/>
          <w:sz w:val="24"/>
          <w:szCs w:val="24"/>
        </w:rPr>
        <w:t>tres</w:t>
      </w:r>
      <w:r w:rsidR="001F5EF9">
        <w:rPr>
          <w:rFonts w:ascii="AvantGarde Bk BT" w:hAnsi="AvantGarde Bk BT" w:cs="Arial"/>
          <w:color w:val="000000" w:themeColor="text1"/>
          <w:sz w:val="24"/>
          <w:szCs w:val="24"/>
        </w:rPr>
        <w:t xml:space="preserve"> de </w:t>
      </w:r>
      <w:r w:rsidR="0061501E">
        <w:rPr>
          <w:rFonts w:ascii="AvantGarde Bk BT" w:hAnsi="AvantGarde Bk BT" w:cs="Arial"/>
          <w:color w:val="000000" w:themeColor="text1"/>
          <w:sz w:val="24"/>
          <w:szCs w:val="24"/>
        </w:rPr>
        <w:t>octubre</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0D1A83D8"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4D40BFF3" w14:textId="77777777" w:rsidR="004A0B72" w:rsidRDefault="00E215D2" w:rsidP="004A0B72">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397017">
        <w:rPr>
          <w:rFonts w:ascii="AvantGarde Bk BT" w:hAnsi="AvantGarde Bk BT" w:cs="Arial"/>
          <w:b/>
          <w:color w:val="000000" w:themeColor="text1"/>
          <w:sz w:val="24"/>
          <w:szCs w:val="24"/>
        </w:rPr>
        <w:t>QUINTO</w:t>
      </w:r>
      <w:r w:rsidRPr="00397017">
        <w:rPr>
          <w:rFonts w:ascii="AvantGarde Bk BT" w:hAnsi="AvantGarde Bk BT" w:cs="Arial"/>
          <w:b/>
          <w:color w:val="000000" w:themeColor="text1"/>
          <w:sz w:val="24"/>
          <w:szCs w:val="24"/>
        </w:rPr>
        <w:t xml:space="preserve">. </w:t>
      </w:r>
      <w:r w:rsidR="00852B70" w:rsidRPr="00397017">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 xml:space="preserve">Las causales de improcedencia previstas en el artículo 179 de la Ley de Transparencia son de estudio oficioso y preferente a </w:t>
      </w:r>
      <w:r w:rsidR="004A0B72" w:rsidRPr="007C5605">
        <w:rPr>
          <w:rFonts w:ascii="AvantGarde Bk BT" w:hAnsi="AvantGarde Bk BT" w:cs="Arial"/>
          <w:color w:val="000000" w:themeColor="text1"/>
          <w:sz w:val="24"/>
          <w:szCs w:val="24"/>
        </w:rPr>
        <w:lastRenderedPageBreak/>
        <w:t>cualquier otra cuestión planteada</w:t>
      </w:r>
      <w:r w:rsidR="00397017">
        <w:rPr>
          <w:rFonts w:ascii="AvantGarde Bk BT" w:hAnsi="AvantGarde Bk BT" w:cs="Arial"/>
          <w:color w:val="000000" w:themeColor="text1"/>
          <w:sz w:val="24"/>
          <w:szCs w:val="24"/>
        </w:rPr>
        <w:t>. En el caso, al no actualizarse causal de improcedencia alguna manifestada por el sujeto obligado o advertida por este órgano garante se procede al estudio de fondo de la cuestión planteada.</w:t>
      </w:r>
    </w:p>
    <w:p w14:paraId="4810A162" w14:textId="77777777" w:rsidR="00852B70" w:rsidRDefault="00852B70" w:rsidP="00397017">
      <w:pPr>
        <w:pStyle w:val="corte4fondo"/>
        <w:tabs>
          <w:tab w:val="left" w:pos="567"/>
        </w:tabs>
        <w:ind w:firstLine="0"/>
        <w:rPr>
          <w:rFonts w:ascii="AvantGarde Bk BT" w:hAnsi="AvantGarde Bk BT" w:cs="Arial"/>
          <w:b/>
          <w:color w:val="000000" w:themeColor="text1"/>
          <w:sz w:val="24"/>
          <w:szCs w:val="24"/>
        </w:rPr>
      </w:pPr>
    </w:p>
    <w:p w14:paraId="410C1580" w14:textId="77777777"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14:paraId="07A1B4BB" w14:textId="77777777" w:rsidR="008540CA" w:rsidRDefault="008540CA" w:rsidP="00E215D2">
      <w:pPr>
        <w:pStyle w:val="corte4fondo"/>
        <w:tabs>
          <w:tab w:val="left" w:pos="567"/>
        </w:tabs>
        <w:rPr>
          <w:rFonts w:ascii="AvantGarde Bk BT" w:hAnsi="AvantGarde Bk BT" w:cs="Arial"/>
          <w:color w:val="000000" w:themeColor="text1"/>
          <w:sz w:val="24"/>
          <w:szCs w:val="24"/>
        </w:rPr>
      </w:pPr>
    </w:p>
    <w:p w14:paraId="61B88DA7" w14:textId="4A0D33A7" w:rsidR="004F2B2F" w:rsidRDefault="003854F9"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el presente recurso </w:t>
      </w:r>
      <w:r w:rsidR="004F2B2F">
        <w:rPr>
          <w:rFonts w:ascii="AvantGarde Bk BT" w:hAnsi="AvantGarde Bk BT" w:cs="Arial"/>
          <w:color w:val="000000" w:themeColor="text1"/>
          <w:sz w:val="24"/>
          <w:szCs w:val="24"/>
        </w:rPr>
        <w:t>se originó en virtud de que el recurrente solicitó al Poder Judicial del Estado la siguiente Información:</w:t>
      </w:r>
    </w:p>
    <w:p w14:paraId="77837A29" w14:textId="77777777" w:rsidR="00D65554" w:rsidRDefault="00D65554" w:rsidP="00E215D2">
      <w:pPr>
        <w:pStyle w:val="corte4fondo"/>
        <w:tabs>
          <w:tab w:val="left" w:pos="567"/>
        </w:tabs>
        <w:rPr>
          <w:rFonts w:ascii="AvantGarde Bk BT" w:hAnsi="AvantGarde Bk BT" w:cs="Arial"/>
          <w:color w:val="000000" w:themeColor="text1"/>
          <w:sz w:val="24"/>
          <w:szCs w:val="24"/>
        </w:rPr>
      </w:pPr>
    </w:p>
    <w:p w14:paraId="35E6CACC" w14:textId="7546D9D7" w:rsidR="00D65554" w:rsidRPr="00B57DE4" w:rsidRDefault="004F2B2F" w:rsidP="00B57DE4">
      <w:pPr>
        <w:pStyle w:val="corte4fondo"/>
        <w:numPr>
          <w:ilvl w:val="0"/>
          <w:numId w:val="2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Versiones públicas electrónicas de todos los recibos de pago y cheques expedidos durante el mes de diciembre de 2017, donde se puedan visualizar los detalles de todas las percepciones de ese periodo de:</w:t>
      </w:r>
    </w:p>
    <w:p w14:paraId="4C46D6F0" w14:textId="707AFAA1" w:rsidR="004F2B2F" w:rsidRDefault="00CA3C25" w:rsidP="00CA3C25">
      <w:pPr>
        <w:pStyle w:val="corte4fondo"/>
        <w:numPr>
          <w:ilvl w:val="1"/>
          <w:numId w:val="3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Patricia Guadalupe Vélez Nieto.</w:t>
      </w:r>
    </w:p>
    <w:p w14:paraId="38EDD445" w14:textId="57D235B2" w:rsidR="00CA3C25" w:rsidRDefault="00CA3C25" w:rsidP="00CA3C25">
      <w:pPr>
        <w:pStyle w:val="corte4fondo"/>
        <w:numPr>
          <w:ilvl w:val="1"/>
          <w:numId w:val="3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Alejandro Zavala Dávila.</w:t>
      </w:r>
    </w:p>
    <w:p w14:paraId="3662D4C4" w14:textId="102E03B0" w:rsidR="00CA3C25" w:rsidRDefault="00CA3C25" w:rsidP="00CA3C25">
      <w:pPr>
        <w:pStyle w:val="corte4fondo"/>
        <w:numPr>
          <w:ilvl w:val="1"/>
          <w:numId w:val="3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Gerardo García Rodríguez.</w:t>
      </w:r>
    </w:p>
    <w:p w14:paraId="2E91D504" w14:textId="77777777" w:rsidR="00CA3C25" w:rsidRDefault="00CA3C25" w:rsidP="00E215D2">
      <w:pPr>
        <w:pStyle w:val="corte4fondo"/>
        <w:tabs>
          <w:tab w:val="left" w:pos="567"/>
        </w:tabs>
        <w:rPr>
          <w:rFonts w:ascii="AvantGarde Bk BT" w:hAnsi="AvantGarde Bk BT" w:cs="Arial"/>
          <w:color w:val="000000" w:themeColor="text1"/>
          <w:sz w:val="24"/>
          <w:szCs w:val="24"/>
        </w:rPr>
      </w:pPr>
    </w:p>
    <w:p w14:paraId="1C87F20B" w14:textId="0575A7C7" w:rsidR="00CA3C25" w:rsidRDefault="00CA3C2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dicha solicitud recayó la siguiente respuesta:</w:t>
      </w:r>
    </w:p>
    <w:p w14:paraId="633A2765" w14:textId="0DB23EDC" w:rsidR="00CA3C25" w:rsidRDefault="00B57DE4"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33B96787" wp14:editId="2E9D45CC">
            <wp:simplePos x="0" y="0"/>
            <wp:positionH relativeFrom="column">
              <wp:posOffset>1001090</wp:posOffset>
            </wp:positionH>
            <wp:positionV relativeFrom="paragraph">
              <wp:posOffset>3226</wp:posOffset>
            </wp:positionV>
            <wp:extent cx="3628339" cy="3306312"/>
            <wp:effectExtent l="0" t="0" r="0" b="889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0440" t="14186" r="35853" b="47391"/>
                    <a:stretch/>
                  </pic:blipFill>
                  <pic:spPr bwMode="auto">
                    <a:xfrm>
                      <a:off x="0" y="0"/>
                      <a:ext cx="3628339" cy="33063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CE07EB" w14:textId="77777777" w:rsidR="00B57DE4" w:rsidRDefault="00B57DE4">
      <w:pPr>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br w:type="page"/>
      </w:r>
    </w:p>
    <w:p w14:paraId="5C6F0BFE" w14:textId="7A144921" w:rsidR="00B57DE4" w:rsidRDefault="00B57DE4" w:rsidP="00E215D2">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59264" behindDoc="0" locked="0" layoutInCell="1" allowOverlap="1" wp14:anchorId="615C6D9F" wp14:editId="511CCF8C">
            <wp:simplePos x="0" y="0"/>
            <wp:positionH relativeFrom="margin">
              <wp:posOffset>724535</wp:posOffset>
            </wp:positionH>
            <wp:positionV relativeFrom="paragraph">
              <wp:posOffset>1270</wp:posOffset>
            </wp:positionV>
            <wp:extent cx="5441950" cy="6532245"/>
            <wp:effectExtent l="0" t="0" r="6350" b="190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8770" r="28599" b="8987"/>
                    <a:stretch/>
                  </pic:blipFill>
                  <pic:spPr bwMode="auto">
                    <a:xfrm>
                      <a:off x="0" y="0"/>
                      <a:ext cx="5441950" cy="6532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C1C85E" w14:textId="77777777" w:rsidR="00E63C20" w:rsidRDefault="00E63C20" w:rsidP="00E215D2">
      <w:pPr>
        <w:pStyle w:val="corte4fondo"/>
        <w:tabs>
          <w:tab w:val="left" w:pos="567"/>
        </w:tabs>
        <w:rPr>
          <w:rFonts w:ascii="AvantGarde Bk BT" w:hAnsi="AvantGarde Bk BT" w:cs="Arial"/>
          <w:color w:val="000000" w:themeColor="text1"/>
          <w:sz w:val="24"/>
          <w:szCs w:val="24"/>
        </w:rPr>
      </w:pPr>
    </w:p>
    <w:p w14:paraId="5E8ED5BF" w14:textId="77777777" w:rsidR="00E63C20" w:rsidRDefault="00E63C20" w:rsidP="00E215D2">
      <w:pPr>
        <w:pStyle w:val="corte4fondo"/>
        <w:tabs>
          <w:tab w:val="left" w:pos="567"/>
        </w:tabs>
        <w:rPr>
          <w:rFonts w:ascii="AvantGarde Bk BT" w:hAnsi="AvantGarde Bk BT" w:cs="Arial"/>
          <w:color w:val="000000" w:themeColor="text1"/>
          <w:sz w:val="24"/>
          <w:szCs w:val="24"/>
        </w:rPr>
      </w:pPr>
    </w:p>
    <w:p w14:paraId="428D5AAD" w14:textId="6D527E30" w:rsidR="00E63C20" w:rsidRDefault="00E63C20" w:rsidP="00E215D2">
      <w:pPr>
        <w:pStyle w:val="corte4fondo"/>
        <w:tabs>
          <w:tab w:val="left" w:pos="567"/>
        </w:tabs>
        <w:rPr>
          <w:rFonts w:ascii="AvantGarde Bk BT" w:hAnsi="AvantGarde Bk BT" w:cs="Arial"/>
          <w:color w:val="000000" w:themeColor="text1"/>
          <w:sz w:val="24"/>
          <w:szCs w:val="24"/>
        </w:rPr>
      </w:pPr>
    </w:p>
    <w:p w14:paraId="7AA779C6" w14:textId="72FCE7C2" w:rsidR="00E63C20" w:rsidRDefault="00E63C20">
      <w:pPr>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br w:type="page"/>
      </w:r>
    </w:p>
    <w:p w14:paraId="639A15D5" w14:textId="38F64C2B" w:rsidR="00E63C20" w:rsidRDefault="00E63C20" w:rsidP="00E215D2">
      <w:pPr>
        <w:pStyle w:val="corte4fondo"/>
        <w:tabs>
          <w:tab w:val="left" w:pos="567"/>
        </w:tabs>
        <w:rPr>
          <w:rFonts w:ascii="AvantGarde Bk BT" w:hAnsi="AvantGarde Bk BT" w:cs="Arial"/>
          <w:color w:val="000000" w:themeColor="text1"/>
          <w:sz w:val="24"/>
          <w:szCs w:val="24"/>
        </w:rPr>
      </w:pPr>
      <w:r>
        <w:rPr>
          <w:noProof/>
        </w:rPr>
        <w:lastRenderedPageBreak/>
        <w:drawing>
          <wp:anchor distT="0" distB="0" distL="114300" distR="114300" simplePos="0" relativeHeight="251661312" behindDoc="0" locked="0" layoutInCell="1" allowOverlap="1" wp14:anchorId="42F7E2A6" wp14:editId="34F38397">
            <wp:simplePos x="0" y="0"/>
            <wp:positionH relativeFrom="margin">
              <wp:align>center</wp:align>
            </wp:positionH>
            <wp:positionV relativeFrom="paragraph">
              <wp:posOffset>534</wp:posOffset>
            </wp:positionV>
            <wp:extent cx="5888355" cy="6398895"/>
            <wp:effectExtent l="0" t="0" r="0" b="190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8659" t="10070" r="28817" b="7734"/>
                    <a:stretch/>
                  </pic:blipFill>
                  <pic:spPr bwMode="auto">
                    <a:xfrm>
                      <a:off x="0" y="0"/>
                      <a:ext cx="5888355" cy="6398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40F128" w14:textId="738E6645" w:rsidR="00E63C20" w:rsidRDefault="00E63C20">
      <w:pPr>
        <w:rPr>
          <w:rFonts w:ascii="AvantGarde Bk BT" w:eastAsia="Times New Roman" w:hAnsi="AvantGarde Bk BT" w:cs="Arial"/>
          <w:color w:val="000000" w:themeColor="text1"/>
          <w:sz w:val="24"/>
          <w:szCs w:val="24"/>
        </w:rPr>
      </w:pPr>
      <w:r>
        <w:rPr>
          <w:rFonts w:ascii="AvantGarde Bk BT" w:hAnsi="AvantGarde Bk BT" w:cs="Arial"/>
          <w:color w:val="000000" w:themeColor="text1"/>
          <w:sz w:val="24"/>
          <w:szCs w:val="24"/>
        </w:rPr>
        <w:br w:type="page"/>
      </w:r>
    </w:p>
    <w:p w14:paraId="1D5FE0CF" w14:textId="77777777" w:rsidR="00E63C20" w:rsidRDefault="00E63C20"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Pues bien, debido a dicha respuesta el recurrente interpuso el presente recurso de revisión y medularmente señaló como agravio:</w:t>
      </w:r>
    </w:p>
    <w:p w14:paraId="544287A4" w14:textId="77777777" w:rsidR="00AB54F0" w:rsidRDefault="00AB54F0" w:rsidP="00E215D2">
      <w:pPr>
        <w:pStyle w:val="corte4fondo"/>
        <w:tabs>
          <w:tab w:val="left" w:pos="567"/>
        </w:tabs>
        <w:rPr>
          <w:rFonts w:ascii="AvantGarde Bk BT" w:hAnsi="AvantGarde Bk BT" w:cs="Arial"/>
          <w:color w:val="000000" w:themeColor="text1"/>
          <w:sz w:val="24"/>
          <w:szCs w:val="24"/>
        </w:rPr>
      </w:pPr>
    </w:p>
    <w:p w14:paraId="327F9C90" w14:textId="43A8E837" w:rsidR="003854F9" w:rsidRDefault="00281806" w:rsidP="00281806">
      <w:pPr>
        <w:pStyle w:val="corte4fondo"/>
        <w:numPr>
          <w:ilvl w:val="0"/>
          <w:numId w:val="2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se le otorgó respuesta de manera independiente a cada solicitud de información.</w:t>
      </w:r>
    </w:p>
    <w:p w14:paraId="41E16405" w14:textId="3581ECC2" w:rsidR="00281806" w:rsidRDefault="00116955" w:rsidP="00281806">
      <w:pPr>
        <w:pStyle w:val="corte4fondo"/>
        <w:numPr>
          <w:ilvl w:val="0"/>
          <w:numId w:val="2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pone a disposición la información en una modalidad diferente a la solicitada.</w:t>
      </w:r>
    </w:p>
    <w:p w14:paraId="54649CED" w14:textId="77777777" w:rsidR="00116955" w:rsidRDefault="00116955" w:rsidP="00AB54F0">
      <w:pPr>
        <w:pStyle w:val="corte4fondo"/>
        <w:tabs>
          <w:tab w:val="left" w:pos="567"/>
        </w:tabs>
        <w:ind w:left="1429" w:firstLine="0"/>
        <w:rPr>
          <w:rFonts w:ascii="AvantGarde Bk BT" w:hAnsi="AvantGarde Bk BT" w:cs="Arial"/>
          <w:color w:val="000000" w:themeColor="text1"/>
          <w:sz w:val="24"/>
          <w:szCs w:val="24"/>
        </w:rPr>
      </w:pPr>
    </w:p>
    <w:p w14:paraId="175A7ABE" w14:textId="77777777" w:rsidR="00AB54F0" w:rsidRDefault="007B4E6C" w:rsidP="004B0B19">
      <w:pPr>
        <w:pStyle w:val="corte4fondo"/>
        <w:tabs>
          <w:tab w:val="left" w:pos="567"/>
        </w:tabs>
        <w:rPr>
          <w:rFonts w:ascii="AvantGarde Bk BT" w:hAnsi="AvantGarde Bk BT" w:cs="Arial"/>
          <w:color w:val="000000" w:themeColor="text1"/>
          <w:sz w:val="24"/>
          <w:szCs w:val="24"/>
          <w:highlight w:val="yellow"/>
        </w:rPr>
      </w:pPr>
      <w:r w:rsidRPr="00AB54F0">
        <w:rPr>
          <w:rFonts w:ascii="AvantGarde Bk BT" w:hAnsi="AvantGarde Bk BT" w:cs="Arial"/>
          <w:color w:val="000000" w:themeColor="text1"/>
          <w:sz w:val="24"/>
          <w:szCs w:val="24"/>
        </w:rPr>
        <w:t>Ahora</w:t>
      </w:r>
      <w:r w:rsidR="00956935" w:rsidRPr="00AB54F0">
        <w:rPr>
          <w:rFonts w:ascii="AvantGarde Bk BT" w:hAnsi="AvantGarde Bk BT" w:cs="Arial"/>
          <w:color w:val="000000" w:themeColor="text1"/>
          <w:sz w:val="24"/>
          <w:szCs w:val="24"/>
        </w:rPr>
        <w:t xml:space="preserve">, </w:t>
      </w:r>
      <w:r w:rsidR="00325459" w:rsidRPr="00AB54F0">
        <w:rPr>
          <w:rFonts w:ascii="AvantGarde Bk BT" w:hAnsi="AvantGarde Bk BT" w:cs="Arial"/>
          <w:color w:val="000000" w:themeColor="text1"/>
          <w:sz w:val="24"/>
          <w:szCs w:val="24"/>
        </w:rPr>
        <w:t xml:space="preserve">en el informe que rindió el sujeto obligado ante esta Comisión, </w:t>
      </w:r>
      <w:r w:rsidR="006B0283" w:rsidRPr="00AB54F0">
        <w:rPr>
          <w:rFonts w:ascii="AvantGarde Bk BT" w:hAnsi="AvantGarde Bk BT" w:cs="Arial"/>
          <w:color w:val="000000" w:themeColor="text1"/>
          <w:sz w:val="24"/>
          <w:szCs w:val="24"/>
        </w:rPr>
        <w:t>manifestó</w:t>
      </w:r>
      <w:r w:rsidR="00AB54F0" w:rsidRPr="00AB54F0">
        <w:rPr>
          <w:rFonts w:ascii="AvantGarde Bk BT" w:hAnsi="AvantGarde Bk BT" w:cs="Arial"/>
          <w:color w:val="000000" w:themeColor="text1"/>
          <w:sz w:val="24"/>
          <w:szCs w:val="24"/>
        </w:rPr>
        <w:t>:</w:t>
      </w:r>
    </w:p>
    <w:p w14:paraId="54516FD0" w14:textId="68F6D281" w:rsidR="0060491A" w:rsidRPr="00D66646" w:rsidRDefault="00AA3E1B" w:rsidP="00E215D2">
      <w:pPr>
        <w:pStyle w:val="corte4fondo"/>
        <w:tabs>
          <w:tab w:val="left" w:pos="567"/>
        </w:tabs>
        <w:rPr>
          <w:rFonts w:ascii="AvantGarde Bk BT" w:hAnsi="AvantGarde Bk BT" w:cs="Arial"/>
          <w:i/>
          <w:color w:val="000000" w:themeColor="text1"/>
          <w:sz w:val="24"/>
          <w:szCs w:val="24"/>
        </w:rPr>
      </w:pPr>
      <w:r w:rsidRPr="00D66646">
        <w:rPr>
          <w:rFonts w:ascii="AvantGarde Bk BT" w:hAnsi="AvantGarde Bk BT" w:cs="Arial"/>
          <w:i/>
          <w:color w:val="000000" w:themeColor="text1"/>
          <w:sz w:val="24"/>
          <w:szCs w:val="24"/>
        </w:rPr>
        <w:t xml:space="preserve">“[…] Se informa que de conformidad con lo señalado por el artículo 1° de la Ley de Transparencia y Acceso a la Información Pública del Estado, se aplica de manera supletoria la Ley de Procedimientos Administrativos del Estado y Municipios de San Luis Potosí, por su parte, las peticiones al ser formuladas por un mismo peticionario y al tener relación la información peticionada con las demás solicitudes, esta Unidad por economía procesal, procedió a su acumulación al radicadas bajo un solo expediente SAI 231/2018, sirve de apoyo la siguiente tesis emitida por la Segunda Sala </w:t>
      </w:r>
      <w:r w:rsidR="00BD0B97" w:rsidRPr="00D66646">
        <w:rPr>
          <w:rFonts w:ascii="AvantGarde Bk BT" w:hAnsi="AvantGarde Bk BT" w:cs="Arial"/>
          <w:i/>
          <w:color w:val="000000" w:themeColor="text1"/>
          <w:sz w:val="24"/>
          <w:szCs w:val="24"/>
        </w:rPr>
        <w:t>del Poder Judicial de la Federación que dispone:</w:t>
      </w:r>
    </w:p>
    <w:p w14:paraId="05D8ED23" w14:textId="328765DC" w:rsidR="00D66646" w:rsidRPr="00D66646" w:rsidRDefault="00D66646" w:rsidP="00D66646">
      <w:pPr>
        <w:pStyle w:val="corte4fondo"/>
        <w:tabs>
          <w:tab w:val="left" w:pos="567"/>
        </w:tabs>
        <w:ind w:firstLine="0"/>
        <w:rPr>
          <w:rFonts w:ascii="AvantGarde Bk BT" w:hAnsi="AvantGarde Bk BT" w:cs="Arial"/>
          <w:b/>
          <w:bCs/>
          <w:i/>
          <w:color w:val="000000" w:themeColor="text1"/>
          <w:sz w:val="24"/>
          <w:szCs w:val="24"/>
        </w:rPr>
      </w:pPr>
      <w:r w:rsidRPr="00D66646">
        <w:rPr>
          <w:rFonts w:ascii="AvantGarde Bk BT" w:hAnsi="AvantGarde Bk BT" w:cs="Arial"/>
          <w:b/>
          <w:bCs/>
          <w:i/>
          <w:color w:val="000000" w:themeColor="text1"/>
          <w:sz w:val="24"/>
          <w:szCs w:val="24"/>
        </w:rPr>
        <w:t xml:space="preserve">“[ACUMULACION DE JUICIOS. </w:t>
      </w:r>
      <w:r w:rsidRPr="00D66646">
        <w:rPr>
          <w:rFonts w:ascii="AvantGarde Bk BT" w:hAnsi="AvantGarde Bk BT" w:cs="Arial"/>
          <w:i/>
          <w:color w:val="000000" w:themeColor="text1"/>
          <w:sz w:val="24"/>
          <w:szCs w:val="24"/>
        </w:rPr>
        <w:t xml:space="preserve">Hay ocasiones en que es conveniente que varias acciones se tramiten y decidan en un solo juicio, o que varios juicios ya incoados, se fusionen para formar uno que continuará con una sola tramitación y se decidirá con una sola sentencia; si se realiza lo primero, se dice que hay acumulación de acciones, si lo segundo habrá acumulación de autos. Estas dos clases de acumulación no proceden discrecionalmente, sino que la ley fija los casos en que debe tener lugar y para ello toma en cuenta tres de los elementos constitutivos del juicio: los sujetos de la relación procesal, el objeto o cosa que se reclama y la causa o razón de pedir; cuando esos elementos son los mismos en dos o más juicios, éstos son idénticos; si ninguno de esos elementos es común, los juicios serán completamente diversos; cuando alguno de esos elementos son comunes, los juicios son afines, afinidad que </w:t>
      </w:r>
      <w:proofErr w:type="spellStart"/>
      <w:r w:rsidRPr="00D66646">
        <w:rPr>
          <w:rFonts w:ascii="AvantGarde Bk BT" w:hAnsi="AvantGarde Bk BT" w:cs="Arial"/>
          <w:i/>
          <w:color w:val="000000" w:themeColor="text1"/>
          <w:sz w:val="24"/>
          <w:szCs w:val="24"/>
        </w:rPr>
        <w:t>sera</w:t>
      </w:r>
      <w:proofErr w:type="spellEnd"/>
      <w:r w:rsidRPr="00D66646">
        <w:rPr>
          <w:rFonts w:ascii="AvantGarde Bk BT" w:hAnsi="AvantGarde Bk BT" w:cs="Arial"/>
          <w:i/>
          <w:color w:val="000000" w:themeColor="text1"/>
          <w:sz w:val="24"/>
          <w:szCs w:val="24"/>
        </w:rPr>
        <w:t xml:space="preserve"> muy acentuada, si son dos los elementos comunes. </w:t>
      </w:r>
      <w:proofErr w:type="gramStart"/>
      <w:r w:rsidRPr="00D66646">
        <w:rPr>
          <w:rFonts w:ascii="AvantGarde Bk BT" w:hAnsi="AvantGarde Bk BT" w:cs="Arial"/>
          <w:i/>
          <w:color w:val="000000" w:themeColor="text1"/>
          <w:sz w:val="24"/>
          <w:szCs w:val="24"/>
        </w:rPr>
        <w:t>en</w:t>
      </w:r>
      <w:proofErr w:type="gramEnd"/>
      <w:r w:rsidRPr="00D66646">
        <w:rPr>
          <w:rFonts w:ascii="AvantGarde Bk BT" w:hAnsi="AvantGarde Bk BT" w:cs="Arial"/>
          <w:i/>
          <w:color w:val="000000" w:themeColor="text1"/>
          <w:sz w:val="24"/>
          <w:szCs w:val="24"/>
        </w:rPr>
        <w:t xml:space="preserve"> los juicios idénticos y en los afines, procede la acumulación de ellos para que formen uno solo, que se decida con una sentencia, debido a la economía de los juicios y la simplificación del </w:t>
      </w:r>
      <w:r w:rsidRPr="00D66646">
        <w:rPr>
          <w:rFonts w:ascii="AvantGarde Bk BT" w:hAnsi="AvantGarde Bk BT" w:cs="Arial"/>
          <w:i/>
          <w:color w:val="000000" w:themeColor="text1"/>
          <w:sz w:val="24"/>
          <w:szCs w:val="24"/>
        </w:rPr>
        <w:lastRenderedPageBreak/>
        <w:t xml:space="preserve">procedimiento, teniendo en cuenta el prestigio de la autoridad judicial, que sin duda sufre cuando una cuestión relativa se resuelve contradictoriamente por los tribunales, lo que ha hecho en estos casos, que se fusionen dos o más juicios en uno, por medio de la figura jurídica llamada acumulación. No basta para que la acumulación se decrete que existan causas para pedirla, fundadas en la identidad o en la afinidad de los juicios, sino que además debe tenerse en cuenta el estado de tramitación en que se hallen los juicios idénticos o afines, para ver si todavía es posible la acumulación; pues no está permitido a los Jueces ni a los litigantes, dar a los juicios tramitación distinta de la fijada por la ley. El artículo 867 del Código Civil del Distrito, establece que no procede la acumulación cuando los juicios estén en diversas instancias y el artículo siguiente, estatuye que la acumulación puede pedirse en cualquier estado del juicio antes de que se pronuncie sentencia, disposición que reproduce el artículo 1360 del código de comercio. </w:t>
      </w:r>
      <w:proofErr w:type="gramStart"/>
      <w:r w:rsidRPr="00D66646">
        <w:rPr>
          <w:rFonts w:ascii="AvantGarde Bk BT" w:hAnsi="AvantGarde Bk BT" w:cs="Arial"/>
          <w:i/>
          <w:color w:val="000000" w:themeColor="text1"/>
          <w:sz w:val="24"/>
          <w:szCs w:val="24"/>
        </w:rPr>
        <w:t>cuando</w:t>
      </w:r>
      <w:proofErr w:type="gramEnd"/>
      <w:r w:rsidRPr="00D66646">
        <w:rPr>
          <w:rFonts w:ascii="AvantGarde Bk BT" w:hAnsi="AvantGarde Bk BT" w:cs="Arial"/>
          <w:i/>
          <w:color w:val="000000" w:themeColor="text1"/>
          <w:sz w:val="24"/>
          <w:szCs w:val="24"/>
        </w:rPr>
        <w:t xml:space="preserve"> ya se ha pronunciado sentencia en un juicio que es acumulable a otro, la acumulación no llena ninguno de los fines para los que ha sido establecida puesto que no debe extenderse más allá de los procedimientos que se acumulan.</w:t>
      </w:r>
    </w:p>
    <w:p w14:paraId="6E0DFFE0" w14:textId="7B4BEF60" w:rsidR="00D66646" w:rsidRDefault="00D66646" w:rsidP="00D66646">
      <w:pPr>
        <w:pStyle w:val="corte4fondo"/>
        <w:tabs>
          <w:tab w:val="left" w:pos="567"/>
        </w:tabs>
        <w:ind w:firstLine="0"/>
        <w:rPr>
          <w:rFonts w:ascii="AvantGarde Bk BT" w:hAnsi="AvantGarde Bk BT" w:cs="Arial"/>
          <w:i/>
          <w:color w:val="000000" w:themeColor="text1"/>
          <w:sz w:val="24"/>
          <w:szCs w:val="24"/>
        </w:rPr>
      </w:pPr>
      <w:r w:rsidRPr="00D66646">
        <w:rPr>
          <w:rFonts w:ascii="AvantGarde Bk BT" w:hAnsi="AvantGarde Bk BT" w:cs="Arial"/>
          <w:i/>
          <w:color w:val="000000" w:themeColor="text1"/>
          <w:sz w:val="24"/>
          <w:szCs w:val="24"/>
        </w:rPr>
        <w:t>Amparo civil en revisión 7391/40. "Ingenio De Agua Buena", S. A. (Quiebra). 14 de julio de 1941. Mayoría de tres votos. Disidentes: Alfonso Francisco Ramírez y Manuel Bartlett Bautista. La publicación no menciona el nombre del ponente.]”</w:t>
      </w:r>
    </w:p>
    <w:p w14:paraId="5C9ED7E6" w14:textId="640C4BC2" w:rsidR="00D66646" w:rsidRDefault="00D66646" w:rsidP="00D66646">
      <w:pPr>
        <w:pStyle w:val="corte4fondo"/>
        <w:tabs>
          <w:tab w:val="left" w:pos="567"/>
        </w:tabs>
        <w:ind w:firstLine="0"/>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22885AB3" w14:textId="0E2A3DDF" w:rsidR="00D66646" w:rsidRDefault="00C751F5" w:rsidP="00D66646">
      <w:pPr>
        <w:pStyle w:val="corte4fondo"/>
        <w:tabs>
          <w:tab w:val="left" w:pos="567"/>
        </w:tabs>
        <w:ind w:firstLine="0"/>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Contrario a lo manifestado, en ningún momento se señala que se haya preguntado de un software para clasificar y desclasificar información.</w:t>
      </w:r>
    </w:p>
    <w:p w14:paraId="67A3B381" w14:textId="01C25974" w:rsidR="00C751F5" w:rsidRDefault="00C751F5" w:rsidP="00D66646">
      <w:pPr>
        <w:pStyle w:val="corte4fondo"/>
        <w:tabs>
          <w:tab w:val="left" w:pos="567"/>
        </w:tabs>
        <w:ind w:firstLine="0"/>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6F6145DE" w14:textId="4F46F108" w:rsidR="00C751F5" w:rsidRDefault="00C751F5" w:rsidP="00D66646">
      <w:pPr>
        <w:pStyle w:val="corte4fondo"/>
        <w:tabs>
          <w:tab w:val="left" w:pos="567"/>
        </w:tabs>
        <w:ind w:firstLine="0"/>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Los argumentos son parcialmente ciertos, en virtud de que la cantidad total de los recibos, constan de un total de 15 fojas, por lo que al efecto, se elaboraron las versiones públicas correspondientes y se pusieron a disposición del recurrente.</w:t>
      </w:r>
    </w:p>
    <w:p w14:paraId="609F031A" w14:textId="570E0F3E" w:rsidR="00C751F5" w:rsidRPr="00D66646" w:rsidRDefault="00C751F5" w:rsidP="00D66646">
      <w:pPr>
        <w:pStyle w:val="corte4fondo"/>
        <w:tabs>
          <w:tab w:val="left" w:pos="567"/>
        </w:tabs>
        <w:ind w:firstLine="0"/>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Por todo lo anterior, esta Unidad reitera en sus términos la respuesta otorgada al peticionario mediante oficio UIP 345/2018 y anexos DRH/1929/2018 así como el diverso DHR/2260/2018  al cual se acompañan 15 quince recibos de pago en versión pública, signados por la Lic. Alejandra Eugenia González Castro, Directora de Recursos Humanos, por medio de los cuales se dio respuesta a lo peticionado.” </w:t>
      </w:r>
      <w:r w:rsidRPr="00C751F5">
        <w:rPr>
          <w:rFonts w:ascii="AvantGarde Bk BT" w:hAnsi="AvantGarde Bk BT" w:cs="Arial"/>
          <w:color w:val="000000" w:themeColor="text1"/>
          <w:sz w:val="24"/>
          <w:szCs w:val="24"/>
        </w:rPr>
        <w:t>(</w:t>
      </w:r>
      <w:proofErr w:type="gramStart"/>
      <w:r w:rsidRPr="00C751F5">
        <w:rPr>
          <w:rFonts w:ascii="AvantGarde Bk BT" w:hAnsi="AvantGarde Bk BT" w:cs="Arial"/>
          <w:color w:val="000000" w:themeColor="text1"/>
          <w:sz w:val="24"/>
          <w:szCs w:val="24"/>
        </w:rPr>
        <w:t>sic</w:t>
      </w:r>
      <w:proofErr w:type="gramEnd"/>
      <w:r w:rsidRPr="00C751F5">
        <w:rPr>
          <w:rFonts w:ascii="AvantGarde Bk BT" w:hAnsi="AvantGarde Bk BT" w:cs="Arial"/>
          <w:color w:val="000000" w:themeColor="text1"/>
          <w:sz w:val="24"/>
          <w:szCs w:val="24"/>
        </w:rPr>
        <w:t>)</w:t>
      </w:r>
    </w:p>
    <w:p w14:paraId="3E9804A4" w14:textId="77777777" w:rsidR="00BD0B97" w:rsidRDefault="00BD0B97" w:rsidP="00E215D2">
      <w:pPr>
        <w:pStyle w:val="corte4fondo"/>
        <w:tabs>
          <w:tab w:val="left" w:pos="567"/>
        </w:tabs>
        <w:rPr>
          <w:rFonts w:ascii="AvantGarde Bk BT" w:hAnsi="AvantGarde Bk BT" w:cs="Arial"/>
          <w:color w:val="000000" w:themeColor="text1"/>
          <w:sz w:val="24"/>
          <w:szCs w:val="24"/>
        </w:rPr>
      </w:pPr>
    </w:p>
    <w:p w14:paraId="79B311F0" w14:textId="171DDBEB" w:rsidR="00830B63" w:rsidRDefault="00830B63" w:rsidP="00CF5C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Así las cosas, este cuerpo colegiado procede a realizar el estudio de los agravios vertidos por el recurrente:</w:t>
      </w:r>
    </w:p>
    <w:p w14:paraId="455C7810" w14:textId="77777777" w:rsidR="00196F53" w:rsidRDefault="00196F53" w:rsidP="00CF5CD3">
      <w:pPr>
        <w:pStyle w:val="corte4fondo"/>
        <w:tabs>
          <w:tab w:val="left" w:pos="567"/>
        </w:tabs>
        <w:rPr>
          <w:rFonts w:ascii="AvantGarde Bk BT" w:hAnsi="AvantGarde Bk BT" w:cs="Arial"/>
          <w:color w:val="000000" w:themeColor="text1"/>
          <w:sz w:val="24"/>
          <w:szCs w:val="24"/>
        </w:rPr>
      </w:pPr>
    </w:p>
    <w:p w14:paraId="6005482A"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En primer término, este cuerpo colegiado debe pronunciarse respecto al fundamento jurídico empleado el sujeto obligado para sustentar dicha determinación, pues este resulta incorrecto, debido a que la Ley de Procedimientos Administrativos del Estado y Municipios de San Luis Potosí se encuentra abrogada.</w:t>
      </w:r>
      <w:r>
        <w:rPr>
          <w:rFonts w:ascii="AvantGarde Bk BT" w:hAnsi="AvantGarde Bk BT"/>
          <w:color w:val="000000" w:themeColor="text1"/>
          <w:vertAlign w:val="superscript"/>
        </w:rPr>
        <w:footnoteReference w:id="1"/>
      </w:r>
    </w:p>
    <w:p w14:paraId="45AE5A0F"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Dicho lo anterior, es dable señalar que la figura jurídica de la acumulación se encuentra contemplada en el Código Procesal Administrativo para el Estado de San Luis Potosí, que en la porción normativa que interesa señalan lo siguiente: </w:t>
      </w:r>
    </w:p>
    <w:p w14:paraId="4CC1D361"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42D71996"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“ARTÍCULO 125. En los procedimientos contenciosos procede la acumulación de dos o más juicios pendientes de resolver cuando:</w:t>
      </w:r>
    </w:p>
    <w:p w14:paraId="50FD782B"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I. Siendo diferentes las partes e invocándose distintos agravios, el acto impugnado sea uno mismo o se impugnen varias partes del mismo acto y </w:t>
      </w:r>
    </w:p>
    <w:p w14:paraId="26F7D9F2"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II. Sean las partes y los agravios diversos o no, se impugnen actos que sean unos antecedentes o consecuencia de los otros.” </w:t>
      </w:r>
    </w:p>
    <w:p w14:paraId="0D70E7F8"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3F7FBA6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precepto normativo citado con anterioridad, se precisa que la acumulación como figura jurídica, consiste en la integración de distintas partes y distintos motivos de inconformidad que impugnen un mismo acto, el cual, puede ser antecedente o consecuencia de otros. </w:t>
      </w:r>
    </w:p>
    <w:p w14:paraId="221F1328"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1D2EA42C"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en materia de Transparencia y Acceso a la Información, la acumulación se encuentra prevista para la tramitación de recursos de revisión, tal y </w:t>
      </w:r>
      <w:r>
        <w:rPr>
          <w:rFonts w:ascii="AvantGarde Bk BT" w:hAnsi="AvantGarde Bk BT" w:cs="Arial"/>
          <w:color w:val="000000" w:themeColor="text1"/>
          <w:sz w:val="24"/>
          <w:szCs w:val="24"/>
        </w:rPr>
        <w:lastRenderedPageBreak/>
        <w:t>como lo determinó este Órgano Garante a través del Acuerdo CEGAIP-466/2008, aprobado en sesión ordinaria de consejo, celebrada el veinticuatro de septiembre de dos mil ocho, cuyo rubro y texto señalan lo siguiente:</w:t>
      </w:r>
    </w:p>
    <w:p w14:paraId="215D0022"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07DACB28"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“ACUMULACIÓN DE EXPEDIENTE. Se aprueba por unanimidad de votos, que deberá procurar en la medida de lo posible la acumulación a un solo expediente, cuando se trate del mismo recurrente y el mismo ente obligado, y siempre que la información sea del mismo ámbito, con el propósito de dictar una sola resolución para los expedientes acumulados. “ </w:t>
      </w:r>
    </w:p>
    <w:p w14:paraId="6FB076D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5FCC614F"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3EBE04EB"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los Lineamientos para la Recepción, Substanciación, Resolución y Cumplimiento de los Recursos de Revisión promovidos ante la CEGAIP, en la porción normativa que interesa señalan lo siguiente</w:t>
      </w:r>
    </w:p>
    <w:p w14:paraId="1ACF7075"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2319FE1D"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“Décimo segundo. Acumulación. </w:t>
      </w:r>
    </w:p>
    <w:p w14:paraId="37366E8F"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Recibido el Recurso de Revisión. El Comisionado Ponente podrá solicitar al Pleno la acumulación de recursos de revisión, quien en todo caso podrá considerar los mismos elementos de valoración para dos o más recursos de revisión y resolver en el mismo sentido. Una vez cerrada la instrucción no se podrá emitir acuerdo de acumulación. </w:t>
      </w:r>
    </w:p>
    <w:p w14:paraId="3E3C3D7D"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280FC093"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7F5B8AE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Además los Lineamientos para la Implementación y Operación de la Plataforma Nacional de Transparencia, en la porción normativa que interesa señalan lo siguiente: </w:t>
      </w:r>
    </w:p>
    <w:p w14:paraId="75ECFFBB"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201BA923"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 xml:space="preserve">“Octogésimo octavo. Cuando exista la posibilidad de acumular recursos de revisión por haber derivado de respuestas a solicitudes cuyo tema sea similar o idéntico y se trate del mismo sujeto obligado o cuando haya identidad de partes, aquellos encargados de los recursos que fueron recibidos con posterioridad podrán </w:t>
      </w:r>
      <w:r>
        <w:rPr>
          <w:rFonts w:ascii="AvantGarde Bk BT" w:hAnsi="AvantGarde Bk BT" w:cs="Arial"/>
          <w:i/>
          <w:color w:val="000000" w:themeColor="text1"/>
          <w:sz w:val="24"/>
          <w:szCs w:val="24"/>
        </w:rPr>
        <w:lastRenderedPageBreak/>
        <w:t xml:space="preserve">requerir la acumulación al encargado de aquel recurso que haya sido recibido primero, mediante el SIGEMI. Para tales efectos, podrán iniciar un subproceso de acumulación, en el cual deberán indicar a qué recurso requieren que sea acumulado. El encargado que tiene recurso más antiguo. Será notificado de dicha solicitud a través del tablero de “Notificaciones” y podrá aceptar o rechazar la acumulación. Sin importar cuál sea la elección, será notificada a quien solicitó la acumulación mediante el tablero “notificaciones.” </w:t>
      </w:r>
    </w:p>
    <w:p w14:paraId="60347576" w14:textId="77777777" w:rsidR="00791A4B" w:rsidRDefault="00791A4B" w:rsidP="00791A4B">
      <w:pPr>
        <w:pStyle w:val="corte4fondo"/>
        <w:tabs>
          <w:tab w:val="left" w:pos="567"/>
        </w:tabs>
        <w:ind w:firstLine="851"/>
        <w:rPr>
          <w:rFonts w:ascii="AvantGarde Bk BT" w:hAnsi="AvantGarde Bk BT" w:cs="Arial"/>
          <w:i/>
          <w:color w:val="000000" w:themeColor="text1"/>
          <w:sz w:val="24"/>
          <w:szCs w:val="24"/>
        </w:rPr>
      </w:pPr>
      <w:r>
        <w:rPr>
          <w:rFonts w:ascii="AvantGarde Bk BT" w:hAnsi="AvantGarde Bk BT" w:cs="Arial"/>
          <w:i/>
          <w:color w:val="000000" w:themeColor="text1"/>
          <w:sz w:val="24"/>
          <w:szCs w:val="24"/>
        </w:rPr>
        <w:t>[...]”</w:t>
      </w:r>
    </w:p>
    <w:p w14:paraId="578B103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0CFA4B2E"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otro lado, el sujeto obligado motiva la acumulación de las solicitudes de información por existir elementos comunes, tales como: </w:t>
      </w:r>
      <w:proofErr w:type="gramStart"/>
      <w:r>
        <w:rPr>
          <w:rFonts w:ascii="AvantGarde Bk BT" w:hAnsi="AvantGarde Bk BT" w:cs="Arial"/>
          <w:color w:val="000000" w:themeColor="text1"/>
          <w:sz w:val="24"/>
          <w:szCs w:val="24"/>
        </w:rPr>
        <w:t>la identidad</w:t>
      </w:r>
      <w:proofErr w:type="gramEnd"/>
      <w:r>
        <w:rPr>
          <w:rFonts w:ascii="AvantGarde Bk BT" w:hAnsi="AvantGarde Bk BT" w:cs="Arial"/>
          <w:color w:val="000000" w:themeColor="text1"/>
          <w:sz w:val="24"/>
          <w:szCs w:val="24"/>
        </w:rPr>
        <w:t xml:space="preserve"> del solicitante y la relación entre la información solicitada, así como la economía procesal; sin embargo, dichas consideración también resultan ser erróneas e insuficientes.</w:t>
      </w:r>
    </w:p>
    <w:p w14:paraId="7922C97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469815C7"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Pues como puede advertirse de la citada normatividad, el momento adecuado para decretar la acumulación sería una vez que el solicitante de la información decidiera recurrir en revisión la respuesta otorgada por el sujeto obligado y, dicha acumulación le competería a este cuerpo colegiado, pues así se cumplirían los elementos esenciales que dicha figura procesal exige (identidad de partes, respuestas a solicitudes cuyo tema sea similar o idéntico y etapa procesal adecuada)</w:t>
      </w:r>
    </w:p>
    <w:p w14:paraId="53883FA5"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resulta oportuno hacer el señalamiento de que las solicitudes de información son independientes entre sí y por ende las respuestas que debió entregar el sujeto obligado no debiesen ser conexas.</w:t>
      </w:r>
    </w:p>
    <w:p w14:paraId="2CFE7A4E"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39A6C240"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De lo anterior resulta que es procedente la acumulación en la tramitación de recursos de revisión, cuando en diversas solicitudes se requiera información cuyo tema resulte similar o cuando haya identidad de partes y que aquello que se requiere sea del mismo ámbito, por lo que del análisis de la respuesta otorgada por el Poder Judicial del Estado, si bien es cierto que existe identidad de partes es decir, el solicitante y el Sujeto Obligado son coincidentes, en el caso concreto, esta Comisión estima que la naturaleza de la información requerida es diversa.</w:t>
      </w:r>
    </w:p>
    <w:p w14:paraId="4D76E8C4"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65CC870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Por tanto, este Órgano Garante estima que en atención a lo establecido en los artículos 17</w:t>
      </w:r>
      <w:r>
        <w:rPr>
          <w:rFonts w:ascii="AvantGarde Bk BT" w:hAnsi="AvantGarde Bk BT"/>
          <w:color w:val="000000" w:themeColor="text1"/>
          <w:sz w:val="24"/>
          <w:vertAlign w:val="superscript"/>
        </w:rPr>
        <w:footnoteReference w:id="2"/>
      </w:r>
      <w:r>
        <w:rPr>
          <w:rFonts w:ascii="AvantGarde Bk BT" w:hAnsi="AvantGarde Bk BT" w:cs="Arial"/>
          <w:color w:val="000000" w:themeColor="text1"/>
          <w:sz w:val="24"/>
          <w:szCs w:val="24"/>
        </w:rPr>
        <w:t xml:space="preserve"> y 62</w:t>
      </w:r>
      <w:r>
        <w:rPr>
          <w:rFonts w:ascii="AvantGarde Bk BT" w:hAnsi="AvantGarde Bk BT"/>
          <w:color w:val="000000" w:themeColor="text1"/>
          <w:sz w:val="24"/>
          <w:vertAlign w:val="superscript"/>
        </w:rPr>
        <w:footnoteReference w:id="3"/>
      </w:r>
      <w:r>
        <w:rPr>
          <w:rFonts w:ascii="AvantGarde Bk BT" w:hAnsi="AvantGarde Bk BT" w:cs="Arial"/>
          <w:color w:val="000000" w:themeColor="text1"/>
          <w:sz w:val="24"/>
          <w:szCs w:val="24"/>
        </w:rPr>
        <w:t xml:space="preserve"> de la Ley de Transparencia y Acceso a la Información Pública del Estado, el Poder Judicial del Estado, debe atender de manera individual cada folio de solicitud de acceso y en consecuencia privilegiar la entrega sin costo de la información solicitada, en atención a las consideraciones vertidas en el considerando cuarto de la presente resolución, tal como lo refiere el numeral 165</w:t>
      </w:r>
      <w:r>
        <w:rPr>
          <w:rFonts w:ascii="AvantGarde Bk BT" w:hAnsi="AvantGarde Bk BT"/>
          <w:color w:val="000000" w:themeColor="text1"/>
          <w:vertAlign w:val="superscript"/>
        </w:rPr>
        <w:footnoteReference w:id="4"/>
      </w:r>
      <w:r>
        <w:rPr>
          <w:rFonts w:ascii="AvantGarde Bk BT" w:hAnsi="AvantGarde Bk BT" w:cs="Arial"/>
          <w:color w:val="000000" w:themeColor="text1"/>
          <w:sz w:val="24"/>
          <w:szCs w:val="24"/>
          <w:vertAlign w:val="superscript"/>
        </w:rPr>
        <w:t xml:space="preserve"> </w:t>
      </w:r>
      <w:r>
        <w:rPr>
          <w:rFonts w:ascii="AvantGarde Bk BT" w:hAnsi="AvantGarde Bk BT" w:cs="Arial"/>
          <w:color w:val="000000" w:themeColor="text1"/>
          <w:sz w:val="24"/>
          <w:szCs w:val="24"/>
        </w:rPr>
        <w:t>de la citada normatividad, ello así con la finalidad de instituir procedimientos y condiciones homogéneas en el ejercicio del derecho de acceso a la información, mediante procedimientos sencillos y expeditos para los particulares.</w:t>
      </w:r>
    </w:p>
    <w:p w14:paraId="404475E9"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p>
    <w:p w14:paraId="5B434F42" w14:textId="77777777" w:rsidR="00791A4B" w:rsidRDefault="00791A4B" w:rsidP="00791A4B">
      <w:pPr>
        <w:pStyle w:val="corte4fondo"/>
        <w:tabs>
          <w:tab w:val="left" w:pos="567"/>
        </w:tabs>
        <w:ind w:firstLine="851"/>
        <w:rPr>
          <w:rFonts w:ascii="AvantGarde Bk BT" w:hAnsi="AvantGarde Bk BT" w:cs="Arial"/>
          <w:color w:val="000000" w:themeColor="text1"/>
          <w:sz w:val="24"/>
          <w:szCs w:val="24"/>
        </w:rPr>
      </w:pPr>
      <w:r>
        <w:rPr>
          <w:rFonts w:ascii="AvantGarde Bk BT" w:hAnsi="AvantGarde Bk BT" w:cs="Arial"/>
          <w:color w:val="000000" w:themeColor="text1"/>
          <w:sz w:val="24"/>
          <w:szCs w:val="24"/>
        </w:rPr>
        <w:t>Debido a lo anterior, esta Comisión Estatal de Garantía de Acceso a la Información Pública de San Luis Potosí,  apercibe al sujeto obligado para efecto de que en lo sucesivo se abstenga de decretar acumulaciones de solicitudes de información de manera innecesaria, ya que en caso contrario con fundamento en lo dispuesto por el artículo 190, fracción II de la Ley de la materia, se le impondrá una medida de apremio consistente en una multa.</w:t>
      </w:r>
    </w:p>
    <w:p w14:paraId="4148D9B1" w14:textId="77777777" w:rsidR="00A703E5" w:rsidRDefault="00A703E5" w:rsidP="00791A4B">
      <w:pPr>
        <w:pStyle w:val="corte4fondo"/>
        <w:tabs>
          <w:tab w:val="left" w:pos="567"/>
        </w:tabs>
        <w:ind w:firstLine="0"/>
        <w:rPr>
          <w:rFonts w:ascii="AvantGarde Bk BT" w:hAnsi="AvantGarde Bk BT" w:cs="Arial"/>
          <w:color w:val="000000" w:themeColor="text1"/>
          <w:sz w:val="24"/>
          <w:szCs w:val="24"/>
        </w:rPr>
      </w:pPr>
    </w:p>
    <w:p w14:paraId="43074C3D" w14:textId="77777777" w:rsidR="00A703E5" w:rsidRDefault="00E30B92" w:rsidP="00CF5C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el recurrente señaló que no se le proporcionan los costos de reproducción de manera independiente; a este respecto es dable señalar que le asiste la raz</w:t>
      </w:r>
      <w:r w:rsidR="00A703E5">
        <w:rPr>
          <w:rFonts w:ascii="AvantGarde Bk BT" w:hAnsi="AvantGarde Bk BT" w:cs="Arial"/>
          <w:color w:val="000000" w:themeColor="text1"/>
          <w:sz w:val="24"/>
          <w:szCs w:val="24"/>
        </w:rPr>
        <w:t>ón.</w:t>
      </w:r>
    </w:p>
    <w:p w14:paraId="0B07CD52" w14:textId="77777777" w:rsidR="00196F53" w:rsidRDefault="00196F53" w:rsidP="00CF5CD3">
      <w:pPr>
        <w:pStyle w:val="corte4fondo"/>
        <w:tabs>
          <w:tab w:val="left" w:pos="567"/>
        </w:tabs>
        <w:rPr>
          <w:rFonts w:ascii="AvantGarde Bk BT" w:hAnsi="AvantGarde Bk BT" w:cs="Arial"/>
          <w:color w:val="000000" w:themeColor="text1"/>
          <w:sz w:val="24"/>
          <w:szCs w:val="24"/>
        </w:rPr>
      </w:pPr>
    </w:p>
    <w:p w14:paraId="17EB74C0" w14:textId="562B7514" w:rsidR="00E30B92" w:rsidRDefault="00A703E5" w:rsidP="00A703E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resulta importante mencionar que, si bien es cierto</w:t>
      </w:r>
      <w:r w:rsidR="00E30B92">
        <w:rPr>
          <w:rFonts w:ascii="AvantGarde Bk BT" w:hAnsi="AvantGarde Bk BT" w:cs="Arial"/>
          <w:color w:val="000000" w:themeColor="text1"/>
          <w:sz w:val="24"/>
          <w:szCs w:val="24"/>
        </w:rPr>
        <w:t xml:space="preserve"> el sujeto obligado respondió en el oficio DRH/1929/2018 que los recibos de pago </w:t>
      </w:r>
      <w:r>
        <w:rPr>
          <w:rFonts w:ascii="AvantGarde Bk BT" w:hAnsi="AvantGarde Bk BT" w:cs="Arial"/>
          <w:color w:val="000000" w:themeColor="text1"/>
          <w:sz w:val="24"/>
          <w:szCs w:val="24"/>
        </w:rPr>
        <w:t xml:space="preserve">de Patricia Guadalupe Vélez Nieto, Alejandro Zavala Dávila y Gerardo García Rodríguez, </w:t>
      </w:r>
      <w:r w:rsidR="00E30B92">
        <w:rPr>
          <w:rFonts w:ascii="AvantGarde Bk BT" w:hAnsi="AvantGarde Bk BT" w:cs="Arial"/>
          <w:color w:val="000000" w:themeColor="text1"/>
          <w:sz w:val="24"/>
          <w:szCs w:val="24"/>
        </w:rPr>
        <w:lastRenderedPageBreak/>
        <w:t xml:space="preserve">correspondientes al mes de diciembre de 2017 </w:t>
      </w:r>
      <w:r>
        <w:rPr>
          <w:rFonts w:ascii="AvantGarde Bk BT" w:hAnsi="AvantGarde Bk BT" w:cs="Arial"/>
          <w:color w:val="000000" w:themeColor="text1"/>
          <w:sz w:val="24"/>
          <w:szCs w:val="24"/>
        </w:rPr>
        <w:t>dos mil diecisiete, constaban de 5 cinco recibos por cada uno; también lo es que en el mencionado oficio no se menciona de cuantas fojas consta cada uno de los recibos.</w:t>
      </w:r>
    </w:p>
    <w:p w14:paraId="54B78B15" w14:textId="77777777" w:rsidR="00196F53" w:rsidRDefault="00196F53" w:rsidP="00A703E5">
      <w:pPr>
        <w:pStyle w:val="corte4fondo"/>
        <w:tabs>
          <w:tab w:val="left" w:pos="567"/>
        </w:tabs>
        <w:rPr>
          <w:rFonts w:ascii="AvantGarde Bk BT" w:hAnsi="AvantGarde Bk BT" w:cs="Arial"/>
          <w:color w:val="000000" w:themeColor="text1"/>
          <w:sz w:val="24"/>
          <w:szCs w:val="24"/>
        </w:rPr>
      </w:pPr>
    </w:p>
    <w:p w14:paraId="6E6C920A" w14:textId="662F14E2" w:rsidR="00A703E5" w:rsidRDefault="00A703E5" w:rsidP="00A703E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se advierte que en el oficio en comento</w:t>
      </w:r>
      <w:r w:rsidR="00196F53">
        <w:rPr>
          <w:rFonts w:ascii="AvantGarde Bk BT" w:hAnsi="AvantGarde Bk BT" w:cs="Arial"/>
          <w:color w:val="000000" w:themeColor="text1"/>
          <w:sz w:val="24"/>
          <w:szCs w:val="24"/>
        </w:rPr>
        <w:t xml:space="preserve">, literalmente dice: </w:t>
      </w:r>
      <w:r w:rsidR="00196F53" w:rsidRPr="00196F53">
        <w:rPr>
          <w:rFonts w:ascii="AvantGarde Bk BT" w:hAnsi="AvantGarde Bk BT" w:cs="Arial"/>
          <w:i/>
          <w:color w:val="000000" w:themeColor="text1"/>
          <w:sz w:val="24"/>
          <w:szCs w:val="24"/>
        </w:rPr>
        <w:t>“[…] la información requerida la misma consta de 53 cincuenta y tres fojas en versión pública, lo que se entregará previo pago de derechos que se acrediten por la cantidad que corresponda, de conformidad con lo señalado en el artículo 62 con relación al artículo 165 de la Ley de Transparencia y Acceso a la Información Pública del Estado de San Luis Potosí y el artículo 1° de la Ley de Ingresos del Estado de San Luis Potosí […]”</w:t>
      </w:r>
      <w:r w:rsidR="00196F53">
        <w:rPr>
          <w:rFonts w:ascii="AvantGarde Bk BT" w:hAnsi="AvantGarde Bk BT" w:cs="Arial"/>
          <w:color w:val="000000" w:themeColor="text1"/>
          <w:sz w:val="24"/>
          <w:szCs w:val="24"/>
        </w:rPr>
        <w:t xml:space="preserve"> (sic)</w:t>
      </w:r>
    </w:p>
    <w:p w14:paraId="37410708" w14:textId="77777777" w:rsidR="00196F53" w:rsidRDefault="00196F53" w:rsidP="00CF5CD3">
      <w:pPr>
        <w:pStyle w:val="corte4fondo"/>
        <w:tabs>
          <w:tab w:val="left" w:pos="567"/>
        </w:tabs>
        <w:rPr>
          <w:rFonts w:ascii="AvantGarde Bk BT" w:hAnsi="AvantGarde Bk BT" w:cs="Arial"/>
          <w:color w:val="000000" w:themeColor="text1"/>
          <w:sz w:val="24"/>
          <w:szCs w:val="24"/>
        </w:rPr>
      </w:pPr>
    </w:p>
    <w:p w14:paraId="2198DCA5" w14:textId="325E1872" w:rsidR="003D0B1D" w:rsidRPr="003D0B1D" w:rsidRDefault="00196F53" w:rsidP="003D0B1D">
      <w:pPr>
        <w:pStyle w:val="corte4fondo"/>
        <w:tabs>
          <w:tab w:val="left" w:pos="567"/>
        </w:tabs>
        <w:rPr>
          <w:rFonts w:ascii="AvantGarde Bk BT" w:hAnsi="AvantGarde Bk BT" w:cs="Arial"/>
          <w:i/>
          <w:color w:val="000000" w:themeColor="text1"/>
          <w:sz w:val="24"/>
          <w:szCs w:val="24"/>
        </w:rPr>
      </w:pPr>
      <w:r>
        <w:rPr>
          <w:rFonts w:ascii="AvantGarde Bk BT" w:hAnsi="AvantGarde Bk BT" w:cs="Arial"/>
          <w:color w:val="000000" w:themeColor="text1"/>
          <w:sz w:val="24"/>
          <w:szCs w:val="24"/>
        </w:rPr>
        <w:t xml:space="preserve">Ahora bien, el sujeto obligado </w:t>
      </w:r>
      <w:r w:rsidR="003D0B1D">
        <w:rPr>
          <w:rFonts w:ascii="AvantGarde Bk BT" w:hAnsi="AvantGarde Bk BT" w:cs="Arial"/>
          <w:color w:val="000000" w:themeColor="text1"/>
          <w:sz w:val="24"/>
          <w:szCs w:val="24"/>
        </w:rPr>
        <w:t xml:space="preserve">manifestó en el informe ordenado en el auto de admisión que: “[…] </w:t>
      </w:r>
      <w:r w:rsidR="003D0B1D" w:rsidRPr="003D0B1D">
        <w:rPr>
          <w:rFonts w:ascii="AvantGarde Bk BT" w:hAnsi="AvantGarde Bk BT" w:cs="Arial"/>
          <w:i/>
          <w:color w:val="000000" w:themeColor="text1"/>
          <w:sz w:val="24"/>
          <w:szCs w:val="24"/>
        </w:rPr>
        <w:t>Los argumentos son parcialmente ciertos, en virtud de que la cantidad total de los recibos, constan de un total de 15 fojas, por lo que al efecto, se elaboraron las versiones públicas correspondientes y se pusieron a disposición del recurrente.</w:t>
      </w:r>
    </w:p>
    <w:p w14:paraId="205F81EB" w14:textId="7C1E52DE" w:rsidR="00196F53" w:rsidRDefault="003D0B1D" w:rsidP="003D0B1D">
      <w:pPr>
        <w:pStyle w:val="corte4fondo"/>
        <w:tabs>
          <w:tab w:val="left" w:pos="567"/>
        </w:tabs>
        <w:rPr>
          <w:rFonts w:ascii="AvantGarde Bk BT" w:hAnsi="AvantGarde Bk BT" w:cs="Arial"/>
          <w:color w:val="000000" w:themeColor="text1"/>
          <w:sz w:val="24"/>
          <w:szCs w:val="24"/>
        </w:rPr>
      </w:pPr>
      <w:r w:rsidRPr="003D0B1D">
        <w:rPr>
          <w:rFonts w:ascii="AvantGarde Bk BT" w:hAnsi="AvantGarde Bk BT" w:cs="Arial"/>
          <w:i/>
          <w:color w:val="000000" w:themeColor="text1"/>
          <w:sz w:val="24"/>
          <w:szCs w:val="24"/>
        </w:rPr>
        <w:t>Por todo lo anterior, esta Unidad reitera en sus términos la respuesta otorgada al peticionario mediante oficio UIP 345/2018 y anexos DRH/1929/2018 así como el diverso DHR/2260/2018  al cual se acompañan 15 quince recibos de pago en versión pública, signados por la Lic. Alejandra Eugenia González Castro, Directora de Recursos Humanos, por medio de los cuales se dio respuesta a lo peticionad</w:t>
      </w:r>
      <w:r>
        <w:rPr>
          <w:rFonts w:ascii="AvantGarde Bk BT" w:hAnsi="AvantGarde Bk BT" w:cs="Arial"/>
          <w:i/>
          <w:color w:val="000000" w:themeColor="text1"/>
          <w:sz w:val="24"/>
          <w:szCs w:val="24"/>
        </w:rPr>
        <w:t>.”</w:t>
      </w:r>
    </w:p>
    <w:p w14:paraId="5EDC8DED" w14:textId="77777777" w:rsidR="003D0B1D" w:rsidRDefault="003D0B1D" w:rsidP="00CF5CD3">
      <w:pPr>
        <w:pStyle w:val="corte4fondo"/>
        <w:tabs>
          <w:tab w:val="left" w:pos="567"/>
        </w:tabs>
        <w:rPr>
          <w:rFonts w:ascii="AvantGarde Bk BT" w:hAnsi="AvantGarde Bk BT" w:cs="Arial"/>
          <w:color w:val="000000" w:themeColor="text1"/>
          <w:sz w:val="24"/>
          <w:szCs w:val="24"/>
        </w:rPr>
      </w:pPr>
    </w:p>
    <w:p w14:paraId="4E3DA5FF" w14:textId="0C903905" w:rsidR="003D0B1D" w:rsidRDefault="003D0B1D" w:rsidP="00CF5CD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 este respecto, se debe hacer el señalamiento de que en autos no obra constancia del oficio </w:t>
      </w:r>
      <w:r w:rsidRPr="003D0B1D">
        <w:rPr>
          <w:rFonts w:ascii="AvantGarde Bk BT" w:hAnsi="AvantGarde Bk BT" w:cs="Arial"/>
          <w:color w:val="000000" w:themeColor="text1"/>
          <w:sz w:val="24"/>
          <w:szCs w:val="24"/>
        </w:rPr>
        <w:t>DHR/2260/2018,</w:t>
      </w:r>
      <w:r>
        <w:rPr>
          <w:rFonts w:ascii="AvantGarde Bk BT" w:hAnsi="AvantGarde Bk BT" w:cs="Arial"/>
          <w:color w:val="000000" w:themeColor="text1"/>
          <w:sz w:val="24"/>
          <w:szCs w:val="24"/>
        </w:rPr>
        <w:t xml:space="preserve"> por lo que esta comisión no tiene la certeza de que las versiones públicas de los recibos de pago de Patricia Guadalupe Vélez Nieto, Alejandro Zavala Dávila y Gerardo García Rodríguez, correspondientes al mes de diciembre de 2017 dos mil diecisiete hayan sido entregados al recurrente.</w:t>
      </w:r>
    </w:p>
    <w:p w14:paraId="28467218" w14:textId="77777777" w:rsidR="003D0B1D" w:rsidRDefault="003D0B1D" w:rsidP="00CF5CD3">
      <w:pPr>
        <w:pStyle w:val="corte4fondo"/>
        <w:tabs>
          <w:tab w:val="left" w:pos="567"/>
        </w:tabs>
        <w:rPr>
          <w:rFonts w:ascii="AvantGarde Bk BT" w:hAnsi="AvantGarde Bk BT" w:cs="Arial"/>
          <w:color w:val="000000" w:themeColor="text1"/>
          <w:sz w:val="24"/>
          <w:szCs w:val="24"/>
        </w:rPr>
      </w:pPr>
    </w:p>
    <w:p w14:paraId="04BDC298" w14:textId="4D4CE186" w:rsidR="00791A4B" w:rsidRDefault="00791A4B" w:rsidP="00791A4B">
      <w:pPr>
        <w:pStyle w:val="corte4fondo"/>
        <w:tabs>
          <w:tab w:val="left" w:pos="567"/>
        </w:tabs>
        <w:ind w:firstLine="851"/>
        <w:rPr>
          <w:rFonts w:cs="Arial"/>
          <w:sz w:val="24"/>
          <w:szCs w:val="24"/>
        </w:rPr>
      </w:pPr>
      <w:r>
        <w:rPr>
          <w:rFonts w:ascii="AvantGarde Bk BT" w:hAnsi="AvantGarde Bk BT" w:cs="Arial"/>
          <w:color w:val="000000" w:themeColor="text1"/>
          <w:sz w:val="24"/>
          <w:szCs w:val="24"/>
        </w:rPr>
        <w:t xml:space="preserve">Pues bien, estas consideraciones encuentran una motivación más profunda, ya que derivado de la acumulación efectuada por la autoridad, no se atiende al </w:t>
      </w:r>
      <w:r>
        <w:rPr>
          <w:rFonts w:ascii="AvantGarde Bk BT" w:hAnsi="AvantGarde Bk BT" w:cs="Arial"/>
          <w:color w:val="000000" w:themeColor="text1"/>
          <w:sz w:val="24"/>
          <w:szCs w:val="24"/>
        </w:rPr>
        <w:lastRenderedPageBreak/>
        <w:t>principio de gratuidad, ya que por el cúmulo de información que contiene la respuesta, se genera un coste mayor para el particular a diferencia del trámite individual que debió otorgársele en el momento procesal oportuno, ya que debido a la acumulación no se observa de manera correcta lo establecido en el artículo 165</w:t>
      </w:r>
      <w:r>
        <w:rPr>
          <w:rFonts w:ascii="AvantGarde Bk BT" w:hAnsi="AvantGarde Bk BT"/>
          <w:color w:val="000000" w:themeColor="text1"/>
          <w:sz w:val="24"/>
          <w:vertAlign w:val="superscript"/>
        </w:rPr>
        <w:footnoteReference w:id="5"/>
      </w:r>
      <w:r>
        <w:rPr>
          <w:rFonts w:ascii="AvantGarde Bk BT" w:hAnsi="AvantGarde Bk BT" w:cs="Arial"/>
          <w:color w:val="000000" w:themeColor="text1"/>
          <w:sz w:val="18"/>
          <w:szCs w:val="24"/>
        </w:rPr>
        <w:t xml:space="preserve"> </w:t>
      </w:r>
      <w:r>
        <w:rPr>
          <w:rFonts w:ascii="AvantGarde Bk BT" w:hAnsi="AvantGarde Bk BT" w:cs="Arial"/>
          <w:color w:val="000000" w:themeColor="text1"/>
          <w:sz w:val="24"/>
          <w:szCs w:val="24"/>
        </w:rPr>
        <w:t xml:space="preserve">de la Ley de la materia es decir, que la información se entregue sin costo, cuando implique la entrega de no más de veinte hojas simples. </w:t>
      </w:r>
    </w:p>
    <w:p w14:paraId="714F1870" w14:textId="436B979B" w:rsidR="009E7E9F" w:rsidRDefault="004B1FE2" w:rsidP="00460DFB">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11A3E2A3" w14:textId="421A59AA" w:rsidR="004B1FE2" w:rsidRDefault="004B1FE2" w:rsidP="004B1FE2">
      <w:pPr>
        <w:pStyle w:val="corte4fondo"/>
        <w:tabs>
          <w:tab w:val="left" w:pos="567"/>
        </w:tabs>
        <w:rPr>
          <w:rFonts w:ascii="AvantGarde Bk BT" w:hAnsi="AvantGarde Bk BT" w:cs="Arial"/>
          <w:color w:val="000000" w:themeColor="text1"/>
          <w:sz w:val="24"/>
          <w:szCs w:val="24"/>
        </w:rPr>
      </w:pPr>
      <w:bookmarkStart w:id="0" w:name="_GoBack"/>
      <w:r>
        <w:rPr>
          <w:rFonts w:ascii="AvantGarde Bk BT" w:hAnsi="AvantGarde Bk BT" w:cs="Arial"/>
          <w:color w:val="000000" w:themeColor="text1"/>
          <w:sz w:val="24"/>
          <w:szCs w:val="24"/>
        </w:rPr>
        <w:t xml:space="preserve">No pasa por desapercibido para este cuerpo colegiado que, la ampliación decretada por el sujeto obligado es ilegal, debido a que la ley de la materia señala que los procedimientos de acceso a la información deberán de ser </w:t>
      </w:r>
      <w:r w:rsidR="0075680D">
        <w:rPr>
          <w:rFonts w:ascii="AvantGarde Bk BT" w:hAnsi="AvantGarde Bk BT" w:cs="Arial"/>
          <w:color w:val="000000" w:themeColor="text1"/>
          <w:sz w:val="24"/>
          <w:szCs w:val="24"/>
        </w:rPr>
        <w:t>sencillo y expedito</w:t>
      </w:r>
      <w:r w:rsidR="0075680D">
        <w:rPr>
          <w:rStyle w:val="Refdenotaalpie"/>
          <w:rFonts w:ascii="AvantGarde Bk BT" w:hAnsi="AvantGarde Bk BT" w:cs="Arial"/>
          <w:color w:val="000000" w:themeColor="text1"/>
          <w:sz w:val="24"/>
          <w:szCs w:val="24"/>
        </w:rPr>
        <w:footnoteReference w:id="6"/>
      </w:r>
      <w:r w:rsidR="0075680D">
        <w:rPr>
          <w:rFonts w:ascii="AvantGarde Bk BT" w:hAnsi="AvantGarde Bk BT" w:cs="Arial"/>
          <w:color w:val="000000" w:themeColor="text1"/>
          <w:sz w:val="24"/>
          <w:szCs w:val="24"/>
        </w:rPr>
        <w:t>, además de que cuando la información ya se encuentre disponible en libros, trípticos o sitios de internet, se hará del conocimiento del particular en un plazo que no excederá de cinco días</w:t>
      </w:r>
      <w:r w:rsidR="0075680D">
        <w:rPr>
          <w:rStyle w:val="Refdenotaalpie"/>
          <w:rFonts w:ascii="AvantGarde Bk BT" w:hAnsi="AvantGarde Bk BT" w:cs="Arial"/>
          <w:color w:val="000000" w:themeColor="text1"/>
          <w:sz w:val="24"/>
          <w:szCs w:val="24"/>
        </w:rPr>
        <w:footnoteReference w:id="7"/>
      </w:r>
      <w:r w:rsidR="0075680D">
        <w:rPr>
          <w:rFonts w:ascii="AvantGarde Bk BT" w:hAnsi="AvantGarde Bk BT" w:cs="Arial"/>
          <w:color w:val="000000" w:themeColor="text1"/>
          <w:sz w:val="24"/>
          <w:szCs w:val="24"/>
        </w:rPr>
        <w:t>.</w:t>
      </w:r>
    </w:p>
    <w:bookmarkEnd w:id="0"/>
    <w:p w14:paraId="697ACC19" w14:textId="77777777" w:rsidR="0075680D" w:rsidRDefault="0075680D" w:rsidP="004B1FE2">
      <w:pPr>
        <w:pStyle w:val="corte4fondo"/>
        <w:tabs>
          <w:tab w:val="left" w:pos="567"/>
        </w:tabs>
        <w:rPr>
          <w:rFonts w:ascii="AvantGarde Bk BT" w:hAnsi="AvantGarde Bk BT" w:cs="Arial"/>
          <w:color w:val="000000" w:themeColor="text1"/>
          <w:sz w:val="24"/>
          <w:szCs w:val="24"/>
        </w:rPr>
      </w:pPr>
    </w:p>
    <w:p w14:paraId="026984F1"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251DB59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FCC49DB" w14:textId="4A9B4B39" w:rsidR="00250873" w:rsidRDefault="00250873" w:rsidP="00792F2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3D0B1D">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14:paraId="54ED6E28" w14:textId="77777777" w:rsidR="00791A4B" w:rsidRPr="007C5605" w:rsidRDefault="00791A4B" w:rsidP="00792F20">
      <w:pPr>
        <w:pStyle w:val="corte4fondo"/>
        <w:tabs>
          <w:tab w:val="left" w:pos="567"/>
        </w:tabs>
        <w:rPr>
          <w:rFonts w:ascii="AvantGarde Bk BT" w:hAnsi="AvantGarde Bk BT" w:cs="Arial"/>
          <w:color w:val="000000" w:themeColor="text1"/>
          <w:sz w:val="24"/>
          <w:szCs w:val="24"/>
        </w:rPr>
      </w:pPr>
    </w:p>
    <w:p w14:paraId="696BDF39" w14:textId="77777777" w:rsidR="003D0B1D" w:rsidRPr="003D0B1D" w:rsidRDefault="00250873" w:rsidP="003D0B1D">
      <w:pPr>
        <w:pStyle w:val="corte4fondo"/>
        <w:numPr>
          <w:ilvl w:val="0"/>
          <w:numId w:val="29"/>
        </w:numPr>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Entregue</w:t>
      </w:r>
      <w:r w:rsidR="00792F20">
        <w:rPr>
          <w:rFonts w:ascii="AvantGarde Bk BT" w:hAnsi="AvantGarde Bk BT" w:cs="Arial"/>
          <w:color w:val="000000" w:themeColor="text1"/>
          <w:sz w:val="24"/>
          <w:szCs w:val="24"/>
        </w:rPr>
        <w:t xml:space="preserve"> </w:t>
      </w:r>
      <w:r w:rsidR="0014704E" w:rsidRPr="0014704E">
        <w:rPr>
          <w:rFonts w:ascii="AvantGarde Bk BT" w:hAnsi="AvantGarde Bk BT" w:cs="Arial"/>
          <w:color w:val="000000" w:themeColor="text1"/>
          <w:sz w:val="24"/>
          <w:szCs w:val="24"/>
        </w:rPr>
        <w:t xml:space="preserve">la información </w:t>
      </w:r>
      <w:r w:rsidR="00792F20">
        <w:rPr>
          <w:rFonts w:ascii="AvantGarde Bk BT" w:hAnsi="AvantGarde Bk BT" w:cs="Arial"/>
          <w:color w:val="000000" w:themeColor="text1"/>
          <w:sz w:val="24"/>
          <w:szCs w:val="24"/>
        </w:rPr>
        <w:t xml:space="preserve">consistente en </w:t>
      </w:r>
      <w:r w:rsidR="003D0B1D" w:rsidRPr="003D0B1D">
        <w:rPr>
          <w:rFonts w:ascii="AvantGarde Bk BT" w:hAnsi="AvantGarde Bk BT" w:cs="Arial"/>
          <w:color w:val="000000" w:themeColor="text1"/>
          <w:sz w:val="24"/>
          <w:szCs w:val="24"/>
        </w:rPr>
        <w:t xml:space="preserve">Versiones públicas electrónicas de todos los recibos de pago y cheques expedidos durante </w:t>
      </w:r>
      <w:r w:rsidR="003D0B1D" w:rsidRPr="003D0B1D">
        <w:rPr>
          <w:rFonts w:ascii="AvantGarde Bk BT" w:hAnsi="AvantGarde Bk BT" w:cs="Arial"/>
          <w:color w:val="000000" w:themeColor="text1"/>
          <w:sz w:val="24"/>
          <w:szCs w:val="24"/>
        </w:rPr>
        <w:lastRenderedPageBreak/>
        <w:t>el mes de diciembre de 2017, donde se puedan visualizar los detalles de todas las percepciones de ese periodo de:</w:t>
      </w:r>
    </w:p>
    <w:p w14:paraId="6A5F72DC" w14:textId="77777777" w:rsidR="003D0B1D" w:rsidRPr="003D0B1D" w:rsidRDefault="003D0B1D" w:rsidP="003D0B1D">
      <w:pPr>
        <w:pStyle w:val="corte4fondo"/>
        <w:numPr>
          <w:ilvl w:val="1"/>
          <w:numId w:val="31"/>
        </w:numPr>
        <w:rPr>
          <w:rFonts w:ascii="AvantGarde Bk BT" w:hAnsi="AvantGarde Bk BT" w:cs="Arial"/>
          <w:color w:val="000000" w:themeColor="text1"/>
          <w:sz w:val="24"/>
          <w:szCs w:val="24"/>
        </w:rPr>
      </w:pPr>
      <w:r w:rsidRPr="003D0B1D">
        <w:rPr>
          <w:rFonts w:ascii="AvantGarde Bk BT" w:hAnsi="AvantGarde Bk BT" w:cs="Arial"/>
          <w:color w:val="000000" w:themeColor="text1"/>
          <w:sz w:val="24"/>
          <w:szCs w:val="24"/>
        </w:rPr>
        <w:t>Patricia Guadalupe Vélez Nieto.</w:t>
      </w:r>
    </w:p>
    <w:p w14:paraId="6AC64400" w14:textId="77777777" w:rsidR="003D0B1D" w:rsidRPr="003D0B1D" w:rsidRDefault="003D0B1D" w:rsidP="003D0B1D">
      <w:pPr>
        <w:pStyle w:val="corte4fondo"/>
        <w:numPr>
          <w:ilvl w:val="1"/>
          <w:numId w:val="31"/>
        </w:numPr>
        <w:rPr>
          <w:rFonts w:ascii="AvantGarde Bk BT" w:hAnsi="AvantGarde Bk BT" w:cs="Arial"/>
          <w:color w:val="000000" w:themeColor="text1"/>
          <w:sz w:val="24"/>
          <w:szCs w:val="24"/>
        </w:rPr>
      </w:pPr>
      <w:r w:rsidRPr="003D0B1D">
        <w:rPr>
          <w:rFonts w:ascii="AvantGarde Bk BT" w:hAnsi="AvantGarde Bk BT" w:cs="Arial"/>
          <w:color w:val="000000" w:themeColor="text1"/>
          <w:sz w:val="24"/>
          <w:szCs w:val="24"/>
        </w:rPr>
        <w:t>Alejandro Zavala Dávila.</w:t>
      </w:r>
    </w:p>
    <w:p w14:paraId="532BAB49" w14:textId="77777777" w:rsidR="003D0B1D" w:rsidRPr="003D0B1D" w:rsidRDefault="003D0B1D" w:rsidP="003D0B1D">
      <w:pPr>
        <w:pStyle w:val="corte4fondo"/>
        <w:numPr>
          <w:ilvl w:val="1"/>
          <w:numId w:val="31"/>
        </w:numPr>
        <w:rPr>
          <w:rFonts w:ascii="AvantGarde Bk BT" w:hAnsi="AvantGarde Bk BT" w:cs="Arial"/>
          <w:color w:val="000000" w:themeColor="text1"/>
          <w:sz w:val="24"/>
          <w:szCs w:val="24"/>
        </w:rPr>
      </w:pPr>
      <w:r w:rsidRPr="003D0B1D">
        <w:rPr>
          <w:rFonts w:ascii="AvantGarde Bk BT" w:hAnsi="AvantGarde Bk BT" w:cs="Arial"/>
          <w:color w:val="000000" w:themeColor="text1"/>
          <w:sz w:val="24"/>
          <w:szCs w:val="24"/>
        </w:rPr>
        <w:t>Gerardo García Rodríguez.</w:t>
      </w:r>
    </w:p>
    <w:p w14:paraId="667E7B69" w14:textId="40507380" w:rsidR="0014704E" w:rsidRPr="007C5605" w:rsidRDefault="0014704E" w:rsidP="003D0B1D">
      <w:pPr>
        <w:pStyle w:val="corte4fondo"/>
        <w:tabs>
          <w:tab w:val="left" w:pos="567"/>
        </w:tabs>
        <w:ind w:left="680" w:firstLine="0"/>
        <w:rPr>
          <w:rFonts w:ascii="AvantGarde Bk BT" w:hAnsi="AvantGarde Bk BT" w:cs="Arial"/>
          <w:color w:val="000000" w:themeColor="text1"/>
          <w:sz w:val="24"/>
          <w:szCs w:val="24"/>
        </w:rPr>
      </w:pPr>
    </w:p>
    <w:p w14:paraId="1D516894"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14:paraId="5725ABCA"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5B3C3CCC" w14:textId="77777777"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14:paraId="30F544D6" w14:textId="77777777" w:rsidR="00B33470" w:rsidRDefault="00B33470" w:rsidP="00250873">
      <w:pPr>
        <w:pStyle w:val="corte4fondo"/>
        <w:tabs>
          <w:tab w:val="left" w:pos="567"/>
        </w:tabs>
        <w:rPr>
          <w:rFonts w:ascii="AvantGarde Bk BT" w:hAnsi="AvantGarde Bk BT" w:cs="Arial"/>
          <w:color w:val="000000" w:themeColor="text1"/>
          <w:sz w:val="24"/>
          <w:szCs w:val="24"/>
        </w:rPr>
      </w:pPr>
    </w:p>
    <w:p w14:paraId="4C5EA0B4" w14:textId="77777777" w:rsidR="00B33470" w:rsidRPr="00CA4F09" w:rsidRDefault="00B33470" w:rsidP="00250873">
      <w:pPr>
        <w:pStyle w:val="corte4fondo"/>
        <w:tabs>
          <w:tab w:val="left" w:pos="567"/>
        </w:tabs>
        <w:rPr>
          <w:rFonts w:ascii="AvantGarde Bk BT" w:hAnsi="AvantGarde Bk BT" w:cs="Arial"/>
          <w:b/>
          <w:color w:val="000000" w:themeColor="text1"/>
          <w:sz w:val="24"/>
          <w:szCs w:val="24"/>
        </w:rPr>
      </w:pPr>
      <w:r w:rsidRPr="00CA4F09">
        <w:rPr>
          <w:rFonts w:ascii="AvantGarde Bk BT" w:hAnsi="AvantGarde Bk BT" w:cs="Arial"/>
          <w:b/>
          <w:color w:val="000000" w:themeColor="text1"/>
          <w:sz w:val="24"/>
          <w:szCs w:val="24"/>
        </w:rPr>
        <w:t>6.3. Precisiones de esta resolución.</w:t>
      </w:r>
    </w:p>
    <w:p w14:paraId="654806DC" w14:textId="77777777" w:rsidR="00B33470" w:rsidRDefault="00B33470" w:rsidP="00250873">
      <w:pPr>
        <w:pStyle w:val="corte4fondo"/>
        <w:tabs>
          <w:tab w:val="left" w:pos="567"/>
        </w:tabs>
        <w:rPr>
          <w:rFonts w:ascii="AvantGarde Bk BT" w:hAnsi="AvantGarde Bk BT" w:cs="Arial"/>
          <w:color w:val="000000" w:themeColor="text1"/>
          <w:sz w:val="24"/>
          <w:szCs w:val="24"/>
        </w:rPr>
      </w:pPr>
    </w:p>
    <w:p w14:paraId="173C0E3A" w14:textId="69EBEEDB" w:rsidR="00B33470" w:rsidRDefault="00B33470"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sujeto obligado deberá acompañar a su respuesta, el acuerdo del Comité de Transparencia mediante el cual se aprobó la </w:t>
      </w:r>
      <w:r w:rsidR="003D0B1D">
        <w:rPr>
          <w:rFonts w:ascii="AvantGarde Bk BT" w:hAnsi="AvantGarde Bk BT" w:cs="Arial"/>
          <w:color w:val="000000" w:themeColor="text1"/>
          <w:sz w:val="24"/>
          <w:szCs w:val="24"/>
        </w:rPr>
        <w:t>elaboración de las versiones públicas</w:t>
      </w:r>
      <w:r w:rsidR="00CA4F09">
        <w:rPr>
          <w:rFonts w:ascii="AvantGarde Bk BT" w:hAnsi="AvantGarde Bk BT" w:cs="Arial"/>
          <w:color w:val="000000" w:themeColor="text1"/>
          <w:sz w:val="24"/>
          <w:szCs w:val="24"/>
        </w:rPr>
        <w:t xml:space="preserve">, de conformidad con el </w:t>
      </w:r>
      <w:r w:rsidR="00CA4F09" w:rsidRPr="005A0440">
        <w:rPr>
          <w:rFonts w:ascii="AvantGarde Bk BT" w:hAnsi="AvantGarde Bk BT" w:cs="Arial"/>
          <w:color w:val="000000" w:themeColor="text1"/>
          <w:sz w:val="24"/>
          <w:szCs w:val="24"/>
        </w:rPr>
        <w:t>artículo 1</w:t>
      </w:r>
      <w:r w:rsidR="003D0B1D" w:rsidRPr="005A0440">
        <w:rPr>
          <w:rFonts w:ascii="AvantGarde Bk BT" w:hAnsi="AvantGarde Bk BT" w:cs="Arial"/>
          <w:color w:val="000000" w:themeColor="text1"/>
          <w:sz w:val="24"/>
          <w:szCs w:val="24"/>
        </w:rPr>
        <w:t>25</w:t>
      </w:r>
      <w:r w:rsidR="00791A4B" w:rsidRPr="005A0440">
        <w:rPr>
          <w:rFonts w:ascii="AvantGarde Bk BT" w:hAnsi="AvantGarde Bk BT" w:cs="Arial"/>
          <w:color w:val="000000" w:themeColor="text1"/>
          <w:sz w:val="24"/>
          <w:szCs w:val="24"/>
        </w:rPr>
        <w:t xml:space="preserve"> de la Ley y los </w:t>
      </w:r>
      <w:r w:rsidR="005A0440">
        <w:rPr>
          <w:rFonts w:ascii="AvantGarde Bk BT" w:hAnsi="AvantGarde Bk BT" w:cs="Arial"/>
          <w:color w:val="000000" w:themeColor="text1"/>
          <w:sz w:val="24"/>
          <w:szCs w:val="24"/>
        </w:rPr>
        <w:t>L</w:t>
      </w:r>
      <w:r w:rsidR="00791A4B" w:rsidRPr="00791A4B">
        <w:rPr>
          <w:rFonts w:ascii="AvantGarde Bk BT" w:hAnsi="AvantGarde Bk BT" w:cs="Arial"/>
          <w:color w:val="000000" w:themeColor="text1"/>
          <w:sz w:val="24"/>
          <w:szCs w:val="24"/>
        </w:rPr>
        <w:t>ineamientos</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generales</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en</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materia</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de</w:t>
      </w:r>
      <w:r w:rsidR="00791A4B">
        <w:rPr>
          <w:rFonts w:ascii="AvantGarde Bk BT" w:hAnsi="AvantGarde Bk BT" w:cs="Arial"/>
          <w:color w:val="000000" w:themeColor="text1"/>
          <w:sz w:val="24"/>
          <w:szCs w:val="24"/>
        </w:rPr>
        <w:t xml:space="preserve"> clasificación </w:t>
      </w:r>
      <w:r w:rsidR="00791A4B" w:rsidRPr="00791A4B">
        <w:rPr>
          <w:rFonts w:ascii="AvantGarde Bk BT" w:hAnsi="AvantGarde Bk BT" w:cs="Arial"/>
          <w:color w:val="000000" w:themeColor="text1"/>
          <w:sz w:val="24"/>
          <w:szCs w:val="24"/>
        </w:rPr>
        <w:t>y</w:t>
      </w:r>
      <w:r w:rsidR="00791A4B">
        <w:rPr>
          <w:rFonts w:ascii="AvantGarde Bk BT" w:hAnsi="AvantGarde Bk BT" w:cs="Arial"/>
          <w:color w:val="000000" w:themeColor="text1"/>
          <w:sz w:val="24"/>
          <w:szCs w:val="24"/>
        </w:rPr>
        <w:t xml:space="preserve"> desclasificación </w:t>
      </w:r>
      <w:r w:rsidR="00791A4B" w:rsidRPr="00791A4B">
        <w:rPr>
          <w:rFonts w:ascii="AvantGarde Bk BT" w:hAnsi="AvantGarde Bk BT" w:cs="Arial"/>
          <w:color w:val="000000" w:themeColor="text1"/>
          <w:sz w:val="24"/>
          <w:szCs w:val="24"/>
        </w:rPr>
        <w:t>de</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la</w:t>
      </w:r>
      <w:r w:rsidR="00791A4B">
        <w:rPr>
          <w:rFonts w:ascii="AvantGarde Bk BT" w:hAnsi="AvantGarde Bk BT" w:cs="Arial"/>
          <w:color w:val="000000" w:themeColor="text1"/>
          <w:sz w:val="24"/>
          <w:szCs w:val="24"/>
        </w:rPr>
        <w:t xml:space="preserve"> información </w:t>
      </w:r>
      <w:r w:rsidR="00791A4B" w:rsidRPr="00791A4B">
        <w:rPr>
          <w:rFonts w:ascii="AvantGarde Bk BT" w:hAnsi="AvantGarde Bk BT" w:cs="Arial"/>
          <w:color w:val="000000" w:themeColor="text1"/>
          <w:sz w:val="24"/>
          <w:szCs w:val="24"/>
        </w:rPr>
        <w:t>así</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como</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para</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la</w:t>
      </w:r>
      <w:r w:rsidR="00791A4B">
        <w:rPr>
          <w:rFonts w:ascii="AvantGarde Bk BT" w:hAnsi="AvantGarde Bk BT" w:cs="Arial"/>
          <w:color w:val="000000" w:themeColor="text1"/>
          <w:sz w:val="24"/>
          <w:szCs w:val="24"/>
        </w:rPr>
        <w:t xml:space="preserve"> elaboración </w:t>
      </w:r>
      <w:r w:rsidR="00791A4B" w:rsidRPr="00791A4B">
        <w:rPr>
          <w:rFonts w:ascii="AvantGarde Bk BT" w:hAnsi="AvantGarde Bk BT" w:cs="Arial"/>
          <w:color w:val="000000" w:themeColor="text1"/>
          <w:sz w:val="24"/>
          <w:szCs w:val="24"/>
        </w:rPr>
        <w:t>de</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versiones</w:t>
      </w:r>
      <w:r w:rsidR="00791A4B">
        <w:rPr>
          <w:rFonts w:ascii="AvantGarde Bk BT" w:hAnsi="AvantGarde Bk BT" w:cs="Arial"/>
          <w:color w:val="000000" w:themeColor="text1"/>
          <w:sz w:val="24"/>
          <w:szCs w:val="24"/>
        </w:rPr>
        <w:t xml:space="preserve"> </w:t>
      </w:r>
      <w:r w:rsidR="00791A4B" w:rsidRPr="00791A4B">
        <w:rPr>
          <w:rFonts w:ascii="AvantGarde Bk BT" w:hAnsi="AvantGarde Bk BT" w:cs="Arial"/>
          <w:color w:val="000000" w:themeColor="text1"/>
          <w:sz w:val="24"/>
          <w:szCs w:val="24"/>
        </w:rPr>
        <w:t>públicas</w:t>
      </w:r>
      <w:r w:rsidR="00791A4B">
        <w:rPr>
          <w:rFonts w:ascii="AvantGarde Bk BT" w:hAnsi="AvantGarde Bk BT" w:cs="Arial"/>
          <w:color w:val="000000" w:themeColor="text1"/>
          <w:sz w:val="24"/>
          <w:szCs w:val="24"/>
        </w:rPr>
        <w:t xml:space="preserve">. </w:t>
      </w:r>
    </w:p>
    <w:p w14:paraId="75FA748C"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245628E1"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CA4F09">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186B09B2"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5D5FAFDA" w14:textId="3E97F383"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E11F23">
        <w:rPr>
          <w:rFonts w:ascii="AvantGarde Bk BT" w:hAnsi="AvantGarde Bk BT" w:cs="Arial"/>
          <w:color w:val="000000" w:themeColor="text1"/>
          <w:sz w:val="24"/>
          <w:szCs w:val="24"/>
          <w:u w:val="single"/>
        </w:rPr>
        <w:t>05</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w:t>
      </w:r>
      <w:r w:rsidRPr="00831D47">
        <w:rPr>
          <w:rFonts w:ascii="AvantGarde Bk BT" w:hAnsi="AvantGarde Bk BT" w:cs="Arial"/>
          <w:color w:val="000000" w:themeColor="text1"/>
          <w:sz w:val="24"/>
          <w:szCs w:val="24"/>
        </w:rPr>
        <w:lastRenderedPageBreak/>
        <w:t>Transparencia el cumplimento al presente fallo en un plazo que no deberá de exceder de tres días hábiles, en donde justificará con los documentos necesarios el cumplimento a lo aquí ordenado.</w:t>
      </w:r>
    </w:p>
    <w:p w14:paraId="3AEA3542"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4609F081"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245BFD">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 Medida de apremio en caso de incumplimiento a la resolución.</w:t>
      </w:r>
    </w:p>
    <w:p w14:paraId="065C624D"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2133EADB"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5FC5A6F4"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p>
    <w:p w14:paraId="3CA2BED9"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A806D5D"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3BF05D2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0F328F3E"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21ADEA7C" w14:textId="68F206DB"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sidR="00E11F23">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14:paraId="280949ED"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0765C964"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66EBAEF5"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AA3DE98" w14:textId="7475F1F2"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9479DD">
        <w:rPr>
          <w:rFonts w:ascii="AvantGarde Bk BT" w:hAnsi="AvantGarde Bk BT"/>
          <w:color w:val="000000" w:themeColor="text1"/>
          <w:sz w:val="24"/>
          <w:szCs w:val="24"/>
        </w:rPr>
        <w:t>O</w:t>
      </w:r>
      <w:r>
        <w:rPr>
          <w:rFonts w:ascii="AvantGarde Bk BT" w:hAnsi="AvantGarde Bk BT"/>
          <w:color w:val="000000" w:themeColor="text1"/>
          <w:sz w:val="24"/>
          <w:szCs w:val="24"/>
        </w:rPr>
        <w:t xml:space="preserve">rdinaria de Consejo el </w:t>
      </w:r>
      <w:r w:rsidR="00D925F1">
        <w:rPr>
          <w:rFonts w:ascii="AvantGarde Bk BT" w:hAnsi="AvantGarde Bk BT"/>
          <w:color w:val="000000" w:themeColor="text1"/>
          <w:sz w:val="24"/>
          <w:szCs w:val="24"/>
        </w:rPr>
        <w:t xml:space="preserve">22 veintidós de noviembre </w:t>
      </w:r>
      <w:r>
        <w:rPr>
          <w:rFonts w:ascii="AvantGarde Bk BT" w:hAnsi="AvantGarde Bk BT"/>
          <w:color w:val="000000" w:themeColor="text1"/>
          <w:sz w:val="24"/>
          <w:szCs w:val="24"/>
        </w:rPr>
        <w:t xml:space="preserve">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7B9F5524" w14:textId="77777777" w:rsidR="00DF5FF4" w:rsidRDefault="00DF5FF4" w:rsidP="00B86F4A">
      <w:pPr>
        <w:pStyle w:val="corte4fondo"/>
        <w:tabs>
          <w:tab w:val="left" w:pos="567"/>
        </w:tabs>
        <w:ind w:firstLine="0"/>
        <w:rPr>
          <w:rFonts w:ascii="AvantGarde Bk BT" w:hAnsi="AvantGarde Bk BT"/>
          <w:color w:val="000000" w:themeColor="text1"/>
          <w:sz w:val="24"/>
          <w:szCs w:val="24"/>
        </w:rPr>
      </w:pPr>
    </w:p>
    <w:p w14:paraId="2A9243E2" w14:textId="77777777"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14:paraId="48430E0B" w14:textId="77777777" w:rsidR="00DF5FF4" w:rsidRDefault="00DF5FF4" w:rsidP="009E4194">
      <w:pPr>
        <w:pStyle w:val="NormalWeb"/>
        <w:jc w:val="both"/>
        <w:rPr>
          <w:rFonts w:ascii="AvantGarde Bk BT" w:hAnsi="AvantGarde Bk BT" w:cs="Arial"/>
          <w:b/>
          <w:color w:val="000000" w:themeColor="text1"/>
          <w:lang w:val="es-MX"/>
        </w:rPr>
      </w:pPr>
    </w:p>
    <w:p w14:paraId="4F7E86C6" w14:textId="77777777"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14:paraId="44053E69" w14:textId="77777777" w:rsidR="00DF5FF4" w:rsidRDefault="00DF5FF4" w:rsidP="00DF5FF4">
      <w:pPr>
        <w:pStyle w:val="NormalWeb"/>
        <w:jc w:val="center"/>
        <w:rPr>
          <w:rFonts w:ascii="AvantGarde Bk BT" w:hAnsi="AvantGarde Bk BT" w:cs="Arial"/>
          <w:b/>
          <w:color w:val="000000" w:themeColor="text1"/>
          <w:lang w:val="es-MX"/>
        </w:rPr>
      </w:pPr>
    </w:p>
    <w:p w14:paraId="18380BE0" w14:textId="77777777"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14:paraId="392C6006" w14:textId="77777777" w:rsidR="009E4194" w:rsidRDefault="009E4194" w:rsidP="009E4194">
      <w:pPr>
        <w:pStyle w:val="NormalWeb"/>
        <w:rPr>
          <w:rFonts w:ascii="AvantGarde Bk BT" w:hAnsi="AvantGarde Bk BT" w:cs="Arial"/>
          <w:b/>
          <w:color w:val="000000" w:themeColor="text1"/>
          <w:lang w:val="es-MX"/>
        </w:rPr>
      </w:pPr>
    </w:p>
    <w:p w14:paraId="766CA33D" w14:textId="77777777"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14:paraId="107937D4" w14:textId="77777777" w:rsidR="00E11F23" w:rsidRPr="001314EC" w:rsidRDefault="00E11F23" w:rsidP="00E11F23">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155F8B65" w14:textId="20CA33ED" w:rsidR="00E11F23" w:rsidRPr="004C15C0" w:rsidRDefault="00E11F23" w:rsidP="00E11F23">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corresponden a la resolución dictada por el Pleno de la Comisión Estatal de Garantía de Acceso a la Información Pública de San Luis Potosí en sesión extraordinaria de 22 veintidós de noviembre de 2018 dos mil dieciocho, dentro de los autos del recurso de revisión RR-775/2018-1 PLATAFORMA.)</w:t>
      </w:r>
    </w:p>
    <w:p w14:paraId="05D0AB2D" w14:textId="77777777" w:rsidR="005873DB" w:rsidRPr="004C15C0" w:rsidRDefault="005873DB" w:rsidP="00E11F23">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11"/>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63DE60" w14:textId="77777777" w:rsidR="00EE63FC" w:rsidRDefault="00EE63FC" w:rsidP="003864ED">
      <w:pPr>
        <w:spacing w:after="0" w:line="240" w:lineRule="auto"/>
      </w:pPr>
      <w:r>
        <w:separator/>
      </w:r>
    </w:p>
  </w:endnote>
  <w:endnote w:type="continuationSeparator" w:id="0">
    <w:p w14:paraId="5256D527" w14:textId="77777777" w:rsidR="00EE63FC" w:rsidRDefault="00EE63FC"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3277E" w14:textId="77777777" w:rsidR="00EE63FC" w:rsidRDefault="00EE63FC" w:rsidP="003864ED">
      <w:pPr>
        <w:spacing w:after="0" w:line="240" w:lineRule="auto"/>
      </w:pPr>
      <w:r>
        <w:separator/>
      </w:r>
    </w:p>
  </w:footnote>
  <w:footnote w:type="continuationSeparator" w:id="0">
    <w:p w14:paraId="5ECED8E6" w14:textId="77777777" w:rsidR="00EE63FC" w:rsidRDefault="00EE63FC" w:rsidP="003864ED">
      <w:pPr>
        <w:spacing w:after="0" w:line="240" w:lineRule="auto"/>
      </w:pPr>
      <w:r>
        <w:continuationSeparator/>
      </w:r>
    </w:p>
  </w:footnote>
  <w:footnote w:id="1">
    <w:p w14:paraId="5928D298" w14:textId="77777777" w:rsidR="00791A4B" w:rsidRPr="00791A4B" w:rsidRDefault="00791A4B" w:rsidP="00791A4B">
      <w:pPr>
        <w:pStyle w:val="Textonotapie"/>
        <w:jc w:val="both"/>
        <w:rPr>
          <w:rStyle w:val="Refdenotaalpie"/>
          <w:vertAlign w:val="baseline"/>
        </w:rPr>
      </w:pPr>
      <w:r w:rsidRPr="00791A4B">
        <w:rPr>
          <w:rStyle w:val="Refdenotaalpie"/>
          <w:vertAlign w:val="baseline"/>
        </w:rPr>
        <w:footnoteRef/>
      </w:r>
      <w:r w:rsidRPr="00791A4B">
        <w:rPr>
          <w:rStyle w:val="Refdenotaalpie"/>
          <w:vertAlign w:val="baseline"/>
        </w:rPr>
        <w:t xml:space="preserve"> CÓDIGO PROCESAL ADMINISTRATIVO PARA EL ESTADO DE SAN LUIS POTOSÍ</w:t>
      </w:r>
    </w:p>
    <w:p w14:paraId="0E23EEE2" w14:textId="77777777" w:rsidR="00791A4B" w:rsidRPr="00791A4B" w:rsidRDefault="00791A4B" w:rsidP="00791A4B">
      <w:pPr>
        <w:pStyle w:val="Textonotapie"/>
        <w:jc w:val="both"/>
        <w:rPr>
          <w:rStyle w:val="Refdenotaalpie"/>
          <w:vertAlign w:val="baseline"/>
        </w:rPr>
      </w:pPr>
      <w:r w:rsidRPr="00791A4B">
        <w:rPr>
          <w:rStyle w:val="Refdenotaalpie"/>
          <w:vertAlign w:val="baseline"/>
        </w:rPr>
        <w:t>[…]</w:t>
      </w:r>
    </w:p>
    <w:p w14:paraId="13900987" w14:textId="77777777" w:rsidR="00791A4B" w:rsidRPr="00791A4B" w:rsidRDefault="00791A4B" w:rsidP="00791A4B">
      <w:pPr>
        <w:pStyle w:val="Textonotapie"/>
        <w:jc w:val="both"/>
        <w:rPr>
          <w:rStyle w:val="Refdenotaalpie"/>
          <w:vertAlign w:val="baseline"/>
        </w:rPr>
      </w:pPr>
      <w:r w:rsidRPr="00791A4B">
        <w:rPr>
          <w:rStyle w:val="Refdenotaalpie"/>
          <w:vertAlign w:val="baseline"/>
        </w:rPr>
        <w:t>TRANSITORIOS:</w:t>
      </w:r>
    </w:p>
    <w:p w14:paraId="17CA4714" w14:textId="77777777" w:rsidR="00791A4B" w:rsidRPr="00791A4B" w:rsidRDefault="00791A4B" w:rsidP="00791A4B">
      <w:pPr>
        <w:pStyle w:val="Textonotapie"/>
        <w:jc w:val="both"/>
        <w:rPr>
          <w:rStyle w:val="Refdenotaalpie"/>
          <w:vertAlign w:val="baseline"/>
        </w:rPr>
      </w:pPr>
      <w:r w:rsidRPr="00791A4B">
        <w:rPr>
          <w:rStyle w:val="Refdenotaalpie"/>
          <w:vertAlign w:val="baseline"/>
        </w:rPr>
        <w:t>[…]</w:t>
      </w:r>
    </w:p>
    <w:p w14:paraId="4615853C" w14:textId="77777777" w:rsidR="00791A4B" w:rsidRDefault="00791A4B" w:rsidP="00791A4B">
      <w:pPr>
        <w:pStyle w:val="Textonotapie"/>
        <w:jc w:val="both"/>
        <w:rPr>
          <w:rFonts w:ascii="Arial" w:hAnsi="Arial" w:cs="Arial"/>
        </w:rPr>
      </w:pPr>
      <w:r w:rsidRPr="00791A4B">
        <w:rPr>
          <w:rStyle w:val="Refdenotaalpie"/>
          <w:vertAlign w:val="baseline"/>
        </w:rPr>
        <w:t>TERCERO. Se abroga la Ley de Procedimientos Administrativos para el Estado y Municipios de San Luis Potosí, publicada en el Periódico Oficial del Estado con el veintisiete de marzo de dos mil uno. Los procedimientos iniciados durante su vigencia continuarán substanciándose y se resolverán bajo las disposiciones de la misma hasta su conclusión definitiva.</w:t>
      </w:r>
    </w:p>
  </w:footnote>
  <w:footnote w:id="2">
    <w:p w14:paraId="42A526C3" w14:textId="77777777" w:rsidR="00791A4B" w:rsidRPr="00791A4B" w:rsidRDefault="00791A4B" w:rsidP="00791A4B">
      <w:pPr>
        <w:pStyle w:val="Textonotapie"/>
        <w:jc w:val="both"/>
        <w:rPr>
          <w:rStyle w:val="Refdenotaalpie"/>
          <w:vertAlign w:val="baseline"/>
        </w:rPr>
      </w:pPr>
      <w:r w:rsidRPr="00791A4B">
        <w:rPr>
          <w:rStyle w:val="Refdenotaalpie"/>
          <w:vertAlign w:val="baseline"/>
        </w:rPr>
        <w:footnoteRef/>
      </w:r>
      <w:r w:rsidRPr="00791A4B">
        <w:rPr>
          <w:rStyle w:val="Refdenotaalpie"/>
          <w:vertAlign w:val="baseline"/>
        </w:rPr>
        <w:t xml:space="preserve"> ARTÍCULO 17. El ejercicio del derecho de acceso a la información es gratuito y sólo podrá requerirse el cobro correspondiente a la modalidad de reproducción y entrega solicitada. [...]”</w:t>
      </w:r>
    </w:p>
  </w:footnote>
  <w:footnote w:id="3">
    <w:p w14:paraId="54CCEA1E" w14:textId="77777777" w:rsidR="00791A4B" w:rsidRPr="00791A4B" w:rsidRDefault="00791A4B" w:rsidP="00791A4B">
      <w:pPr>
        <w:pStyle w:val="Textonotapie"/>
        <w:jc w:val="both"/>
        <w:rPr>
          <w:rFonts w:ascii="Arial" w:hAnsi="Arial" w:cs="Arial"/>
          <w:sz w:val="16"/>
          <w:szCs w:val="16"/>
        </w:rPr>
      </w:pPr>
      <w:r w:rsidRPr="00791A4B">
        <w:rPr>
          <w:rStyle w:val="Refdenotaalpie"/>
          <w:vertAlign w:val="baseline"/>
        </w:rPr>
        <w:footnoteRef/>
      </w:r>
      <w:r w:rsidRPr="00791A4B">
        <w:rPr>
          <w:rStyle w:val="Refdenotaalpie"/>
          <w:vertAlign w:val="baseline"/>
        </w:rPr>
        <w:t xml:space="preserve"> ARTÍCULO 62.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footnote>
  <w:footnote w:id="4">
    <w:p w14:paraId="543E7496" w14:textId="77777777" w:rsidR="00791A4B" w:rsidRDefault="00791A4B" w:rsidP="00791A4B">
      <w:pPr>
        <w:pStyle w:val="Textonotapie"/>
        <w:jc w:val="both"/>
        <w:rPr>
          <w:rStyle w:val="Refdenotaalpie"/>
          <w:vertAlign w:val="baseline"/>
        </w:rPr>
      </w:pPr>
      <w:r w:rsidRPr="00791A4B">
        <w:rPr>
          <w:rStyle w:val="Refdenotaalpie"/>
          <w:vertAlign w:val="baseline"/>
        </w:rPr>
        <w:footnoteRef/>
      </w:r>
      <w:r w:rsidRPr="00791A4B">
        <w:rPr>
          <w:rStyle w:val="Refdenotaalpie"/>
          <w:vertAlign w:val="baseline"/>
        </w:rPr>
        <w:t xml:space="preserve"> [...] Ante la falta de respuesta a una solicitud en el plazo previsto y en caso de que proceda el acceso, los costos de reproducción y envío correrán a cargo del sujeto obligado. [...]</w:t>
      </w:r>
    </w:p>
  </w:footnote>
  <w:footnote w:id="5">
    <w:p w14:paraId="7EDEE76E" w14:textId="77777777" w:rsidR="00791A4B" w:rsidRPr="00791A4B" w:rsidRDefault="00791A4B" w:rsidP="00791A4B">
      <w:pPr>
        <w:pStyle w:val="Textonotapie"/>
        <w:jc w:val="both"/>
        <w:rPr>
          <w:rStyle w:val="Refdenotaalpie"/>
          <w:vertAlign w:val="baseline"/>
        </w:rPr>
      </w:pPr>
      <w:r w:rsidRPr="00791A4B">
        <w:rPr>
          <w:rStyle w:val="Refdenotaalpie"/>
          <w:vertAlign w:val="baseline"/>
        </w:rPr>
        <w:footnoteRef/>
      </w:r>
      <w:r w:rsidRPr="00791A4B">
        <w:rPr>
          <w:rStyle w:val="Refdenotaalpie"/>
          <w:vertAlign w:val="baseline"/>
        </w:rPr>
        <w:t xml:space="preserve"> ARTÍCULO 165. En caso de existir costos para obtener la información, deberán cubrirse de manera previa a la entrega y no podrán ser superiores a la suma de: </w:t>
      </w:r>
    </w:p>
    <w:p w14:paraId="4861593A" w14:textId="77777777" w:rsidR="00791A4B" w:rsidRPr="00791A4B" w:rsidRDefault="00791A4B" w:rsidP="00791A4B">
      <w:pPr>
        <w:pStyle w:val="Textonotapie"/>
        <w:jc w:val="both"/>
        <w:rPr>
          <w:rStyle w:val="Refdenotaalpie"/>
          <w:vertAlign w:val="baseline"/>
        </w:rPr>
      </w:pPr>
      <w:r w:rsidRPr="00791A4B">
        <w:rPr>
          <w:rStyle w:val="Refdenotaalpie"/>
          <w:vertAlign w:val="baseline"/>
        </w:rPr>
        <w:t>[...]</w:t>
      </w:r>
    </w:p>
    <w:p w14:paraId="59A8E00F" w14:textId="77777777" w:rsidR="00791A4B" w:rsidRPr="00791A4B" w:rsidRDefault="00791A4B" w:rsidP="00791A4B">
      <w:pPr>
        <w:pStyle w:val="Textonotapie"/>
        <w:rPr>
          <w:rFonts w:cstheme="minorHAnsi"/>
        </w:rPr>
      </w:pPr>
      <w:r w:rsidRPr="00791A4B">
        <w:rPr>
          <w:rFonts w:cstheme="minorHAnsi"/>
          <w:szCs w:val="16"/>
        </w:rPr>
        <w:t>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 w:id="6">
    <w:p w14:paraId="663D228C" w14:textId="52632F4C" w:rsidR="0075680D" w:rsidRDefault="0075680D">
      <w:pPr>
        <w:pStyle w:val="Textonotapie"/>
      </w:pPr>
      <w:r>
        <w:rPr>
          <w:rStyle w:val="Refdenotaalpie"/>
        </w:rPr>
        <w:footnoteRef/>
      </w:r>
      <w:r>
        <w:t xml:space="preserve"> </w:t>
      </w:r>
      <w:r>
        <w:t>ARTÍCULO 21. Todo procedimiento en materia de derecho de acceso a la información deberá sustanciarse de manera sencilla y expedita, de conformidad con las bases de esta Ley.</w:t>
      </w:r>
    </w:p>
  </w:footnote>
  <w:footnote w:id="7">
    <w:p w14:paraId="07EEAD8C" w14:textId="5A2F73D0" w:rsidR="0075680D" w:rsidRDefault="0075680D">
      <w:pPr>
        <w:pStyle w:val="Textonotapie"/>
      </w:pPr>
      <w:r>
        <w:rPr>
          <w:rStyle w:val="Refdenotaalpie"/>
        </w:rPr>
        <w:footnoteRef/>
      </w:r>
      <w:r>
        <w:t xml:space="preserve"> </w:t>
      </w:r>
      <w: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293170"/>
      <w:docPartObj>
        <w:docPartGallery w:val="Page Numbers (Top of Page)"/>
        <w:docPartUnique/>
      </w:docPartObj>
    </w:sdtPr>
    <w:sdtEndPr/>
    <w:sdtContent>
      <w:p w14:paraId="09CF8C8A" w14:textId="77777777" w:rsidR="00A66405" w:rsidRDefault="00A66405" w:rsidP="007E5F3A">
        <w:pPr>
          <w:pStyle w:val="Encabezado"/>
          <w:jc w:val="center"/>
        </w:pPr>
        <w:r>
          <w:fldChar w:fldCharType="begin"/>
        </w:r>
        <w:r>
          <w:instrText>PAGE   \* MERGEFORMAT</w:instrText>
        </w:r>
        <w:r>
          <w:fldChar w:fldCharType="separate"/>
        </w:r>
        <w:r w:rsidR="0075680D" w:rsidRPr="0075680D">
          <w:rPr>
            <w:noProof/>
            <w:lang w:val="es-ES"/>
          </w:rPr>
          <w:t>16</w:t>
        </w:r>
        <w:r>
          <w:fldChar w:fldCharType="end"/>
        </w:r>
        <w:r>
          <w:t xml:space="preserve">                                  </w:t>
        </w:r>
      </w:p>
      <w:p w14:paraId="7A4F52CF" w14:textId="31817195" w:rsidR="00A66405" w:rsidRDefault="00A66405" w:rsidP="007F1CA7">
        <w:pPr>
          <w:pStyle w:val="Encabezado"/>
          <w:jc w:val="right"/>
        </w:pPr>
        <w:r>
          <w:t xml:space="preserve">RECURSO DE REVISIÓN </w:t>
        </w:r>
        <w:r w:rsidR="006A6940">
          <w:t>775</w:t>
        </w:r>
        <w:r w:rsidR="004D080B">
          <w:t>/</w:t>
        </w:r>
        <w:r>
          <w:t>2018-1</w:t>
        </w:r>
        <w:r w:rsidR="0010246E">
          <w:t xml:space="preserve"> </w:t>
        </w:r>
        <w:r w:rsidR="007F1CA7">
          <w:t>PLATAFORMA</w:t>
        </w:r>
      </w:p>
    </w:sdtContent>
  </w:sdt>
  <w:p w14:paraId="5028D6BE" w14:textId="77777777"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7C01B1"/>
    <w:multiLevelType w:val="hybridMultilevel"/>
    <w:tmpl w:val="1C88FD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102411"/>
    <w:multiLevelType w:val="hybridMultilevel"/>
    <w:tmpl w:val="CC56B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8"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1E1277F"/>
    <w:multiLevelType w:val="hybridMultilevel"/>
    <w:tmpl w:val="8CAE942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1C2A2546"/>
    <w:multiLevelType w:val="hybridMultilevel"/>
    <w:tmpl w:val="36C0DB16"/>
    <w:lvl w:ilvl="0" w:tplc="080A000F">
      <w:start w:val="1"/>
      <w:numFmt w:val="decimal"/>
      <w:lvlText w:val="%1."/>
      <w:lvlJc w:val="left"/>
      <w:pPr>
        <w:ind w:left="2204" w:hanging="360"/>
      </w:pPr>
    </w:lvl>
    <w:lvl w:ilvl="1" w:tplc="080A0019" w:tentative="1">
      <w:start w:val="1"/>
      <w:numFmt w:val="lowerLetter"/>
      <w:lvlText w:val="%2."/>
      <w:lvlJc w:val="left"/>
      <w:pPr>
        <w:ind w:left="2924" w:hanging="360"/>
      </w:pPr>
    </w:lvl>
    <w:lvl w:ilvl="2" w:tplc="080A001B" w:tentative="1">
      <w:start w:val="1"/>
      <w:numFmt w:val="lowerRoman"/>
      <w:lvlText w:val="%3."/>
      <w:lvlJc w:val="right"/>
      <w:pPr>
        <w:ind w:left="3644" w:hanging="180"/>
      </w:pPr>
    </w:lvl>
    <w:lvl w:ilvl="3" w:tplc="080A000F" w:tentative="1">
      <w:start w:val="1"/>
      <w:numFmt w:val="decimal"/>
      <w:lvlText w:val="%4."/>
      <w:lvlJc w:val="left"/>
      <w:pPr>
        <w:ind w:left="4364" w:hanging="360"/>
      </w:pPr>
    </w:lvl>
    <w:lvl w:ilvl="4" w:tplc="080A0019" w:tentative="1">
      <w:start w:val="1"/>
      <w:numFmt w:val="lowerLetter"/>
      <w:lvlText w:val="%5."/>
      <w:lvlJc w:val="left"/>
      <w:pPr>
        <w:ind w:left="5084" w:hanging="360"/>
      </w:pPr>
    </w:lvl>
    <w:lvl w:ilvl="5" w:tplc="080A001B" w:tentative="1">
      <w:start w:val="1"/>
      <w:numFmt w:val="lowerRoman"/>
      <w:lvlText w:val="%6."/>
      <w:lvlJc w:val="right"/>
      <w:pPr>
        <w:ind w:left="5804" w:hanging="180"/>
      </w:pPr>
    </w:lvl>
    <w:lvl w:ilvl="6" w:tplc="080A000F" w:tentative="1">
      <w:start w:val="1"/>
      <w:numFmt w:val="decimal"/>
      <w:lvlText w:val="%7."/>
      <w:lvlJc w:val="left"/>
      <w:pPr>
        <w:ind w:left="6524" w:hanging="360"/>
      </w:pPr>
    </w:lvl>
    <w:lvl w:ilvl="7" w:tplc="080A0019" w:tentative="1">
      <w:start w:val="1"/>
      <w:numFmt w:val="lowerLetter"/>
      <w:lvlText w:val="%8."/>
      <w:lvlJc w:val="left"/>
      <w:pPr>
        <w:ind w:left="7244" w:hanging="360"/>
      </w:pPr>
    </w:lvl>
    <w:lvl w:ilvl="8" w:tplc="080A001B" w:tentative="1">
      <w:start w:val="1"/>
      <w:numFmt w:val="lowerRoman"/>
      <w:lvlText w:val="%9."/>
      <w:lvlJc w:val="right"/>
      <w:pPr>
        <w:ind w:left="7964" w:hanging="180"/>
      </w:pPr>
    </w:lvl>
  </w:abstractNum>
  <w:abstractNum w:abstractNumId="11"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3" w15:restartNumberingAfterBreak="0">
    <w:nsid w:val="2CA3342F"/>
    <w:multiLevelType w:val="hybridMultilevel"/>
    <w:tmpl w:val="B51A13A8"/>
    <w:lvl w:ilvl="0" w:tplc="6FAEE3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3"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7"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73B6E97"/>
    <w:multiLevelType w:val="hybridMultilevel"/>
    <w:tmpl w:val="A6B868FA"/>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4"/>
  </w:num>
  <w:num w:numId="2">
    <w:abstractNumId w:val="20"/>
  </w:num>
  <w:num w:numId="3">
    <w:abstractNumId w:val="7"/>
  </w:num>
  <w:num w:numId="4">
    <w:abstractNumId w:val="30"/>
  </w:num>
  <w:num w:numId="5">
    <w:abstractNumId w:val="25"/>
  </w:num>
  <w:num w:numId="6">
    <w:abstractNumId w:val="26"/>
  </w:num>
  <w:num w:numId="7">
    <w:abstractNumId w:val="8"/>
  </w:num>
  <w:num w:numId="8">
    <w:abstractNumId w:val="15"/>
  </w:num>
  <w:num w:numId="9">
    <w:abstractNumId w:val="18"/>
  </w:num>
  <w:num w:numId="10">
    <w:abstractNumId w:val="17"/>
  </w:num>
  <w:num w:numId="11">
    <w:abstractNumId w:val="28"/>
  </w:num>
  <w:num w:numId="12">
    <w:abstractNumId w:val="1"/>
  </w:num>
  <w:num w:numId="13">
    <w:abstractNumId w:val="24"/>
  </w:num>
  <w:num w:numId="14">
    <w:abstractNumId w:val="16"/>
  </w:num>
  <w:num w:numId="15">
    <w:abstractNumId w:val="22"/>
  </w:num>
  <w:num w:numId="16">
    <w:abstractNumId w:val="31"/>
  </w:num>
  <w:num w:numId="17">
    <w:abstractNumId w:val="12"/>
  </w:num>
  <w:num w:numId="18">
    <w:abstractNumId w:val="0"/>
  </w:num>
  <w:num w:numId="19">
    <w:abstractNumId w:val="23"/>
  </w:num>
  <w:num w:numId="20">
    <w:abstractNumId w:val="5"/>
  </w:num>
  <w:num w:numId="21">
    <w:abstractNumId w:val="11"/>
  </w:num>
  <w:num w:numId="22">
    <w:abstractNumId w:val="3"/>
  </w:num>
  <w:num w:numId="23">
    <w:abstractNumId w:val="27"/>
  </w:num>
  <w:num w:numId="24">
    <w:abstractNumId w:val="19"/>
  </w:num>
  <w:num w:numId="25">
    <w:abstractNumId w:val="21"/>
  </w:num>
  <w:num w:numId="26">
    <w:abstractNumId w:val="6"/>
  </w:num>
  <w:num w:numId="27">
    <w:abstractNumId w:val="2"/>
  </w:num>
  <w:num w:numId="28">
    <w:abstractNumId w:val="4"/>
  </w:num>
  <w:num w:numId="29">
    <w:abstractNumId w:val="9"/>
  </w:num>
  <w:num w:numId="30">
    <w:abstractNumId w:val="10"/>
  </w:num>
  <w:num w:numId="31">
    <w:abstractNumId w:val="29"/>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5009"/>
    <w:rsid w:val="00015A95"/>
    <w:rsid w:val="00017BB1"/>
    <w:rsid w:val="00020321"/>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87B2D"/>
    <w:rsid w:val="000901C0"/>
    <w:rsid w:val="0009032E"/>
    <w:rsid w:val="00090678"/>
    <w:rsid w:val="00092A19"/>
    <w:rsid w:val="000944F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585E"/>
    <w:rsid w:val="00105F46"/>
    <w:rsid w:val="00106B48"/>
    <w:rsid w:val="00106E39"/>
    <w:rsid w:val="00107681"/>
    <w:rsid w:val="0011417A"/>
    <w:rsid w:val="00116955"/>
    <w:rsid w:val="00116CBC"/>
    <w:rsid w:val="00117744"/>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4704E"/>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6159"/>
    <w:rsid w:val="00167743"/>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87E9F"/>
    <w:rsid w:val="00191421"/>
    <w:rsid w:val="00192395"/>
    <w:rsid w:val="0019294C"/>
    <w:rsid w:val="001947D3"/>
    <w:rsid w:val="00194D48"/>
    <w:rsid w:val="00196474"/>
    <w:rsid w:val="00196579"/>
    <w:rsid w:val="00196F53"/>
    <w:rsid w:val="001A0953"/>
    <w:rsid w:val="001A1B21"/>
    <w:rsid w:val="001A2A61"/>
    <w:rsid w:val="001A3A03"/>
    <w:rsid w:val="001A473A"/>
    <w:rsid w:val="001A4D90"/>
    <w:rsid w:val="001A5D5A"/>
    <w:rsid w:val="001B288C"/>
    <w:rsid w:val="001B2D9C"/>
    <w:rsid w:val="001B7749"/>
    <w:rsid w:val="001C400C"/>
    <w:rsid w:val="001C400D"/>
    <w:rsid w:val="001C4F1E"/>
    <w:rsid w:val="001C5317"/>
    <w:rsid w:val="001C53D3"/>
    <w:rsid w:val="001C54AF"/>
    <w:rsid w:val="001C7B67"/>
    <w:rsid w:val="001C7C3C"/>
    <w:rsid w:val="001D060C"/>
    <w:rsid w:val="001D24D3"/>
    <w:rsid w:val="001D2B4B"/>
    <w:rsid w:val="001D2BE8"/>
    <w:rsid w:val="001D3081"/>
    <w:rsid w:val="001D4D02"/>
    <w:rsid w:val="001D5867"/>
    <w:rsid w:val="001D5BF5"/>
    <w:rsid w:val="001D5F36"/>
    <w:rsid w:val="001E0E77"/>
    <w:rsid w:val="001E17C7"/>
    <w:rsid w:val="001E27F5"/>
    <w:rsid w:val="001E4586"/>
    <w:rsid w:val="001E46F0"/>
    <w:rsid w:val="001E5BCA"/>
    <w:rsid w:val="001E5D8A"/>
    <w:rsid w:val="001E6629"/>
    <w:rsid w:val="001E79BD"/>
    <w:rsid w:val="001F5274"/>
    <w:rsid w:val="001F5ADD"/>
    <w:rsid w:val="001F5EF9"/>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45BFD"/>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1806"/>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3E22"/>
    <w:rsid w:val="002F5173"/>
    <w:rsid w:val="002F63E3"/>
    <w:rsid w:val="00302BBA"/>
    <w:rsid w:val="00303BDF"/>
    <w:rsid w:val="00305125"/>
    <w:rsid w:val="003054C7"/>
    <w:rsid w:val="003064A3"/>
    <w:rsid w:val="00310B53"/>
    <w:rsid w:val="00314E55"/>
    <w:rsid w:val="00315930"/>
    <w:rsid w:val="00315FB2"/>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41D49"/>
    <w:rsid w:val="00341E99"/>
    <w:rsid w:val="0034477F"/>
    <w:rsid w:val="00344A6F"/>
    <w:rsid w:val="00344D10"/>
    <w:rsid w:val="00345AAD"/>
    <w:rsid w:val="0035003F"/>
    <w:rsid w:val="003512FB"/>
    <w:rsid w:val="00351B33"/>
    <w:rsid w:val="00352BE5"/>
    <w:rsid w:val="00353490"/>
    <w:rsid w:val="00353685"/>
    <w:rsid w:val="00354539"/>
    <w:rsid w:val="00354E5A"/>
    <w:rsid w:val="00354E73"/>
    <w:rsid w:val="003560AE"/>
    <w:rsid w:val="00360687"/>
    <w:rsid w:val="00361782"/>
    <w:rsid w:val="00363AE3"/>
    <w:rsid w:val="003641AB"/>
    <w:rsid w:val="003656A6"/>
    <w:rsid w:val="00365BBD"/>
    <w:rsid w:val="00365FF4"/>
    <w:rsid w:val="00366C8D"/>
    <w:rsid w:val="00370181"/>
    <w:rsid w:val="003715F5"/>
    <w:rsid w:val="003727A6"/>
    <w:rsid w:val="00372D34"/>
    <w:rsid w:val="00373276"/>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5E8B"/>
    <w:rsid w:val="00396F07"/>
    <w:rsid w:val="00397017"/>
    <w:rsid w:val="003A0CF0"/>
    <w:rsid w:val="003A2315"/>
    <w:rsid w:val="003A331B"/>
    <w:rsid w:val="003A3516"/>
    <w:rsid w:val="003A4C4E"/>
    <w:rsid w:val="003A512E"/>
    <w:rsid w:val="003A5D8C"/>
    <w:rsid w:val="003A7A25"/>
    <w:rsid w:val="003B049A"/>
    <w:rsid w:val="003B0928"/>
    <w:rsid w:val="003B0C2F"/>
    <w:rsid w:val="003B24FE"/>
    <w:rsid w:val="003B322C"/>
    <w:rsid w:val="003B3852"/>
    <w:rsid w:val="003B3AC2"/>
    <w:rsid w:val="003B3F38"/>
    <w:rsid w:val="003B4877"/>
    <w:rsid w:val="003B5622"/>
    <w:rsid w:val="003B632D"/>
    <w:rsid w:val="003B6C9B"/>
    <w:rsid w:val="003B6CF9"/>
    <w:rsid w:val="003B7C38"/>
    <w:rsid w:val="003B7C60"/>
    <w:rsid w:val="003C2226"/>
    <w:rsid w:val="003C27B4"/>
    <w:rsid w:val="003C2A7C"/>
    <w:rsid w:val="003C2C66"/>
    <w:rsid w:val="003C4758"/>
    <w:rsid w:val="003C4BA6"/>
    <w:rsid w:val="003C5864"/>
    <w:rsid w:val="003C5DF6"/>
    <w:rsid w:val="003C6B03"/>
    <w:rsid w:val="003C7A42"/>
    <w:rsid w:val="003D054C"/>
    <w:rsid w:val="003D0B1D"/>
    <w:rsid w:val="003D18F8"/>
    <w:rsid w:val="003D2911"/>
    <w:rsid w:val="003D4757"/>
    <w:rsid w:val="003D4E42"/>
    <w:rsid w:val="003D5937"/>
    <w:rsid w:val="003D5A1A"/>
    <w:rsid w:val="003D6958"/>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3DF"/>
    <w:rsid w:val="00433E04"/>
    <w:rsid w:val="00434824"/>
    <w:rsid w:val="00435DE5"/>
    <w:rsid w:val="00435EE5"/>
    <w:rsid w:val="004363B0"/>
    <w:rsid w:val="0043776E"/>
    <w:rsid w:val="004407B8"/>
    <w:rsid w:val="00440FE4"/>
    <w:rsid w:val="00442C82"/>
    <w:rsid w:val="00443100"/>
    <w:rsid w:val="00443DED"/>
    <w:rsid w:val="00445F3B"/>
    <w:rsid w:val="004475C3"/>
    <w:rsid w:val="004508B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937"/>
    <w:rsid w:val="00491F18"/>
    <w:rsid w:val="0049219E"/>
    <w:rsid w:val="00496934"/>
    <w:rsid w:val="004A0892"/>
    <w:rsid w:val="004A0B72"/>
    <w:rsid w:val="004A1732"/>
    <w:rsid w:val="004A2171"/>
    <w:rsid w:val="004A2B81"/>
    <w:rsid w:val="004A31B5"/>
    <w:rsid w:val="004A578D"/>
    <w:rsid w:val="004A768D"/>
    <w:rsid w:val="004A7825"/>
    <w:rsid w:val="004B00C1"/>
    <w:rsid w:val="004B04F4"/>
    <w:rsid w:val="004B0B19"/>
    <w:rsid w:val="004B0F31"/>
    <w:rsid w:val="004B1FE2"/>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5901"/>
    <w:rsid w:val="004D7266"/>
    <w:rsid w:val="004D72F6"/>
    <w:rsid w:val="004D7692"/>
    <w:rsid w:val="004E0AAF"/>
    <w:rsid w:val="004E0BCC"/>
    <w:rsid w:val="004E13A6"/>
    <w:rsid w:val="004E26DC"/>
    <w:rsid w:val="004E317D"/>
    <w:rsid w:val="004E3DC4"/>
    <w:rsid w:val="004E4165"/>
    <w:rsid w:val="004E7C39"/>
    <w:rsid w:val="004F108B"/>
    <w:rsid w:val="004F279A"/>
    <w:rsid w:val="004F2B2F"/>
    <w:rsid w:val="004F35CA"/>
    <w:rsid w:val="004F6065"/>
    <w:rsid w:val="004F6314"/>
    <w:rsid w:val="004F6F21"/>
    <w:rsid w:val="0050032E"/>
    <w:rsid w:val="00501A84"/>
    <w:rsid w:val="00501BDE"/>
    <w:rsid w:val="00502F67"/>
    <w:rsid w:val="00503888"/>
    <w:rsid w:val="005038E8"/>
    <w:rsid w:val="00504DB1"/>
    <w:rsid w:val="005052AF"/>
    <w:rsid w:val="00506847"/>
    <w:rsid w:val="00506A13"/>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2BD8"/>
    <w:rsid w:val="005441EC"/>
    <w:rsid w:val="00544825"/>
    <w:rsid w:val="0054603A"/>
    <w:rsid w:val="005473AB"/>
    <w:rsid w:val="0054744E"/>
    <w:rsid w:val="00550CAB"/>
    <w:rsid w:val="005519B5"/>
    <w:rsid w:val="005526C0"/>
    <w:rsid w:val="00552770"/>
    <w:rsid w:val="005545CB"/>
    <w:rsid w:val="00554F9D"/>
    <w:rsid w:val="00555517"/>
    <w:rsid w:val="00556CE3"/>
    <w:rsid w:val="00561A10"/>
    <w:rsid w:val="005624EA"/>
    <w:rsid w:val="00563CC9"/>
    <w:rsid w:val="0056434F"/>
    <w:rsid w:val="00564DFB"/>
    <w:rsid w:val="005663ED"/>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83F"/>
    <w:rsid w:val="00596EFB"/>
    <w:rsid w:val="005A01FF"/>
    <w:rsid w:val="005A0440"/>
    <w:rsid w:val="005A1B85"/>
    <w:rsid w:val="005A266C"/>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FCD"/>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35EB"/>
    <w:rsid w:val="005F469A"/>
    <w:rsid w:val="005F49B3"/>
    <w:rsid w:val="005F55F0"/>
    <w:rsid w:val="005F696D"/>
    <w:rsid w:val="005F6FFB"/>
    <w:rsid w:val="0060124B"/>
    <w:rsid w:val="00602198"/>
    <w:rsid w:val="006033B5"/>
    <w:rsid w:val="006047F1"/>
    <w:rsid w:val="0060491A"/>
    <w:rsid w:val="00606219"/>
    <w:rsid w:val="006073DF"/>
    <w:rsid w:val="006101C7"/>
    <w:rsid w:val="006118AE"/>
    <w:rsid w:val="006118B1"/>
    <w:rsid w:val="0061430A"/>
    <w:rsid w:val="0061495B"/>
    <w:rsid w:val="0061501E"/>
    <w:rsid w:val="00616F4B"/>
    <w:rsid w:val="00620CA5"/>
    <w:rsid w:val="00621433"/>
    <w:rsid w:val="0062168C"/>
    <w:rsid w:val="00622D9B"/>
    <w:rsid w:val="00623C83"/>
    <w:rsid w:val="0062536E"/>
    <w:rsid w:val="00630546"/>
    <w:rsid w:val="006334B5"/>
    <w:rsid w:val="00636A24"/>
    <w:rsid w:val="00636A6A"/>
    <w:rsid w:val="00637AC5"/>
    <w:rsid w:val="00641E08"/>
    <w:rsid w:val="006431D6"/>
    <w:rsid w:val="00643BB1"/>
    <w:rsid w:val="006446BA"/>
    <w:rsid w:val="006446C2"/>
    <w:rsid w:val="006446C5"/>
    <w:rsid w:val="00644CFD"/>
    <w:rsid w:val="00644F4F"/>
    <w:rsid w:val="00646143"/>
    <w:rsid w:val="00653626"/>
    <w:rsid w:val="0065388B"/>
    <w:rsid w:val="0065410F"/>
    <w:rsid w:val="00654661"/>
    <w:rsid w:val="00656612"/>
    <w:rsid w:val="0065674B"/>
    <w:rsid w:val="00656B2A"/>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3832"/>
    <w:rsid w:val="006957E1"/>
    <w:rsid w:val="00695C4F"/>
    <w:rsid w:val="006A085C"/>
    <w:rsid w:val="006A09D1"/>
    <w:rsid w:val="006A0CC8"/>
    <w:rsid w:val="006A16E9"/>
    <w:rsid w:val="006A1845"/>
    <w:rsid w:val="006A21FB"/>
    <w:rsid w:val="006A252C"/>
    <w:rsid w:val="006A37C1"/>
    <w:rsid w:val="006A6940"/>
    <w:rsid w:val="006A699D"/>
    <w:rsid w:val="006A6E03"/>
    <w:rsid w:val="006A7089"/>
    <w:rsid w:val="006B0283"/>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AF1"/>
    <w:rsid w:val="006E7C51"/>
    <w:rsid w:val="006F15C1"/>
    <w:rsid w:val="006F26B4"/>
    <w:rsid w:val="006F35C8"/>
    <w:rsid w:val="006F4830"/>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2FD1"/>
    <w:rsid w:val="0073360E"/>
    <w:rsid w:val="00733BDD"/>
    <w:rsid w:val="00735D8C"/>
    <w:rsid w:val="00735EB7"/>
    <w:rsid w:val="007414F4"/>
    <w:rsid w:val="00741579"/>
    <w:rsid w:val="00744552"/>
    <w:rsid w:val="0074538E"/>
    <w:rsid w:val="00745909"/>
    <w:rsid w:val="00745FFC"/>
    <w:rsid w:val="00750B67"/>
    <w:rsid w:val="00751034"/>
    <w:rsid w:val="00752729"/>
    <w:rsid w:val="00752E45"/>
    <w:rsid w:val="007533DB"/>
    <w:rsid w:val="0075350F"/>
    <w:rsid w:val="007538A3"/>
    <w:rsid w:val="007540DC"/>
    <w:rsid w:val="0075424D"/>
    <w:rsid w:val="00755031"/>
    <w:rsid w:val="0075680D"/>
    <w:rsid w:val="00760A62"/>
    <w:rsid w:val="00760D9C"/>
    <w:rsid w:val="00761371"/>
    <w:rsid w:val="007633E8"/>
    <w:rsid w:val="0076487A"/>
    <w:rsid w:val="00764E45"/>
    <w:rsid w:val="00765DA2"/>
    <w:rsid w:val="0076602B"/>
    <w:rsid w:val="00766F46"/>
    <w:rsid w:val="00771282"/>
    <w:rsid w:val="00772DF6"/>
    <w:rsid w:val="00774B90"/>
    <w:rsid w:val="007753D8"/>
    <w:rsid w:val="00777E95"/>
    <w:rsid w:val="007806DB"/>
    <w:rsid w:val="007822EA"/>
    <w:rsid w:val="00782940"/>
    <w:rsid w:val="007842E7"/>
    <w:rsid w:val="00784375"/>
    <w:rsid w:val="00784EE3"/>
    <w:rsid w:val="0078567C"/>
    <w:rsid w:val="00785B24"/>
    <w:rsid w:val="00785C76"/>
    <w:rsid w:val="00786E8B"/>
    <w:rsid w:val="00787218"/>
    <w:rsid w:val="00787443"/>
    <w:rsid w:val="007875E0"/>
    <w:rsid w:val="007905D4"/>
    <w:rsid w:val="0079198C"/>
    <w:rsid w:val="00791A4B"/>
    <w:rsid w:val="00791DEC"/>
    <w:rsid w:val="00792BB9"/>
    <w:rsid w:val="00792DF5"/>
    <w:rsid w:val="00792E1F"/>
    <w:rsid w:val="00792F20"/>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A7C8B"/>
    <w:rsid w:val="007B067E"/>
    <w:rsid w:val="007B10F7"/>
    <w:rsid w:val="007B11D4"/>
    <w:rsid w:val="007B1265"/>
    <w:rsid w:val="007B360D"/>
    <w:rsid w:val="007B3EC8"/>
    <w:rsid w:val="007B3F80"/>
    <w:rsid w:val="007B4E6C"/>
    <w:rsid w:val="007B7C25"/>
    <w:rsid w:val="007C0BA5"/>
    <w:rsid w:val="007C1EBC"/>
    <w:rsid w:val="007C2E69"/>
    <w:rsid w:val="007C2F6C"/>
    <w:rsid w:val="007C31AD"/>
    <w:rsid w:val="007C3B10"/>
    <w:rsid w:val="007C3C25"/>
    <w:rsid w:val="007C4ADB"/>
    <w:rsid w:val="007C4B71"/>
    <w:rsid w:val="007C5063"/>
    <w:rsid w:val="007C5605"/>
    <w:rsid w:val="007C5AA4"/>
    <w:rsid w:val="007C7475"/>
    <w:rsid w:val="007C7E86"/>
    <w:rsid w:val="007D3289"/>
    <w:rsid w:val="007D3D2A"/>
    <w:rsid w:val="007D5084"/>
    <w:rsid w:val="007E1EFD"/>
    <w:rsid w:val="007E21B9"/>
    <w:rsid w:val="007E3764"/>
    <w:rsid w:val="007E5F3A"/>
    <w:rsid w:val="007E6130"/>
    <w:rsid w:val="007F0577"/>
    <w:rsid w:val="007F1534"/>
    <w:rsid w:val="007F1CA7"/>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0B63"/>
    <w:rsid w:val="00831D47"/>
    <w:rsid w:val="0083211B"/>
    <w:rsid w:val="00832621"/>
    <w:rsid w:val="00832AAB"/>
    <w:rsid w:val="00833AE5"/>
    <w:rsid w:val="00833B3C"/>
    <w:rsid w:val="00840288"/>
    <w:rsid w:val="008403C2"/>
    <w:rsid w:val="00841546"/>
    <w:rsid w:val="008417AB"/>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FE3"/>
    <w:rsid w:val="008B74F1"/>
    <w:rsid w:val="008B7F5D"/>
    <w:rsid w:val="008C07DE"/>
    <w:rsid w:val="008C14F6"/>
    <w:rsid w:val="008C2D98"/>
    <w:rsid w:val="008C41A8"/>
    <w:rsid w:val="008C44B4"/>
    <w:rsid w:val="008C55EB"/>
    <w:rsid w:val="008C5858"/>
    <w:rsid w:val="008C5873"/>
    <w:rsid w:val="008C6821"/>
    <w:rsid w:val="008C6DEB"/>
    <w:rsid w:val="008C70F9"/>
    <w:rsid w:val="008D001D"/>
    <w:rsid w:val="008D52B2"/>
    <w:rsid w:val="008E010A"/>
    <w:rsid w:val="008E2ADF"/>
    <w:rsid w:val="008E4159"/>
    <w:rsid w:val="008F07B8"/>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B7E"/>
    <w:rsid w:val="00940C09"/>
    <w:rsid w:val="00941E32"/>
    <w:rsid w:val="0094550D"/>
    <w:rsid w:val="0094750B"/>
    <w:rsid w:val="009479DD"/>
    <w:rsid w:val="00947CF3"/>
    <w:rsid w:val="009501F2"/>
    <w:rsid w:val="00950241"/>
    <w:rsid w:val="0095133F"/>
    <w:rsid w:val="0095205B"/>
    <w:rsid w:val="009539AA"/>
    <w:rsid w:val="00953D0B"/>
    <w:rsid w:val="00955143"/>
    <w:rsid w:val="00956935"/>
    <w:rsid w:val="00961C71"/>
    <w:rsid w:val="00961FB1"/>
    <w:rsid w:val="00963782"/>
    <w:rsid w:val="00964430"/>
    <w:rsid w:val="00964847"/>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74C"/>
    <w:rsid w:val="009A18E3"/>
    <w:rsid w:val="009A269D"/>
    <w:rsid w:val="009A5437"/>
    <w:rsid w:val="009A5B63"/>
    <w:rsid w:val="009A73A4"/>
    <w:rsid w:val="009A73BB"/>
    <w:rsid w:val="009A7E4D"/>
    <w:rsid w:val="009B012A"/>
    <w:rsid w:val="009B0644"/>
    <w:rsid w:val="009B1109"/>
    <w:rsid w:val="009B1ADD"/>
    <w:rsid w:val="009B29AB"/>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37D5"/>
    <w:rsid w:val="009E4194"/>
    <w:rsid w:val="009E5BBD"/>
    <w:rsid w:val="009E61DF"/>
    <w:rsid w:val="009E6CC7"/>
    <w:rsid w:val="009E7E9F"/>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0CCE"/>
    <w:rsid w:val="00A21034"/>
    <w:rsid w:val="00A22BD9"/>
    <w:rsid w:val="00A22FEA"/>
    <w:rsid w:val="00A232E3"/>
    <w:rsid w:val="00A23E64"/>
    <w:rsid w:val="00A24254"/>
    <w:rsid w:val="00A2443F"/>
    <w:rsid w:val="00A245E3"/>
    <w:rsid w:val="00A24D8D"/>
    <w:rsid w:val="00A265FA"/>
    <w:rsid w:val="00A35AC9"/>
    <w:rsid w:val="00A3655A"/>
    <w:rsid w:val="00A369D3"/>
    <w:rsid w:val="00A410AA"/>
    <w:rsid w:val="00A416CD"/>
    <w:rsid w:val="00A42E17"/>
    <w:rsid w:val="00A4457B"/>
    <w:rsid w:val="00A44BB8"/>
    <w:rsid w:val="00A457E5"/>
    <w:rsid w:val="00A47E09"/>
    <w:rsid w:val="00A47F17"/>
    <w:rsid w:val="00A51187"/>
    <w:rsid w:val="00A53455"/>
    <w:rsid w:val="00A53953"/>
    <w:rsid w:val="00A53D13"/>
    <w:rsid w:val="00A53E5A"/>
    <w:rsid w:val="00A54656"/>
    <w:rsid w:val="00A56171"/>
    <w:rsid w:val="00A6118B"/>
    <w:rsid w:val="00A621E0"/>
    <w:rsid w:val="00A62843"/>
    <w:rsid w:val="00A63284"/>
    <w:rsid w:val="00A643AE"/>
    <w:rsid w:val="00A66405"/>
    <w:rsid w:val="00A703E5"/>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A2B12"/>
    <w:rsid w:val="00AA305C"/>
    <w:rsid w:val="00AA3E1B"/>
    <w:rsid w:val="00AA5CCF"/>
    <w:rsid w:val="00AA7625"/>
    <w:rsid w:val="00AB021D"/>
    <w:rsid w:val="00AB2AE7"/>
    <w:rsid w:val="00AB2B1C"/>
    <w:rsid w:val="00AB54F0"/>
    <w:rsid w:val="00AB6E42"/>
    <w:rsid w:val="00AB7A3F"/>
    <w:rsid w:val="00AC0256"/>
    <w:rsid w:val="00AC11D6"/>
    <w:rsid w:val="00AC2F18"/>
    <w:rsid w:val="00AC483F"/>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9D2"/>
    <w:rsid w:val="00B10B8A"/>
    <w:rsid w:val="00B10D6F"/>
    <w:rsid w:val="00B111B6"/>
    <w:rsid w:val="00B11D9E"/>
    <w:rsid w:val="00B12605"/>
    <w:rsid w:val="00B13363"/>
    <w:rsid w:val="00B13648"/>
    <w:rsid w:val="00B163E5"/>
    <w:rsid w:val="00B20BBF"/>
    <w:rsid w:val="00B20D2E"/>
    <w:rsid w:val="00B2258F"/>
    <w:rsid w:val="00B22662"/>
    <w:rsid w:val="00B23D3C"/>
    <w:rsid w:val="00B23F7C"/>
    <w:rsid w:val="00B25155"/>
    <w:rsid w:val="00B25A01"/>
    <w:rsid w:val="00B27D30"/>
    <w:rsid w:val="00B27E43"/>
    <w:rsid w:val="00B324B8"/>
    <w:rsid w:val="00B328FB"/>
    <w:rsid w:val="00B3336E"/>
    <w:rsid w:val="00B33470"/>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57DE4"/>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0224"/>
    <w:rsid w:val="00BD0B97"/>
    <w:rsid w:val="00BD11BF"/>
    <w:rsid w:val="00BD1E22"/>
    <w:rsid w:val="00BD3DB7"/>
    <w:rsid w:val="00BD4495"/>
    <w:rsid w:val="00BD5C8E"/>
    <w:rsid w:val="00BD624D"/>
    <w:rsid w:val="00BD6867"/>
    <w:rsid w:val="00BD7074"/>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3C8A"/>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1DBE"/>
    <w:rsid w:val="00C6226D"/>
    <w:rsid w:val="00C646BE"/>
    <w:rsid w:val="00C64BA1"/>
    <w:rsid w:val="00C64E73"/>
    <w:rsid w:val="00C6686D"/>
    <w:rsid w:val="00C679D5"/>
    <w:rsid w:val="00C70480"/>
    <w:rsid w:val="00C71435"/>
    <w:rsid w:val="00C73E0D"/>
    <w:rsid w:val="00C74E3E"/>
    <w:rsid w:val="00C751F5"/>
    <w:rsid w:val="00C7556F"/>
    <w:rsid w:val="00C80E62"/>
    <w:rsid w:val="00C81E91"/>
    <w:rsid w:val="00C84C32"/>
    <w:rsid w:val="00C85D81"/>
    <w:rsid w:val="00C8633A"/>
    <w:rsid w:val="00C86DC0"/>
    <w:rsid w:val="00C87388"/>
    <w:rsid w:val="00C90BF6"/>
    <w:rsid w:val="00C92FD4"/>
    <w:rsid w:val="00C9469D"/>
    <w:rsid w:val="00C95386"/>
    <w:rsid w:val="00C95DCE"/>
    <w:rsid w:val="00C95E93"/>
    <w:rsid w:val="00CA0E99"/>
    <w:rsid w:val="00CA0F2E"/>
    <w:rsid w:val="00CA131A"/>
    <w:rsid w:val="00CA1703"/>
    <w:rsid w:val="00CA2E96"/>
    <w:rsid w:val="00CA366F"/>
    <w:rsid w:val="00CA3C25"/>
    <w:rsid w:val="00CA432B"/>
    <w:rsid w:val="00CA46E8"/>
    <w:rsid w:val="00CA4F09"/>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5CD3"/>
    <w:rsid w:val="00CF7485"/>
    <w:rsid w:val="00D0124B"/>
    <w:rsid w:val="00D0124D"/>
    <w:rsid w:val="00D024C5"/>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2AB1"/>
    <w:rsid w:val="00D644D6"/>
    <w:rsid w:val="00D65554"/>
    <w:rsid w:val="00D66646"/>
    <w:rsid w:val="00D668E8"/>
    <w:rsid w:val="00D67BD3"/>
    <w:rsid w:val="00D67E3C"/>
    <w:rsid w:val="00D70733"/>
    <w:rsid w:val="00D707CC"/>
    <w:rsid w:val="00D725A8"/>
    <w:rsid w:val="00D73C2B"/>
    <w:rsid w:val="00D73CCA"/>
    <w:rsid w:val="00D74B3B"/>
    <w:rsid w:val="00D74CED"/>
    <w:rsid w:val="00D801A2"/>
    <w:rsid w:val="00D80C6D"/>
    <w:rsid w:val="00D81085"/>
    <w:rsid w:val="00D829D5"/>
    <w:rsid w:val="00D82AF2"/>
    <w:rsid w:val="00D82C88"/>
    <w:rsid w:val="00D83324"/>
    <w:rsid w:val="00D837C5"/>
    <w:rsid w:val="00D84A7A"/>
    <w:rsid w:val="00D8550F"/>
    <w:rsid w:val="00D8596F"/>
    <w:rsid w:val="00D85E01"/>
    <w:rsid w:val="00D8645F"/>
    <w:rsid w:val="00D868A3"/>
    <w:rsid w:val="00D86A51"/>
    <w:rsid w:val="00D86CE8"/>
    <w:rsid w:val="00D9027D"/>
    <w:rsid w:val="00D90419"/>
    <w:rsid w:val="00D925F1"/>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7EC"/>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086"/>
    <w:rsid w:val="00DE03AC"/>
    <w:rsid w:val="00DE05E5"/>
    <w:rsid w:val="00DE1B67"/>
    <w:rsid w:val="00DE288E"/>
    <w:rsid w:val="00DE298C"/>
    <w:rsid w:val="00DE3359"/>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07891"/>
    <w:rsid w:val="00E10AF9"/>
    <w:rsid w:val="00E11170"/>
    <w:rsid w:val="00E1148C"/>
    <w:rsid w:val="00E11F23"/>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0B92"/>
    <w:rsid w:val="00E3102F"/>
    <w:rsid w:val="00E31DED"/>
    <w:rsid w:val="00E31E98"/>
    <w:rsid w:val="00E32697"/>
    <w:rsid w:val="00E32F0A"/>
    <w:rsid w:val="00E35B9D"/>
    <w:rsid w:val="00E36277"/>
    <w:rsid w:val="00E36DCC"/>
    <w:rsid w:val="00E376C1"/>
    <w:rsid w:val="00E376F4"/>
    <w:rsid w:val="00E40E02"/>
    <w:rsid w:val="00E41A5D"/>
    <w:rsid w:val="00E458B7"/>
    <w:rsid w:val="00E47DEE"/>
    <w:rsid w:val="00E509BB"/>
    <w:rsid w:val="00E51BA6"/>
    <w:rsid w:val="00E534AD"/>
    <w:rsid w:val="00E544A0"/>
    <w:rsid w:val="00E54BEB"/>
    <w:rsid w:val="00E55371"/>
    <w:rsid w:val="00E5583B"/>
    <w:rsid w:val="00E570A6"/>
    <w:rsid w:val="00E60A11"/>
    <w:rsid w:val="00E60E11"/>
    <w:rsid w:val="00E612A0"/>
    <w:rsid w:val="00E619F4"/>
    <w:rsid w:val="00E63C11"/>
    <w:rsid w:val="00E63C20"/>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3FC"/>
    <w:rsid w:val="00EE6BBE"/>
    <w:rsid w:val="00EE7569"/>
    <w:rsid w:val="00EE7A28"/>
    <w:rsid w:val="00EF10BD"/>
    <w:rsid w:val="00EF3AE7"/>
    <w:rsid w:val="00EF3EC6"/>
    <w:rsid w:val="00EF4CC2"/>
    <w:rsid w:val="00EF5615"/>
    <w:rsid w:val="00EF5D7B"/>
    <w:rsid w:val="00F01A62"/>
    <w:rsid w:val="00F04FBB"/>
    <w:rsid w:val="00F0545F"/>
    <w:rsid w:val="00F059F6"/>
    <w:rsid w:val="00F06575"/>
    <w:rsid w:val="00F07337"/>
    <w:rsid w:val="00F0768E"/>
    <w:rsid w:val="00F076A1"/>
    <w:rsid w:val="00F11104"/>
    <w:rsid w:val="00F115B0"/>
    <w:rsid w:val="00F134A8"/>
    <w:rsid w:val="00F139DF"/>
    <w:rsid w:val="00F147B9"/>
    <w:rsid w:val="00F14DCC"/>
    <w:rsid w:val="00F14EEC"/>
    <w:rsid w:val="00F200F0"/>
    <w:rsid w:val="00F20A9D"/>
    <w:rsid w:val="00F20E32"/>
    <w:rsid w:val="00F21BC4"/>
    <w:rsid w:val="00F27372"/>
    <w:rsid w:val="00F27575"/>
    <w:rsid w:val="00F30472"/>
    <w:rsid w:val="00F30F32"/>
    <w:rsid w:val="00F328BF"/>
    <w:rsid w:val="00F35358"/>
    <w:rsid w:val="00F35C21"/>
    <w:rsid w:val="00F36033"/>
    <w:rsid w:val="00F4121A"/>
    <w:rsid w:val="00F41430"/>
    <w:rsid w:val="00F41C27"/>
    <w:rsid w:val="00F42F06"/>
    <w:rsid w:val="00F43CC6"/>
    <w:rsid w:val="00F50CE8"/>
    <w:rsid w:val="00F5182C"/>
    <w:rsid w:val="00F51B24"/>
    <w:rsid w:val="00F52FFC"/>
    <w:rsid w:val="00F5479E"/>
    <w:rsid w:val="00F54EA1"/>
    <w:rsid w:val="00F54EF3"/>
    <w:rsid w:val="00F552B2"/>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2339"/>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559A"/>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2AA1D6"/>
  <w15:docId w15:val="{53CE9452-1A9A-4D7B-A38B-5C8BC9C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semiHidden/>
    <w:locked/>
    <w:rsid w:val="00791A4B"/>
    <w:rPr>
      <w:sz w:val="20"/>
      <w:szCs w:val="20"/>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semiHidden/>
    <w:unhideWhenUsed/>
    <w:rsid w:val="00791A4B"/>
    <w:pPr>
      <w:spacing w:after="0" w:line="240" w:lineRule="auto"/>
    </w:pPr>
    <w:rPr>
      <w:sz w:val="20"/>
      <w:szCs w:val="20"/>
    </w:rPr>
  </w:style>
  <w:style w:type="character" w:customStyle="1" w:styleId="TextonotapieCar1">
    <w:name w:val="Texto nota pie Car1"/>
    <w:basedOn w:val="Fuentedeprrafopredeter"/>
    <w:uiPriority w:val="99"/>
    <w:semiHidden/>
    <w:rsid w:val="00791A4B"/>
    <w:rPr>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basedOn w:val="Fuentedeprrafopredeter"/>
    <w:uiPriority w:val="99"/>
    <w:semiHidden/>
    <w:unhideWhenUsed/>
    <w:qFormat/>
    <w:rsid w:val="00791A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469179479">
      <w:bodyDiv w:val="1"/>
      <w:marLeft w:val="0"/>
      <w:marRight w:val="0"/>
      <w:marTop w:val="0"/>
      <w:marBottom w:val="0"/>
      <w:divBdr>
        <w:top w:val="none" w:sz="0" w:space="0" w:color="auto"/>
        <w:left w:val="none" w:sz="0" w:space="0" w:color="auto"/>
        <w:bottom w:val="none" w:sz="0" w:space="0" w:color="auto"/>
        <w:right w:val="none" w:sz="0" w:space="0" w:color="auto"/>
      </w:divBdr>
      <w:divsChild>
        <w:div w:id="2062091946">
          <w:marLeft w:val="0"/>
          <w:marRight w:val="0"/>
          <w:marTop w:val="0"/>
          <w:marBottom w:val="0"/>
          <w:divBdr>
            <w:top w:val="none" w:sz="0" w:space="0" w:color="auto"/>
            <w:left w:val="none" w:sz="0" w:space="0" w:color="auto"/>
            <w:bottom w:val="none" w:sz="0" w:space="0" w:color="auto"/>
            <w:right w:val="none" w:sz="0" w:space="0" w:color="auto"/>
          </w:divBdr>
        </w:div>
        <w:div w:id="1278442405">
          <w:marLeft w:val="0"/>
          <w:marRight w:val="0"/>
          <w:marTop w:val="0"/>
          <w:marBottom w:val="0"/>
          <w:divBdr>
            <w:top w:val="none" w:sz="0" w:space="0" w:color="auto"/>
            <w:left w:val="none" w:sz="0" w:space="0" w:color="auto"/>
            <w:bottom w:val="none" w:sz="0" w:space="0" w:color="auto"/>
            <w:right w:val="none" w:sz="0" w:space="0" w:color="auto"/>
          </w:divBdr>
          <w:divsChild>
            <w:div w:id="104622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12284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102B44-14D0-4D4D-999F-7B1DA6FF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18</Pages>
  <Words>3985</Words>
  <Characters>21921</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Pedro Razo</cp:lastModifiedBy>
  <cp:revision>10</cp:revision>
  <cp:lastPrinted>2018-07-13T15:28:00Z</cp:lastPrinted>
  <dcterms:created xsi:type="dcterms:W3CDTF">2018-11-15T15:23:00Z</dcterms:created>
  <dcterms:modified xsi:type="dcterms:W3CDTF">2018-12-08T01:20:00Z</dcterms:modified>
</cp:coreProperties>
</file>