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C28" w:rsidRPr="008779BF" w:rsidRDefault="00174C28" w:rsidP="00087B46">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174C28" w:rsidRPr="00CB569C" w:rsidRDefault="00174C28" w:rsidP="00087B46">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 xml:space="preserve">RECURSO DE REVISIÓN  </w:t>
      </w:r>
      <w:r w:rsidR="00202492">
        <w:rPr>
          <w:rFonts w:ascii="Arial" w:eastAsia="Times New Roman" w:hAnsi="Arial" w:cs="Arial"/>
          <w:b/>
          <w:caps/>
          <w:color w:val="2E74B5" w:themeColor="accent1" w:themeShade="BF"/>
          <w:sz w:val="24"/>
          <w:szCs w:val="24"/>
          <w:lang w:eastAsia="es-MX"/>
        </w:rPr>
        <w:t>590</w:t>
      </w:r>
      <w:r w:rsidRPr="00CB569C">
        <w:rPr>
          <w:rFonts w:ascii="Arial" w:eastAsia="Times New Roman" w:hAnsi="Arial" w:cs="Arial"/>
          <w:b/>
          <w:caps/>
          <w:color w:val="2E74B5" w:themeColor="accent1" w:themeShade="BF"/>
          <w:sz w:val="24"/>
          <w:szCs w:val="24"/>
          <w:lang w:eastAsia="es-MX"/>
        </w:rPr>
        <w:t>/2018</w:t>
      </w:r>
      <w:r w:rsidR="00202492">
        <w:rPr>
          <w:rFonts w:ascii="Arial" w:eastAsia="Times New Roman" w:hAnsi="Arial" w:cs="Arial"/>
          <w:b/>
          <w:caps/>
          <w:color w:val="2E74B5" w:themeColor="accent1" w:themeShade="BF"/>
          <w:sz w:val="24"/>
          <w:szCs w:val="24"/>
          <w:lang w:eastAsia="es-MX"/>
        </w:rPr>
        <w:t>-2</w:t>
      </w:r>
    </w:p>
    <w:p w:rsidR="00174C28" w:rsidRPr="00CB569C" w:rsidRDefault="00174C28" w:rsidP="00087B46">
      <w:pPr>
        <w:spacing w:after="0" w:line="276" w:lineRule="auto"/>
        <w:ind w:left="2552"/>
        <w:jc w:val="both"/>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ind w:left="2552"/>
        <w:jc w:val="both"/>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 xml:space="preserve">COMISIONADO PONENTE: </w:t>
      </w: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pAULINA SÁNCHEZ PÉREZ DEL POZO</w:t>
      </w: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MATERIA:</w:t>
      </w: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ACCESO A LA INFORMACIÓN PÚBLICA</w:t>
      </w: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SUJETO OBLIGADO:</w:t>
      </w: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H. congreso del estado DE SAN LUIS POTOSÍ</w:t>
      </w:r>
      <w:r w:rsidR="00752AE1">
        <w:rPr>
          <w:rFonts w:ascii="Arial" w:eastAsia="Times New Roman" w:hAnsi="Arial" w:cs="Arial"/>
          <w:b/>
          <w:caps/>
          <w:color w:val="2E74B5" w:themeColor="accent1" w:themeShade="BF"/>
          <w:sz w:val="24"/>
          <w:szCs w:val="24"/>
          <w:lang w:eastAsia="es-MX"/>
        </w:rPr>
        <w:t>.</w:t>
      </w:r>
      <w:r w:rsidRPr="00CB569C">
        <w:rPr>
          <w:rFonts w:ascii="Arial" w:eastAsia="Times New Roman" w:hAnsi="Arial" w:cs="Arial"/>
          <w:b/>
          <w:caps/>
          <w:color w:val="2E74B5" w:themeColor="accent1" w:themeShade="BF"/>
          <w:sz w:val="24"/>
          <w:szCs w:val="24"/>
          <w:lang w:eastAsia="es-MX"/>
        </w:rPr>
        <w:t xml:space="preserve"> </w:t>
      </w:r>
    </w:p>
    <w:p w:rsidR="00174C28" w:rsidRPr="00CB569C" w:rsidRDefault="00174C28" w:rsidP="00087B46">
      <w:pPr>
        <w:spacing w:after="0" w:line="276" w:lineRule="auto"/>
        <w:jc w:val="right"/>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rPr>
          <w:rFonts w:ascii="Arial" w:eastAsia="Times New Roman" w:hAnsi="Arial" w:cs="Arial"/>
          <w:b/>
          <w:caps/>
          <w:color w:val="2E74B5" w:themeColor="accent1" w:themeShade="BF"/>
          <w:sz w:val="24"/>
          <w:szCs w:val="24"/>
          <w:lang w:eastAsia="es-MX"/>
        </w:rPr>
      </w:pPr>
    </w:p>
    <w:p w:rsidR="00174C28" w:rsidRPr="00CB569C" w:rsidRDefault="00174C28" w:rsidP="00087B46">
      <w:pPr>
        <w:spacing w:after="0" w:line="276" w:lineRule="auto"/>
        <w:jc w:val="both"/>
        <w:rPr>
          <w:rFonts w:ascii="Arial" w:eastAsia="Times New Roman" w:hAnsi="Arial" w:cs="Arial"/>
          <w:b/>
          <w:color w:val="2E74B5" w:themeColor="accent1" w:themeShade="BF"/>
          <w:sz w:val="24"/>
          <w:szCs w:val="24"/>
          <w:vertAlign w:val="subscript"/>
          <w:lang w:eastAsia="es-MX"/>
        </w:rPr>
      </w:pPr>
      <w:r w:rsidRPr="00CB569C">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435085" w:rsidRPr="00CB569C">
        <w:rPr>
          <w:rFonts w:ascii="Arial" w:eastAsia="Times New Roman" w:hAnsi="Arial" w:cs="Arial"/>
          <w:color w:val="2E74B5" w:themeColor="accent1" w:themeShade="BF"/>
          <w:sz w:val="24"/>
          <w:szCs w:val="24"/>
          <w:lang w:eastAsia="es-MX"/>
        </w:rPr>
        <w:t xml:space="preserve"> </w:t>
      </w:r>
      <w:r w:rsidR="00435085">
        <w:rPr>
          <w:rFonts w:ascii="Arial" w:eastAsia="Times New Roman" w:hAnsi="Arial" w:cs="Arial"/>
          <w:color w:val="2E74B5" w:themeColor="accent1" w:themeShade="BF"/>
          <w:sz w:val="24"/>
          <w:szCs w:val="24"/>
          <w:lang w:eastAsia="es-MX"/>
        </w:rPr>
        <w:t xml:space="preserve">12 doce </w:t>
      </w:r>
      <w:r w:rsidRPr="00CB569C">
        <w:rPr>
          <w:rFonts w:ascii="Arial" w:eastAsia="Times New Roman" w:hAnsi="Arial" w:cs="Arial"/>
          <w:color w:val="2E74B5" w:themeColor="accent1" w:themeShade="BF"/>
          <w:sz w:val="24"/>
          <w:szCs w:val="24"/>
          <w:lang w:eastAsia="es-MX"/>
        </w:rPr>
        <w:t>de septiembre de 2018 dos mil dieciocho.</w:t>
      </w:r>
      <w:r w:rsidRPr="00CB569C">
        <w:rPr>
          <w:rFonts w:ascii="Arial" w:eastAsia="Times New Roman" w:hAnsi="Arial" w:cs="Arial"/>
          <w:b/>
          <w:color w:val="2E74B5" w:themeColor="accent1" w:themeShade="BF"/>
          <w:sz w:val="24"/>
          <w:szCs w:val="24"/>
          <w:vertAlign w:val="subscript"/>
          <w:lang w:eastAsia="es-MX"/>
        </w:rPr>
        <w:t xml:space="preserve"> </w:t>
      </w:r>
    </w:p>
    <w:p w:rsidR="00174C28" w:rsidRPr="00CB569C" w:rsidRDefault="00174C28" w:rsidP="00087B46">
      <w:pPr>
        <w:spacing w:after="0" w:line="276" w:lineRule="auto"/>
        <w:jc w:val="both"/>
        <w:rPr>
          <w:rFonts w:ascii="Arial" w:eastAsia="Times New Roman" w:hAnsi="Arial" w:cs="Arial"/>
          <w:b/>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VISTOS</w:t>
      </w:r>
      <w:r w:rsidRPr="00CB569C">
        <w:rPr>
          <w:rFonts w:ascii="Arial" w:eastAsia="Times New Roman" w:hAnsi="Arial" w:cs="Arial"/>
          <w:color w:val="2E74B5" w:themeColor="accent1" w:themeShade="BF"/>
          <w:sz w:val="24"/>
          <w:szCs w:val="24"/>
          <w:lang w:eastAsia="es-MX"/>
        </w:rPr>
        <w:t>, para resolver, los autos del recurso de revisión identificado al rubro; y</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087B46">
      <w:pPr>
        <w:spacing w:after="0" w:line="276" w:lineRule="auto"/>
        <w:ind w:firstLine="709"/>
        <w:jc w:val="center"/>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RESULTANDO</w:t>
      </w:r>
      <w:r w:rsidRPr="00CB569C">
        <w:rPr>
          <w:rFonts w:ascii="Arial" w:eastAsia="Times New Roman" w:hAnsi="Arial" w:cs="Arial"/>
          <w:color w:val="2E74B5" w:themeColor="accent1" w:themeShade="BF"/>
          <w:sz w:val="24"/>
          <w:szCs w:val="24"/>
          <w:lang w:eastAsia="es-MX"/>
        </w:rPr>
        <w:t>:</w:t>
      </w:r>
    </w:p>
    <w:p w:rsidR="00174C28" w:rsidRPr="00CB569C" w:rsidRDefault="00174C28" w:rsidP="00087B46">
      <w:pPr>
        <w:spacing w:after="0" w:line="276" w:lineRule="auto"/>
        <w:ind w:firstLine="709"/>
        <w:jc w:val="center"/>
        <w:rPr>
          <w:rFonts w:ascii="Arial" w:eastAsia="Times New Roman" w:hAnsi="Arial" w:cs="Arial"/>
          <w:color w:val="2E74B5" w:themeColor="accent1" w:themeShade="BF"/>
          <w:sz w:val="24"/>
          <w:szCs w:val="24"/>
          <w:lang w:eastAsia="es-MX"/>
        </w:rPr>
      </w:pPr>
    </w:p>
    <w:p w:rsidR="00174C28"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PRIMERO. Solicitud de acceso a la información pública. </w:t>
      </w:r>
      <w:r w:rsidRPr="00CB569C">
        <w:rPr>
          <w:rFonts w:ascii="Arial" w:eastAsia="Times New Roman" w:hAnsi="Arial" w:cs="Arial"/>
          <w:color w:val="2E74B5" w:themeColor="accent1" w:themeShade="BF"/>
          <w:sz w:val="24"/>
          <w:szCs w:val="24"/>
          <w:lang w:eastAsia="es-MX"/>
        </w:rPr>
        <w:t xml:space="preserve">Según consta en la Plataforma Nacional de Transparencia en el folio </w:t>
      </w:r>
      <w:r w:rsidRPr="00CB569C">
        <w:rPr>
          <w:rFonts w:ascii="Arial" w:eastAsia="Times New Roman" w:hAnsi="Arial" w:cs="Arial"/>
          <w:b/>
          <w:color w:val="2E74B5" w:themeColor="accent1" w:themeShade="BF"/>
          <w:sz w:val="24"/>
          <w:szCs w:val="24"/>
          <w:lang w:eastAsia="es-MX"/>
        </w:rPr>
        <w:t>00</w:t>
      </w:r>
      <w:r w:rsidR="00204151">
        <w:rPr>
          <w:rFonts w:ascii="Arial" w:eastAsia="Times New Roman" w:hAnsi="Arial" w:cs="Arial"/>
          <w:b/>
          <w:color w:val="2E74B5" w:themeColor="accent1" w:themeShade="BF"/>
          <w:sz w:val="24"/>
          <w:szCs w:val="24"/>
          <w:lang w:eastAsia="es-MX"/>
        </w:rPr>
        <w:t>490018</w:t>
      </w:r>
      <w:r w:rsidRPr="00CB569C">
        <w:rPr>
          <w:rFonts w:ascii="Arial" w:eastAsia="Times New Roman" w:hAnsi="Arial" w:cs="Arial"/>
          <w:b/>
          <w:color w:val="2E74B5" w:themeColor="accent1" w:themeShade="BF"/>
          <w:sz w:val="24"/>
          <w:szCs w:val="24"/>
          <w:lang w:eastAsia="es-MX"/>
        </w:rPr>
        <w:t xml:space="preserve"> </w:t>
      </w:r>
      <w:r w:rsidRPr="00CB569C">
        <w:rPr>
          <w:rFonts w:ascii="Arial" w:eastAsia="Times New Roman" w:hAnsi="Arial" w:cs="Arial"/>
          <w:color w:val="2E74B5" w:themeColor="accent1" w:themeShade="BF"/>
          <w:sz w:val="24"/>
          <w:szCs w:val="24"/>
          <w:lang w:eastAsia="es-MX"/>
        </w:rPr>
        <w:t>cero, cero,</w:t>
      </w:r>
      <w:r w:rsidR="00204151">
        <w:rPr>
          <w:rFonts w:ascii="Arial" w:eastAsia="Times New Roman" w:hAnsi="Arial" w:cs="Arial"/>
          <w:color w:val="2E74B5" w:themeColor="accent1" w:themeShade="BF"/>
          <w:sz w:val="24"/>
          <w:szCs w:val="24"/>
          <w:lang w:eastAsia="es-MX"/>
        </w:rPr>
        <w:t xml:space="preserve"> cuatrocientos noventa </w:t>
      </w:r>
      <w:r w:rsidRPr="00CB569C">
        <w:rPr>
          <w:rFonts w:ascii="Arial" w:eastAsia="Times New Roman" w:hAnsi="Arial" w:cs="Arial"/>
          <w:color w:val="2E74B5" w:themeColor="accent1" w:themeShade="BF"/>
          <w:sz w:val="24"/>
          <w:szCs w:val="24"/>
          <w:lang w:eastAsia="es-MX"/>
        </w:rPr>
        <w:t xml:space="preserve">mil dieciocho, el </w:t>
      </w:r>
      <w:r w:rsidR="00752AE1">
        <w:rPr>
          <w:rFonts w:ascii="Arial" w:eastAsia="Times New Roman" w:hAnsi="Arial" w:cs="Arial"/>
          <w:color w:val="2E74B5" w:themeColor="accent1" w:themeShade="BF"/>
          <w:sz w:val="24"/>
          <w:szCs w:val="24"/>
          <w:lang w:eastAsia="es-MX"/>
        </w:rPr>
        <w:t xml:space="preserve">26 veintiséis de junio </w:t>
      </w:r>
      <w:r w:rsidRPr="00CB569C">
        <w:rPr>
          <w:rFonts w:ascii="Arial" w:eastAsia="Times New Roman" w:hAnsi="Arial" w:cs="Arial"/>
          <w:color w:val="2E74B5" w:themeColor="accent1" w:themeShade="BF"/>
          <w:sz w:val="24"/>
          <w:szCs w:val="24"/>
          <w:lang w:eastAsia="es-MX"/>
        </w:rPr>
        <w:t xml:space="preserve">de 2018 dos mil dieciocho </w:t>
      </w:r>
      <w:r w:rsidRPr="00CB569C">
        <w:rPr>
          <w:rFonts w:ascii="Arial" w:eastAsia="Times New Roman" w:hAnsi="Arial" w:cs="Arial"/>
          <w:b/>
          <w:color w:val="2E74B5" w:themeColor="accent1" w:themeShade="BF"/>
          <w:sz w:val="24"/>
          <w:szCs w:val="24"/>
          <w:lang w:eastAsia="es-MX"/>
        </w:rPr>
        <w:t xml:space="preserve">El H. CONGRESO DEL ESTADO DEL ESTADO DE SAN LUIS POTOSÍ </w:t>
      </w:r>
      <w:r w:rsidRPr="00CB569C">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CB569C">
        <w:rPr>
          <w:rFonts w:ascii="Arial" w:eastAsia="Times New Roman" w:hAnsi="Arial" w:cs="Arial"/>
          <w:color w:val="2E74B5" w:themeColor="accent1" w:themeShade="BF"/>
          <w:sz w:val="24"/>
          <w:szCs w:val="24"/>
          <w:vertAlign w:val="superscript"/>
          <w:lang w:eastAsia="es-MX"/>
        </w:rPr>
        <w:footnoteReference w:id="1"/>
      </w:r>
      <w:r w:rsidRPr="00CB569C">
        <w:rPr>
          <w:rFonts w:ascii="Arial" w:eastAsia="Times New Roman" w:hAnsi="Arial" w:cs="Arial"/>
          <w:color w:val="2E74B5" w:themeColor="accent1" w:themeShade="BF"/>
          <w:sz w:val="24"/>
          <w:szCs w:val="24"/>
          <w:lang w:eastAsia="es-MX"/>
        </w:rPr>
        <w:t>:</w:t>
      </w:r>
    </w:p>
    <w:p w:rsidR="00435085" w:rsidRPr="00CB569C" w:rsidRDefault="00435085"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435085" w:rsidRDefault="00435085" w:rsidP="00087B46">
      <w:pPr>
        <w:spacing w:after="0" w:line="276" w:lineRule="auto"/>
        <w:jc w:val="both"/>
        <w:rPr>
          <w:rFonts w:ascii="Arial" w:eastAsia="Times New Roman" w:hAnsi="Arial" w:cs="Arial"/>
          <w:i/>
          <w:color w:val="2E74B5" w:themeColor="accent1" w:themeShade="BF"/>
          <w:sz w:val="20"/>
          <w:szCs w:val="20"/>
          <w:lang w:eastAsia="es-MX"/>
        </w:rPr>
      </w:pPr>
      <w:r>
        <w:rPr>
          <w:rFonts w:ascii="Arial" w:eastAsia="Times New Roman" w:hAnsi="Arial" w:cs="Arial"/>
          <w:i/>
          <w:noProof/>
          <w:color w:val="2E74B5" w:themeColor="accent1" w:themeShade="BF"/>
          <w:sz w:val="20"/>
          <w:szCs w:val="20"/>
          <w:lang w:eastAsia="es-MX"/>
        </w:rPr>
        <w:drawing>
          <wp:inline distT="0" distB="0" distL="0" distR="0">
            <wp:extent cx="5602605" cy="179451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2605" cy="1794510"/>
                    </a:xfrm>
                    <a:prstGeom prst="rect">
                      <a:avLst/>
                    </a:prstGeom>
                    <a:noFill/>
                    <a:ln>
                      <a:noFill/>
                    </a:ln>
                  </pic:spPr>
                </pic:pic>
              </a:graphicData>
            </a:graphic>
          </wp:inline>
        </w:drawing>
      </w:r>
    </w:p>
    <w:p w:rsidR="00435085" w:rsidRDefault="00435085" w:rsidP="00087B46">
      <w:pPr>
        <w:spacing w:after="0" w:line="276" w:lineRule="auto"/>
        <w:jc w:val="both"/>
        <w:rPr>
          <w:rFonts w:ascii="Arial" w:eastAsia="Times New Roman" w:hAnsi="Arial" w:cs="Arial"/>
          <w:i/>
          <w:color w:val="2E74B5" w:themeColor="accent1" w:themeShade="BF"/>
          <w:sz w:val="20"/>
          <w:szCs w:val="20"/>
          <w:lang w:eastAsia="es-MX"/>
        </w:rPr>
      </w:pPr>
    </w:p>
    <w:p w:rsidR="00435085" w:rsidRDefault="00435085" w:rsidP="00087B46">
      <w:pPr>
        <w:spacing w:after="0" w:line="276" w:lineRule="auto"/>
        <w:ind w:firstLine="708"/>
        <w:jc w:val="both"/>
        <w:rPr>
          <w:rFonts w:ascii="Arial" w:eastAsia="Times New Roman" w:hAnsi="Arial" w:cs="Arial"/>
          <w:i/>
          <w:color w:val="2E74B5" w:themeColor="accent1" w:themeShade="BF"/>
          <w:sz w:val="20"/>
          <w:szCs w:val="20"/>
          <w:lang w:eastAsia="es-MX"/>
        </w:rPr>
      </w:pPr>
      <w:r w:rsidRPr="00435085">
        <w:rPr>
          <w:rFonts w:ascii="Arial" w:eastAsia="Times New Roman" w:hAnsi="Arial" w:cs="Arial"/>
          <w:i/>
          <w:color w:val="2E74B5" w:themeColor="accent1" w:themeShade="BF"/>
          <w:sz w:val="20"/>
          <w:szCs w:val="20"/>
          <w:lang w:eastAsia="es-MX"/>
        </w:rPr>
        <w:t xml:space="preserve">“…Requiero </w:t>
      </w:r>
      <w:proofErr w:type="gramStart"/>
      <w:r w:rsidRPr="00435085">
        <w:rPr>
          <w:rFonts w:ascii="Arial" w:eastAsia="Times New Roman" w:hAnsi="Arial" w:cs="Arial"/>
          <w:i/>
          <w:color w:val="2E74B5" w:themeColor="accent1" w:themeShade="BF"/>
          <w:sz w:val="20"/>
          <w:szCs w:val="20"/>
          <w:lang w:eastAsia="es-MX"/>
        </w:rPr>
        <w:t>( COPIA</w:t>
      </w:r>
      <w:proofErr w:type="gramEnd"/>
      <w:r w:rsidRPr="00435085">
        <w:rPr>
          <w:rFonts w:ascii="Arial" w:eastAsia="Times New Roman" w:hAnsi="Arial" w:cs="Arial"/>
          <w:i/>
          <w:color w:val="2E74B5" w:themeColor="accent1" w:themeShade="BF"/>
          <w:sz w:val="20"/>
          <w:szCs w:val="20"/>
          <w:lang w:eastAsia="es-MX"/>
        </w:rPr>
        <w:t xml:space="preserve"> ELECTRÓNICA) de toda la documentación y comprobación relacionada con la persona FERNANDO HERRERA PÉREZ ligada al </w:t>
      </w:r>
      <w:r w:rsidRPr="00037293">
        <w:rPr>
          <w:rFonts w:ascii="Arial" w:eastAsia="Times New Roman" w:hAnsi="Arial" w:cs="Arial"/>
          <w:i/>
          <w:color w:val="2E74B5" w:themeColor="accent1" w:themeShade="BF"/>
          <w:sz w:val="20"/>
          <w:szCs w:val="20"/>
          <w:lang w:eastAsia="es-MX"/>
        </w:rPr>
        <w:t xml:space="preserve">egreso ( cheque 62212 donde se incluya solicitud de apoyo, carta de apoyo recibido, credencia del IFE, Solicitud realizada ante la </w:t>
      </w:r>
      <w:r w:rsidRPr="00037293">
        <w:rPr>
          <w:rFonts w:ascii="Arial" w:eastAsia="Times New Roman" w:hAnsi="Arial" w:cs="Arial"/>
          <w:i/>
          <w:color w:val="2E74B5" w:themeColor="accent1" w:themeShade="BF"/>
          <w:sz w:val="20"/>
          <w:szCs w:val="20"/>
          <w:lang w:eastAsia="es-MX"/>
        </w:rPr>
        <w:lastRenderedPageBreak/>
        <w:t>JUCOPO, Factura correspondiente, copia de la póliza del cheque y detalle claramente el nombre de la persona que firmó de recibido el cheque respectivo…”</w:t>
      </w:r>
    </w:p>
    <w:p w:rsidR="00493DCB" w:rsidRPr="00435085" w:rsidRDefault="00493DCB" w:rsidP="00087B46">
      <w:pPr>
        <w:spacing w:after="0" w:line="276" w:lineRule="auto"/>
        <w:ind w:firstLine="708"/>
        <w:jc w:val="both"/>
        <w:rPr>
          <w:rFonts w:ascii="Arial" w:eastAsia="Times New Roman" w:hAnsi="Arial" w:cs="Arial"/>
          <w:i/>
          <w:color w:val="2E74B5" w:themeColor="accent1" w:themeShade="BF"/>
          <w:sz w:val="20"/>
          <w:szCs w:val="20"/>
          <w:lang w:eastAsia="es-MX"/>
        </w:rPr>
      </w:pPr>
    </w:p>
    <w:p w:rsidR="00174C28" w:rsidRPr="00435085" w:rsidRDefault="00174C28" w:rsidP="00087B46">
      <w:pPr>
        <w:spacing w:after="0" w:line="276" w:lineRule="auto"/>
        <w:ind w:firstLine="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CB569C">
        <w:rPr>
          <w:rFonts w:ascii="Arial" w:eastAsia="Times New Roman" w:hAnsi="Arial" w:cs="Arial"/>
          <w:color w:val="2E74B5" w:themeColor="accent1" w:themeShade="BF"/>
          <w:sz w:val="24"/>
          <w:szCs w:val="24"/>
          <w:lang w:eastAsia="es-MX"/>
        </w:rPr>
        <w:t xml:space="preserve">El </w:t>
      </w:r>
      <w:r w:rsidR="00435085">
        <w:rPr>
          <w:rFonts w:ascii="Arial" w:eastAsia="Times New Roman" w:hAnsi="Arial" w:cs="Arial"/>
          <w:color w:val="2E74B5" w:themeColor="accent1" w:themeShade="BF"/>
          <w:sz w:val="24"/>
          <w:szCs w:val="24"/>
          <w:lang w:eastAsia="es-MX"/>
        </w:rPr>
        <w:t xml:space="preserve">10 diez de julio </w:t>
      </w:r>
      <w:r w:rsidRPr="00CB569C">
        <w:rPr>
          <w:rFonts w:ascii="Arial" w:eastAsia="Times New Roman" w:hAnsi="Arial" w:cs="Arial"/>
          <w:color w:val="2E74B5" w:themeColor="accent1" w:themeShade="BF"/>
          <w:sz w:val="24"/>
          <w:szCs w:val="24"/>
          <w:lang w:eastAsia="es-MX"/>
        </w:rPr>
        <w:t>de 2018 dos mil dieciocho el sujeto obligado</w:t>
      </w:r>
      <w:r w:rsidRPr="00CB569C">
        <w:rPr>
          <w:rFonts w:ascii="Arial" w:eastAsia="Times New Roman" w:hAnsi="Arial" w:cs="Arial"/>
          <w:b/>
          <w:color w:val="2E74B5" w:themeColor="accent1" w:themeShade="BF"/>
          <w:sz w:val="24"/>
          <w:szCs w:val="24"/>
          <w:lang w:eastAsia="es-MX"/>
        </w:rPr>
        <w:t xml:space="preserve"> </w:t>
      </w:r>
      <w:r w:rsidRPr="00CB569C">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CB569C">
        <w:rPr>
          <w:rFonts w:ascii="Arial" w:eastAsia="Times New Roman" w:hAnsi="Arial" w:cs="Arial"/>
          <w:color w:val="2E74B5" w:themeColor="accent1" w:themeShade="BF"/>
          <w:sz w:val="24"/>
          <w:szCs w:val="24"/>
          <w:vertAlign w:val="superscript"/>
          <w:lang w:eastAsia="es-MX"/>
        </w:rPr>
        <w:footnoteReference w:id="2"/>
      </w:r>
      <w:r w:rsidRPr="00CB569C">
        <w:rPr>
          <w:rFonts w:ascii="Arial" w:eastAsia="Times New Roman" w:hAnsi="Arial" w:cs="Arial"/>
          <w:color w:val="2E74B5" w:themeColor="accent1" w:themeShade="BF"/>
          <w:sz w:val="24"/>
          <w:szCs w:val="24"/>
          <w:lang w:eastAsia="es-MX"/>
        </w:rPr>
        <w:t>:</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435085" w:rsidP="00087B46">
      <w:pPr>
        <w:spacing w:after="0" w:line="276" w:lineRule="auto"/>
        <w:jc w:val="center"/>
        <w:rPr>
          <w:rFonts w:ascii="Arial" w:eastAsia="Times New Roman" w:hAnsi="Arial" w:cs="Arial"/>
          <w:color w:val="2E74B5" w:themeColor="accent1" w:themeShade="BF"/>
          <w:sz w:val="20"/>
          <w:szCs w:val="20"/>
          <w:lang w:eastAsia="es-MX"/>
        </w:rPr>
      </w:pPr>
      <w:r>
        <w:rPr>
          <w:rFonts w:ascii="Arial" w:eastAsia="Times New Roman" w:hAnsi="Arial" w:cs="Arial"/>
          <w:noProof/>
          <w:color w:val="2E74B5" w:themeColor="accent1" w:themeShade="BF"/>
          <w:sz w:val="20"/>
          <w:szCs w:val="20"/>
          <w:lang w:eastAsia="es-MX"/>
        </w:rPr>
        <w:drawing>
          <wp:inline distT="0" distB="0" distL="0" distR="0">
            <wp:extent cx="5608955" cy="168529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8955" cy="1685290"/>
                    </a:xfrm>
                    <a:prstGeom prst="rect">
                      <a:avLst/>
                    </a:prstGeom>
                    <a:noFill/>
                    <a:ln>
                      <a:noFill/>
                    </a:ln>
                  </pic:spPr>
                </pic:pic>
              </a:graphicData>
            </a:graphic>
          </wp:inline>
        </w:drawing>
      </w:r>
    </w:p>
    <w:p w:rsidR="00174C28" w:rsidRPr="00CB569C" w:rsidRDefault="00174C28" w:rsidP="00087B46">
      <w:pPr>
        <w:spacing w:after="0" w:line="276" w:lineRule="auto"/>
        <w:ind w:left="708" w:firstLine="709"/>
        <w:jc w:val="both"/>
        <w:rPr>
          <w:rFonts w:ascii="Arial" w:eastAsia="Times New Roman" w:hAnsi="Arial" w:cs="Arial"/>
          <w:color w:val="2E74B5" w:themeColor="accent1" w:themeShade="BF"/>
          <w:sz w:val="20"/>
          <w:szCs w:val="20"/>
          <w:lang w:eastAsia="es-MX"/>
        </w:rPr>
      </w:pPr>
    </w:p>
    <w:p w:rsidR="00435085" w:rsidRPr="00435085" w:rsidRDefault="00174C28"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w:t>
      </w:r>
      <w:r w:rsidR="00435085" w:rsidRPr="00435085">
        <w:rPr>
          <w:rFonts w:ascii="Arial" w:eastAsia="Times New Roman" w:hAnsi="Arial" w:cs="Arial"/>
          <w:i/>
          <w:color w:val="2E74B5" w:themeColor="accent1" w:themeShade="BF"/>
          <w:sz w:val="20"/>
          <w:szCs w:val="20"/>
          <w:lang w:eastAsia="es-MX"/>
        </w:rPr>
        <w:t>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de San Luis Potosí; en respuesta a su solicitud de información Pública Infomex con número de Folio 00490018 de fecha 26 de junio de 2018, la cual quedó registrada en esta Unidad bajo el número 869/18, por este medio le informo:</w:t>
      </w: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r w:rsidRPr="00435085">
        <w:rPr>
          <w:rFonts w:ascii="Arial" w:eastAsia="Times New Roman" w:hAnsi="Arial" w:cs="Arial"/>
          <w:i/>
          <w:color w:val="2E74B5" w:themeColor="accent1" w:themeShade="BF"/>
          <w:sz w:val="20"/>
          <w:szCs w:val="20"/>
          <w:lang w:eastAsia="es-MX"/>
        </w:rPr>
        <w:t>De acuerdo a la respuesta proporcionada por la Coordinación de Finanzas del H. Congreso del Estado de San Luis Potosí, a esta Unidad de Información Pública, mediante Oficio No. 349/LXI/2018, de fecha 10 de julio del presente año, en la cual informa lo siguiente:</w:t>
      </w: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r w:rsidRPr="00435085">
        <w:rPr>
          <w:rFonts w:ascii="Arial" w:eastAsia="Times New Roman" w:hAnsi="Arial" w:cs="Arial"/>
          <w:i/>
          <w:color w:val="2E74B5" w:themeColor="accent1" w:themeShade="BF"/>
          <w:sz w:val="20"/>
          <w:szCs w:val="20"/>
          <w:lang w:eastAsia="es-MX"/>
        </w:rPr>
        <w:t>“Por medio del presente, en relación con la solicitud de información con número de folio 00490018 (869/18) presentada por el C. José Guadalupe González Covarrubias, hacemos de su conocimiento que la información confidencial contenida dentro de la documentación objeto de la solicitud en mención, fue enviada al Comité de Transparencia para confirmar su clasificación, de conformidad con lo establecido en el artículo 159 de la Ley de Transparencia y Acceso a la Información Pública del Estado de San Luis Potosí, y en el artículo quincuagésimo sexto de los Lineamientos Generales en Materia de Clasificación y Desclasificación de la Información, así como para la Elaboración de Versiones Publicas,  encontrándonos al día de hoy en espera de la resolución.”</w:t>
      </w: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r w:rsidRPr="00435085">
        <w:rPr>
          <w:rFonts w:ascii="Arial" w:eastAsia="Times New Roman" w:hAnsi="Arial" w:cs="Arial"/>
          <w:i/>
          <w:color w:val="2E74B5" w:themeColor="accent1" w:themeShade="BF"/>
          <w:sz w:val="20"/>
          <w:szCs w:val="20"/>
          <w:lang w:eastAsia="es-MX"/>
        </w:rPr>
        <w:t xml:space="preserve">Así mismo y en atención a lo establecido en el tercer párrafo del artículo 154 de la Ley de Transparencia y Acceso a la Información Pública, se hace de su conocimiento </w:t>
      </w:r>
      <w:proofErr w:type="gramStart"/>
      <w:r w:rsidRPr="00435085">
        <w:rPr>
          <w:rFonts w:ascii="Arial" w:eastAsia="Times New Roman" w:hAnsi="Arial" w:cs="Arial"/>
          <w:i/>
          <w:color w:val="2E74B5" w:themeColor="accent1" w:themeShade="BF"/>
          <w:sz w:val="20"/>
          <w:szCs w:val="20"/>
          <w:lang w:eastAsia="es-MX"/>
        </w:rPr>
        <w:t>que</w:t>
      </w:r>
      <w:proofErr w:type="gramEnd"/>
      <w:r w:rsidRPr="00435085">
        <w:rPr>
          <w:rFonts w:ascii="Arial" w:eastAsia="Times New Roman" w:hAnsi="Arial" w:cs="Arial"/>
          <w:i/>
          <w:color w:val="2E74B5" w:themeColor="accent1" w:themeShade="BF"/>
          <w:sz w:val="20"/>
          <w:szCs w:val="20"/>
          <w:lang w:eastAsia="es-MX"/>
        </w:rPr>
        <w:t xml:space="preserv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435085" w:rsidRPr="00435085"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174C28" w:rsidRPr="00CB569C" w:rsidRDefault="00435085" w:rsidP="00087B46">
      <w:pPr>
        <w:spacing w:after="0" w:line="276" w:lineRule="auto"/>
        <w:ind w:left="708" w:firstLine="709"/>
        <w:jc w:val="both"/>
        <w:rPr>
          <w:rFonts w:ascii="Arial" w:eastAsia="Times New Roman" w:hAnsi="Arial" w:cs="Arial"/>
          <w:i/>
          <w:color w:val="2E74B5" w:themeColor="accent1" w:themeShade="BF"/>
          <w:sz w:val="20"/>
          <w:szCs w:val="20"/>
          <w:lang w:eastAsia="es-MX"/>
        </w:rPr>
      </w:pPr>
      <w:r w:rsidRPr="00435085">
        <w:rPr>
          <w:rFonts w:ascii="Arial" w:eastAsia="Times New Roman" w:hAnsi="Arial" w:cs="Arial"/>
          <w:i/>
          <w:color w:val="2E74B5" w:themeColor="accent1" w:themeShade="BF"/>
          <w:sz w:val="20"/>
          <w:szCs w:val="20"/>
          <w:lang w:eastAsia="es-MX"/>
        </w:rPr>
        <w:t>En espera de cumplir con las expectativas de su petición, reite</w:t>
      </w:r>
      <w:r>
        <w:rPr>
          <w:rFonts w:ascii="Arial" w:eastAsia="Times New Roman" w:hAnsi="Arial" w:cs="Arial"/>
          <w:i/>
          <w:color w:val="2E74B5" w:themeColor="accent1" w:themeShade="BF"/>
          <w:sz w:val="20"/>
          <w:szCs w:val="20"/>
          <w:lang w:eastAsia="es-MX"/>
        </w:rPr>
        <w:t>ro la disposición para servirle</w:t>
      </w:r>
      <w:r w:rsidR="00174C28" w:rsidRPr="00CB569C">
        <w:rPr>
          <w:rFonts w:ascii="Arial" w:eastAsia="Times New Roman" w:hAnsi="Arial" w:cs="Arial"/>
          <w:i/>
          <w:color w:val="2E74B5" w:themeColor="accent1" w:themeShade="BF"/>
          <w:sz w:val="20"/>
          <w:szCs w:val="20"/>
          <w:lang w:eastAsia="es-MX"/>
        </w:rPr>
        <w:t>…”</w:t>
      </w:r>
    </w:p>
    <w:p w:rsidR="00174C28" w:rsidRPr="00CB569C" w:rsidRDefault="00174C28" w:rsidP="00087B46">
      <w:pPr>
        <w:spacing w:after="0" w:line="276" w:lineRule="auto"/>
        <w:ind w:left="708" w:firstLine="709"/>
        <w:jc w:val="both"/>
        <w:rPr>
          <w:rFonts w:ascii="Arial" w:eastAsia="Times New Roman" w:hAnsi="Arial" w:cs="Arial"/>
          <w:color w:val="2E74B5" w:themeColor="accent1" w:themeShade="BF"/>
          <w:sz w:val="20"/>
          <w:szCs w:val="20"/>
          <w:lang w:eastAsia="es-MX"/>
        </w:rPr>
      </w:pPr>
    </w:p>
    <w:p w:rsidR="0014733D" w:rsidRPr="00CB569C" w:rsidRDefault="00174C28" w:rsidP="00087B46">
      <w:pPr>
        <w:pStyle w:val="corte4fondo"/>
        <w:spacing w:line="276" w:lineRule="auto"/>
        <w:rPr>
          <w:rFonts w:cs="Arial"/>
          <w:color w:val="2E74B5" w:themeColor="accent1" w:themeShade="BF"/>
          <w:sz w:val="24"/>
          <w:szCs w:val="24"/>
        </w:rPr>
      </w:pPr>
      <w:r w:rsidRPr="00CB569C">
        <w:rPr>
          <w:rFonts w:cs="Arial"/>
          <w:b/>
          <w:color w:val="2E74B5" w:themeColor="accent1" w:themeShade="BF"/>
          <w:sz w:val="24"/>
          <w:szCs w:val="24"/>
        </w:rPr>
        <w:lastRenderedPageBreak/>
        <w:t xml:space="preserve">TERCERO. Interposición del recurso. </w:t>
      </w:r>
      <w:r w:rsidR="0014733D" w:rsidRPr="00CB569C">
        <w:rPr>
          <w:rFonts w:cs="Arial"/>
          <w:color w:val="2E74B5" w:themeColor="accent1" w:themeShade="BF"/>
          <w:sz w:val="24"/>
          <w:szCs w:val="24"/>
        </w:rPr>
        <w:t xml:space="preserve">el </w:t>
      </w:r>
      <w:r w:rsidR="00CA78B5">
        <w:rPr>
          <w:rFonts w:cs="Arial"/>
          <w:color w:val="2E74B5" w:themeColor="accent1" w:themeShade="BF"/>
          <w:sz w:val="24"/>
          <w:szCs w:val="24"/>
        </w:rPr>
        <w:t xml:space="preserve">12 doce de julio </w:t>
      </w:r>
      <w:r w:rsidR="0014733D" w:rsidRPr="00CB569C">
        <w:rPr>
          <w:rFonts w:cs="Arial"/>
          <w:color w:val="2E74B5" w:themeColor="accent1" w:themeShade="BF"/>
          <w:sz w:val="24"/>
          <w:szCs w:val="24"/>
        </w:rPr>
        <w:t>de 2018 dos mil dieciocho el solicitante de la información presentó un escrito ante la Oficialía de Partes de esta Comisión Estatal de Garantía de Acceso a la Información Pública en donde interpuso el recurso de revisión en contra de la respuesta mencionada en el punto anterior.</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CB569C">
        <w:rPr>
          <w:rFonts w:ascii="Arial" w:eastAsia="Times New Roman" w:hAnsi="Arial" w:cs="Arial"/>
          <w:color w:val="2E74B5" w:themeColor="accent1" w:themeShade="BF"/>
          <w:sz w:val="24"/>
          <w:szCs w:val="24"/>
          <w:lang w:eastAsia="es-MX"/>
        </w:rPr>
        <w:t xml:space="preserve">Mediante auto del </w:t>
      </w:r>
      <w:r w:rsidR="00CA78B5">
        <w:rPr>
          <w:rFonts w:ascii="Arial" w:eastAsia="Times New Roman" w:hAnsi="Arial" w:cs="Arial"/>
          <w:color w:val="2E74B5" w:themeColor="accent1" w:themeShade="BF"/>
          <w:sz w:val="24"/>
          <w:szCs w:val="24"/>
          <w:lang w:eastAsia="es-MX"/>
        </w:rPr>
        <w:t xml:space="preserve">13 trece de julio </w:t>
      </w:r>
      <w:r w:rsidRPr="00CB569C">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QUINTO. Auto de admisión y trámite. </w:t>
      </w:r>
      <w:r w:rsidRPr="00CB569C">
        <w:rPr>
          <w:rFonts w:ascii="Arial" w:eastAsia="Times New Roman" w:hAnsi="Arial" w:cs="Arial"/>
          <w:color w:val="2E74B5" w:themeColor="accent1" w:themeShade="BF"/>
          <w:sz w:val="24"/>
          <w:szCs w:val="24"/>
          <w:lang w:eastAsia="es-MX"/>
        </w:rPr>
        <w:t>Por proveído del</w:t>
      </w:r>
      <w:r w:rsidR="00CA78B5">
        <w:rPr>
          <w:rFonts w:ascii="Arial" w:eastAsia="Times New Roman" w:hAnsi="Arial" w:cs="Arial"/>
          <w:color w:val="2E74B5" w:themeColor="accent1" w:themeShade="BF"/>
          <w:sz w:val="24"/>
          <w:szCs w:val="24"/>
          <w:lang w:eastAsia="es-MX"/>
        </w:rPr>
        <w:t xml:space="preserve"> 18 dieciocho de jul</w:t>
      </w:r>
      <w:r w:rsidR="00082D53" w:rsidRPr="00CB569C">
        <w:rPr>
          <w:rFonts w:ascii="Arial" w:eastAsia="Times New Roman" w:hAnsi="Arial" w:cs="Arial"/>
          <w:color w:val="2E74B5" w:themeColor="accent1" w:themeShade="BF"/>
          <w:sz w:val="24"/>
          <w:szCs w:val="24"/>
          <w:lang w:eastAsia="es-MX"/>
        </w:rPr>
        <w:t xml:space="preserve">io </w:t>
      </w:r>
      <w:r w:rsidRPr="00CB569C">
        <w:rPr>
          <w:rFonts w:ascii="Arial" w:eastAsia="Times New Roman" w:hAnsi="Arial" w:cs="Arial"/>
          <w:color w:val="2E74B5" w:themeColor="accent1" w:themeShade="BF"/>
          <w:sz w:val="24"/>
          <w:szCs w:val="24"/>
          <w:lang w:eastAsia="es-MX"/>
        </w:rPr>
        <w:t>de 2018 dos mil dieciocho la Comisionado Ponente:</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Registró en el Libro de Gobierno el presente e</w:t>
      </w:r>
      <w:r w:rsidR="00CA78B5">
        <w:rPr>
          <w:rFonts w:ascii="Arial" w:eastAsia="Times New Roman" w:hAnsi="Arial" w:cs="Arial"/>
          <w:color w:val="2E74B5" w:themeColor="accent1" w:themeShade="BF"/>
          <w:sz w:val="24"/>
          <w:szCs w:val="24"/>
          <w:lang w:eastAsia="es-MX"/>
        </w:rPr>
        <w:t>xpediente como RR-590</w:t>
      </w:r>
      <w:r w:rsidRPr="00CB569C">
        <w:rPr>
          <w:rFonts w:ascii="Arial" w:eastAsia="Times New Roman" w:hAnsi="Arial" w:cs="Arial"/>
          <w:color w:val="2E74B5" w:themeColor="accent1" w:themeShade="BF"/>
          <w:sz w:val="24"/>
          <w:szCs w:val="24"/>
          <w:lang w:eastAsia="es-MX"/>
        </w:rPr>
        <w:t>/2</w:t>
      </w:r>
      <w:bookmarkStart w:id="0" w:name="_GoBack"/>
      <w:bookmarkEnd w:id="0"/>
      <w:r w:rsidRPr="00CB569C">
        <w:rPr>
          <w:rFonts w:ascii="Arial" w:eastAsia="Times New Roman" w:hAnsi="Arial" w:cs="Arial"/>
          <w:color w:val="2E74B5" w:themeColor="accent1" w:themeShade="BF"/>
          <w:sz w:val="24"/>
          <w:szCs w:val="24"/>
          <w:lang w:eastAsia="es-MX"/>
        </w:rPr>
        <w:t>018-2 PLATAFORMA.</w:t>
      </w:r>
    </w:p>
    <w:p w:rsidR="00174C28" w:rsidRPr="00CB569C" w:rsidRDefault="00174C28" w:rsidP="00087B46">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Admitió a trámite el presente recurso de revisión.</w:t>
      </w:r>
    </w:p>
    <w:p w:rsidR="00174C28" w:rsidRPr="00CB569C" w:rsidRDefault="00174C28" w:rsidP="00087B46">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Tuvo como entes obligados al </w:t>
      </w:r>
      <w:r w:rsidRPr="00CB569C">
        <w:rPr>
          <w:rFonts w:ascii="Arial" w:eastAsia="Times New Roman" w:hAnsi="Arial" w:cs="Arial"/>
          <w:b/>
          <w:color w:val="2E74B5" w:themeColor="accent1" w:themeShade="BF"/>
          <w:sz w:val="24"/>
          <w:szCs w:val="24"/>
          <w:lang w:eastAsia="es-MX"/>
        </w:rPr>
        <w:t xml:space="preserve">CONGRESO DEL ESTADO DE SAN LUIS POTOSÍ </w:t>
      </w:r>
      <w:r w:rsidRPr="00CB569C">
        <w:rPr>
          <w:rFonts w:ascii="Arial" w:eastAsia="Times New Roman" w:hAnsi="Arial" w:cs="Arial"/>
          <w:color w:val="2E74B5" w:themeColor="accent1" w:themeShade="BF"/>
          <w:sz w:val="24"/>
          <w:szCs w:val="24"/>
          <w:lang w:eastAsia="es-MX"/>
        </w:rPr>
        <w:t xml:space="preserve">por conducto de su </w:t>
      </w:r>
      <w:r w:rsidR="00082D53" w:rsidRPr="00CB569C">
        <w:rPr>
          <w:rFonts w:ascii="Arial" w:eastAsia="Times New Roman" w:hAnsi="Arial" w:cs="Arial"/>
          <w:b/>
          <w:color w:val="2E74B5" w:themeColor="accent1" w:themeShade="BF"/>
          <w:sz w:val="24"/>
          <w:szCs w:val="24"/>
          <w:lang w:eastAsia="es-MX"/>
        </w:rPr>
        <w:t xml:space="preserve">PRESIDENTE </w:t>
      </w:r>
      <w:r w:rsidR="00082D53" w:rsidRPr="00CB569C">
        <w:rPr>
          <w:rFonts w:ascii="Arial" w:eastAsia="Times New Roman" w:hAnsi="Arial" w:cs="Arial"/>
          <w:color w:val="2E74B5" w:themeColor="accent1" w:themeShade="BF"/>
          <w:sz w:val="24"/>
          <w:szCs w:val="24"/>
          <w:lang w:eastAsia="es-MX"/>
        </w:rPr>
        <w:t xml:space="preserve">a través </w:t>
      </w:r>
      <w:r w:rsidRPr="00CB569C">
        <w:rPr>
          <w:rFonts w:ascii="Arial" w:eastAsia="Times New Roman" w:hAnsi="Arial" w:cs="Arial"/>
          <w:color w:val="2E74B5" w:themeColor="accent1" w:themeShade="BF"/>
          <w:sz w:val="24"/>
          <w:szCs w:val="24"/>
          <w:lang w:eastAsia="es-MX"/>
        </w:rPr>
        <w:t xml:space="preserve">el </w:t>
      </w:r>
      <w:r w:rsidRPr="00CB569C">
        <w:rPr>
          <w:rFonts w:ascii="Arial" w:eastAsia="Times New Roman" w:hAnsi="Arial" w:cs="Arial"/>
          <w:b/>
          <w:color w:val="2E74B5" w:themeColor="accent1" w:themeShade="BF"/>
          <w:sz w:val="24"/>
          <w:szCs w:val="24"/>
          <w:lang w:eastAsia="es-MX"/>
        </w:rPr>
        <w:t>TITULAR</w:t>
      </w:r>
      <w:r w:rsidRPr="00CB569C">
        <w:rPr>
          <w:rFonts w:ascii="Arial" w:eastAsia="Times New Roman" w:hAnsi="Arial" w:cs="Arial"/>
          <w:color w:val="2E74B5" w:themeColor="accent1" w:themeShade="BF"/>
          <w:sz w:val="24"/>
          <w:szCs w:val="24"/>
          <w:lang w:eastAsia="es-MX"/>
        </w:rPr>
        <w:t xml:space="preserve"> </w:t>
      </w:r>
      <w:r w:rsidRPr="00CB569C">
        <w:rPr>
          <w:rFonts w:ascii="Arial" w:eastAsia="Times New Roman" w:hAnsi="Arial" w:cs="Arial"/>
          <w:b/>
          <w:color w:val="2E74B5" w:themeColor="accent1" w:themeShade="BF"/>
          <w:sz w:val="24"/>
          <w:szCs w:val="24"/>
          <w:lang w:eastAsia="es-MX"/>
        </w:rPr>
        <w:t>DE LA UNIDAD DE TRANSPARENCIA</w:t>
      </w:r>
      <w:r w:rsidR="00CA78B5">
        <w:rPr>
          <w:rFonts w:ascii="Arial" w:eastAsia="Times New Roman" w:hAnsi="Arial" w:cs="Arial"/>
          <w:b/>
          <w:color w:val="2E74B5" w:themeColor="accent1" w:themeShade="BF"/>
          <w:sz w:val="24"/>
          <w:szCs w:val="24"/>
          <w:lang w:eastAsia="es-MX"/>
        </w:rPr>
        <w:t xml:space="preserve"> Y DEL TITULAR DE LA COORDINACION DE FINANZAS</w:t>
      </w:r>
      <w:r w:rsidRPr="00CB569C">
        <w:rPr>
          <w:rFonts w:ascii="Arial" w:eastAsia="Times New Roman" w:hAnsi="Arial" w:cs="Arial"/>
          <w:b/>
          <w:color w:val="2E74B5" w:themeColor="accent1" w:themeShade="BF"/>
          <w:sz w:val="24"/>
          <w:szCs w:val="24"/>
          <w:lang w:eastAsia="es-MX"/>
        </w:rPr>
        <w:t>.</w:t>
      </w:r>
    </w:p>
    <w:p w:rsidR="00174C28" w:rsidRPr="00CB569C" w:rsidRDefault="00174C28" w:rsidP="00087B46">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174C28" w:rsidRPr="00CB569C" w:rsidRDefault="00174C28" w:rsidP="00087B46">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Se encontraba en sus archivos.</w:t>
      </w:r>
    </w:p>
    <w:p w:rsidR="00174C28" w:rsidRPr="00CB569C" w:rsidRDefault="00174C28" w:rsidP="00087B46">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174C28" w:rsidRPr="00CB569C" w:rsidRDefault="00174C28" w:rsidP="00087B46">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Por otra parte, la ponente ordenó el traslado a las autoridades con la copia simple del recurso de revisión; se les requirió a éstas para remitieran copia </w:t>
      </w:r>
      <w:r w:rsidRPr="00CB569C">
        <w:rPr>
          <w:rFonts w:ascii="Arial" w:eastAsia="Times New Roman" w:hAnsi="Arial" w:cs="Arial"/>
          <w:color w:val="2E74B5" w:themeColor="accent1" w:themeShade="BF"/>
          <w:sz w:val="24"/>
          <w:szCs w:val="24"/>
          <w:lang w:eastAsia="es-MX"/>
        </w:rPr>
        <w:lastRenderedPageBreak/>
        <w:t>certificada del nombramiento que los acreditara como tales; para que señalaran personas y domicilio para oír y recibir notificaciones en esta ciudad; y que una vez, que sea decretado el cierre de instrucción no se atendería la información que fuese enviada.</w:t>
      </w:r>
    </w:p>
    <w:p w:rsidR="00174C28" w:rsidRPr="00CB569C" w:rsidRDefault="00174C28" w:rsidP="00087B46">
      <w:pPr>
        <w:spacing w:after="0" w:line="276" w:lineRule="auto"/>
        <w:ind w:firstLine="567"/>
        <w:jc w:val="both"/>
        <w:rPr>
          <w:rFonts w:ascii="Arial" w:eastAsia="Times New Roman" w:hAnsi="Arial" w:cs="Arial"/>
          <w:b/>
          <w:color w:val="2E74B5" w:themeColor="accent1" w:themeShade="BF"/>
          <w:sz w:val="24"/>
          <w:szCs w:val="24"/>
          <w:lang w:eastAsia="es-MX"/>
        </w:rPr>
      </w:pPr>
    </w:p>
    <w:p w:rsidR="00174C28" w:rsidRPr="00CB569C" w:rsidRDefault="00174C28" w:rsidP="00087B46">
      <w:pPr>
        <w:spacing w:after="0" w:line="276" w:lineRule="auto"/>
        <w:ind w:firstLine="567"/>
        <w:jc w:val="both"/>
        <w:rPr>
          <w:rFonts w:ascii="Arial" w:eastAsia="Times New Roman" w:hAnsi="Arial" w:cs="Arial"/>
          <w:b/>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SEXTO. Informe de los sujetos obligados</w:t>
      </w:r>
      <w:r w:rsidRPr="00CB569C">
        <w:rPr>
          <w:rFonts w:ascii="Arial" w:eastAsia="Times New Roman" w:hAnsi="Arial" w:cs="Arial"/>
          <w:color w:val="2E74B5" w:themeColor="accent1" w:themeShade="BF"/>
          <w:sz w:val="24"/>
          <w:szCs w:val="24"/>
          <w:lang w:eastAsia="es-MX"/>
        </w:rPr>
        <w:t xml:space="preserve">. Por proveído del </w:t>
      </w:r>
      <w:r w:rsidR="00CA78B5">
        <w:rPr>
          <w:rFonts w:ascii="Arial" w:eastAsia="Times New Roman" w:hAnsi="Arial" w:cs="Arial"/>
          <w:color w:val="2E74B5" w:themeColor="accent1" w:themeShade="BF"/>
          <w:sz w:val="24"/>
          <w:szCs w:val="24"/>
          <w:lang w:eastAsia="es-MX"/>
        </w:rPr>
        <w:t xml:space="preserve">20 veinte de agosto </w:t>
      </w:r>
      <w:r w:rsidRPr="00CB569C">
        <w:rPr>
          <w:rFonts w:ascii="Arial" w:eastAsia="Times New Roman" w:hAnsi="Arial" w:cs="Arial"/>
          <w:color w:val="2E74B5" w:themeColor="accent1" w:themeShade="BF"/>
          <w:sz w:val="24"/>
          <w:szCs w:val="24"/>
          <w:lang w:eastAsia="es-MX"/>
        </w:rPr>
        <w:t>de 2018 dos mil dieciocho la ponente del presente asunto tuvo:</w:t>
      </w:r>
    </w:p>
    <w:p w:rsidR="00174C28" w:rsidRPr="00CB569C" w:rsidRDefault="00174C28" w:rsidP="00087B46">
      <w:pPr>
        <w:spacing w:after="0" w:line="276" w:lineRule="auto"/>
        <w:ind w:left="151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087B46">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recibido el oficio LXI/UIP/</w:t>
      </w:r>
      <w:r w:rsidR="00DC76D4" w:rsidRPr="00CB569C">
        <w:rPr>
          <w:rFonts w:ascii="Arial" w:eastAsia="Times New Roman" w:hAnsi="Arial" w:cs="Arial"/>
          <w:color w:val="2E74B5" w:themeColor="accent1" w:themeShade="BF"/>
          <w:sz w:val="24"/>
          <w:szCs w:val="24"/>
          <w:lang w:eastAsia="es-MX"/>
        </w:rPr>
        <w:t>2</w:t>
      </w:r>
      <w:r w:rsidR="00CA78B5">
        <w:rPr>
          <w:rFonts w:ascii="Arial" w:eastAsia="Times New Roman" w:hAnsi="Arial" w:cs="Arial"/>
          <w:color w:val="2E74B5" w:themeColor="accent1" w:themeShade="BF"/>
          <w:sz w:val="24"/>
          <w:szCs w:val="24"/>
          <w:lang w:eastAsia="es-MX"/>
        </w:rPr>
        <w:t>54</w:t>
      </w:r>
      <w:r w:rsidRPr="00CB569C">
        <w:rPr>
          <w:rFonts w:ascii="Arial" w:eastAsia="Times New Roman" w:hAnsi="Arial" w:cs="Arial"/>
          <w:color w:val="2E74B5" w:themeColor="accent1" w:themeShade="BF"/>
          <w:sz w:val="24"/>
          <w:szCs w:val="24"/>
          <w:lang w:eastAsia="es-MX"/>
        </w:rPr>
        <w:t xml:space="preserve">/2018, firmado por el </w:t>
      </w:r>
      <w:r w:rsidRPr="00CB569C">
        <w:rPr>
          <w:rFonts w:ascii="Arial" w:eastAsia="Times New Roman" w:hAnsi="Arial" w:cs="Arial"/>
          <w:b/>
          <w:color w:val="2E74B5" w:themeColor="accent1" w:themeShade="BF"/>
          <w:sz w:val="24"/>
          <w:szCs w:val="24"/>
          <w:lang w:eastAsia="es-MX"/>
        </w:rPr>
        <w:t xml:space="preserve">JEFE DE LA UNIDAD DE INFORMACIÓN PÚBLICA DEL CONGRESO </w:t>
      </w:r>
      <w:r w:rsidRPr="00CB569C">
        <w:rPr>
          <w:rFonts w:ascii="Arial" w:eastAsia="Times New Roman" w:hAnsi="Arial" w:cs="Arial"/>
          <w:color w:val="2E74B5" w:themeColor="accent1" w:themeShade="BF"/>
          <w:sz w:val="24"/>
          <w:szCs w:val="24"/>
          <w:lang w:eastAsia="es-MX"/>
        </w:rPr>
        <w:t>junto con un anexo.</w:t>
      </w:r>
    </w:p>
    <w:p w:rsidR="00174C28" w:rsidRPr="00CB569C" w:rsidRDefault="00174C28" w:rsidP="00087B46">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Por reconocida su personalidad. </w:t>
      </w:r>
    </w:p>
    <w:p w:rsidR="00174C28" w:rsidRPr="00CB569C" w:rsidRDefault="00174C28" w:rsidP="00087B46">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rendido en tiempo y forma el informe solicitado.</w:t>
      </w:r>
    </w:p>
    <w:p w:rsidR="00174C28" w:rsidRDefault="00174C28" w:rsidP="00087B46">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expresados los argumentos relacionados con el presente asunto.</w:t>
      </w:r>
    </w:p>
    <w:p w:rsidR="00CA78B5" w:rsidRPr="00CB569C" w:rsidRDefault="00CA78B5" w:rsidP="00087B46">
      <w:pPr>
        <w:numPr>
          <w:ilvl w:val="0"/>
          <w:numId w:val="4"/>
        </w:numPr>
        <w:spacing w:after="0" w:line="276" w:lineRule="auto"/>
        <w:jc w:val="both"/>
        <w:rPr>
          <w:rFonts w:ascii="Arial" w:eastAsia="Times New Roman" w:hAnsi="Arial" w:cs="Arial"/>
          <w:color w:val="2E74B5" w:themeColor="accent1" w:themeShade="BF"/>
          <w:sz w:val="24"/>
          <w:szCs w:val="24"/>
          <w:lang w:eastAsia="es-MX"/>
        </w:rPr>
      </w:pPr>
      <w:r>
        <w:rPr>
          <w:rFonts w:ascii="Arial" w:eastAsia="Times New Roman" w:hAnsi="Arial" w:cs="Arial"/>
          <w:color w:val="2E74B5" w:themeColor="accent1" w:themeShade="BF"/>
          <w:sz w:val="24"/>
          <w:szCs w:val="24"/>
          <w:lang w:eastAsia="es-MX"/>
        </w:rPr>
        <w:t>Por ofreciendo la prueba que acompaña al oficio de cuenta.</w:t>
      </w:r>
    </w:p>
    <w:p w:rsidR="00174C28" w:rsidRPr="00CB569C" w:rsidRDefault="00174C28" w:rsidP="00087B46">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señalado persona y domicilio para oír y recibir notificaciones.</w:t>
      </w:r>
    </w:p>
    <w:p w:rsidR="00174C28" w:rsidRPr="00CB569C" w:rsidRDefault="00174C28" w:rsidP="00087B46">
      <w:pPr>
        <w:spacing w:after="0" w:line="276" w:lineRule="auto"/>
        <w:ind w:left="151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087B46">
      <w:pPr>
        <w:pStyle w:val="corte4fondo"/>
        <w:tabs>
          <w:tab w:val="left" w:pos="0"/>
        </w:tabs>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t>Respecto de la parte recurrente, se advirtió que no compareció a realizar las manifestaciones que a su derecho conviniera – ofrecer pruebas y alegar.</w:t>
      </w:r>
    </w:p>
    <w:p w:rsidR="00174C28" w:rsidRPr="00CB569C" w:rsidRDefault="00174C28" w:rsidP="00087B46">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r>
    </w:p>
    <w:p w:rsidR="00174C28" w:rsidRPr="00CB569C" w:rsidRDefault="00174C28" w:rsidP="00087B46">
      <w:pPr>
        <w:pStyle w:val="corte4fondo"/>
        <w:spacing w:line="276" w:lineRule="auto"/>
        <w:rPr>
          <w:rFonts w:cs="Arial"/>
          <w:color w:val="2E74B5" w:themeColor="accent1" w:themeShade="BF"/>
          <w:sz w:val="24"/>
          <w:szCs w:val="24"/>
        </w:rPr>
      </w:pPr>
      <w:r w:rsidRPr="00CB569C">
        <w:rPr>
          <w:rFonts w:cs="Arial"/>
          <w:color w:val="2E74B5" w:themeColor="accent1" w:themeShade="BF"/>
          <w:sz w:val="24"/>
          <w:szCs w:val="24"/>
        </w:rPr>
        <w:t>Para concluir, la ponente declaró cerrado el periodo de instrucción y procedió a elaborar el proyecto de resolución respectivo.</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spacing w:after="0" w:line="276" w:lineRule="auto"/>
        <w:ind w:firstLine="709"/>
        <w:jc w:val="center"/>
        <w:rPr>
          <w:rFonts w:ascii="Arial" w:eastAsia="Times New Roman" w:hAnsi="Arial" w:cs="Arial"/>
          <w:b/>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CONSIDERANDO</w:t>
      </w:r>
    </w:p>
    <w:p w:rsidR="00174C28" w:rsidRPr="00CB569C" w:rsidRDefault="00174C28" w:rsidP="00087B46">
      <w:pPr>
        <w:spacing w:after="0" w:line="276" w:lineRule="auto"/>
        <w:ind w:firstLine="709"/>
        <w:jc w:val="center"/>
        <w:rPr>
          <w:rFonts w:ascii="Arial" w:eastAsia="Times New Roman" w:hAnsi="Arial" w:cs="Arial"/>
          <w:b/>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PRIMERO. Competencia. </w:t>
      </w:r>
      <w:r w:rsidRPr="00CB569C">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SEGUNDO. Procedencia. </w:t>
      </w:r>
      <w:r w:rsidRPr="00CB569C">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F510B3" w:rsidP="00087B46">
      <w:pPr>
        <w:spacing w:after="0" w:line="276" w:lineRule="auto"/>
        <w:ind w:firstLine="709"/>
        <w:jc w:val="both"/>
        <w:rPr>
          <w:rFonts w:ascii="Arial" w:eastAsia="Times New Roman" w:hAnsi="Arial" w:cs="Arial"/>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TERCERO</w:t>
      </w:r>
      <w:r w:rsidR="00174C28" w:rsidRPr="00CB569C">
        <w:rPr>
          <w:rFonts w:ascii="Arial" w:eastAsia="Times New Roman" w:hAnsi="Arial" w:cs="Arial"/>
          <w:b/>
          <w:color w:val="2E74B5" w:themeColor="accent1" w:themeShade="BF"/>
          <w:sz w:val="24"/>
          <w:szCs w:val="24"/>
          <w:lang w:eastAsia="es-MX"/>
        </w:rPr>
        <w:t>. Oportunidad del recurso</w:t>
      </w:r>
      <w:r w:rsidR="00174C28" w:rsidRPr="00CB569C">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174C28" w:rsidRPr="00CB569C" w:rsidRDefault="00174C28" w:rsidP="00087B46">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087B46">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El </w:t>
      </w:r>
      <w:r w:rsidR="00F510B3">
        <w:rPr>
          <w:rFonts w:ascii="Arial" w:eastAsia="Times New Roman" w:hAnsi="Arial" w:cs="Arial"/>
          <w:color w:val="2E74B5" w:themeColor="accent1" w:themeShade="BF"/>
          <w:sz w:val="24"/>
          <w:szCs w:val="24"/>
          <w:lang w:eastAsia="es-MX"/>
        </w:rPr>
        <w:t xml:space="preserve">10 diez de julio </w:t>
      </w:r>
      <w:r w:rsidRPr="00CB569C">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174C28" w:rsidRPr="00CB569C" w:rsidRDefault="00174C28" w:rsidP="00087B46">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lastRenderedPageBreak/>
        <w:t xml:space="preserve">Por lo tanto, el plazo de los quince días hábiles para interponer el recurso de revisión transcurrió del día </w:t>
      </w:r>
      <w:r w:rsidR="00F510B3">
        <w:rPr>
          <w:rFonts w:ascii="Arial" w:eastAsia="Times New Roman" w:hAnsi="Arial" w:cs="Arial"/>
          <w:color w:val="2E74B5" w:themeColor="accent1" w:themeShade="BF"/>
          <w:sz w:val="24"/>
          <w:szCs w:val="24"/>
          <w:lang w:eastAsia="es-MX"/>
        </w:rPr>
        <w:t>11 once de jul</w:t>
      </w:r>
      <w:r w:rsidR="000D2656" w:rsidRPr="00CB569C">
        <w:rPr>
          <w:rFonts w:ascii="Arial" w:eastAsia="Times New Roman" w:hAnsi="Arial" w:cs="Arial"/>
          <w:color w:val="2E74B5" w:themeColor="accent1" w:themeShade="BF"/>
          <w:sz w:val="24"/>
          <w:szCs w:val="24"/>
          <w:lang w:eastAsia="es-MX"/>
        </w:rPr>
        <w:t xml:space="preserve">io </w:t>
      </w:r>
      <w:r w:rsidR="00F510B3">
        <w:rPr>
          <w:rFonts w:ascii="Arial" w:eastAsia="Times New Roman" w:hAnsi="Arial" w:cs="Arial"/>
          <w:color w:val="2E74B5" w:themeColor="accent1" w:themeShade="BF"/>
          <w:sz w:val="24"/>
          <w:szCs w:val="24"/>
          <w:lang w:eastAsia="es-MX"/>
        </w:rPr>
        <w:t xml:space="preserve">al 14 catorce de agosto </w:t>
      </w:r>
      <w:r w:rsidRPr="00CB569C">
        <w:rPr>
          <w:rFonts w:ascii="Arial" w:eastAsia="Times New Roman" w:hAnsi="Arial" w:cs="Arial"/>
          <w:color w:val="2E74B5" w:themeColor="accent1" w:themeShade="BF"/>
          <w:sz w:val="24"/>
          <w:szCs w:val="24"/>
          <w:lang w:eastAsia="es-MX"/>
        </w:rPr>
        <w:t xml:space="preserve">de este año. </w:t>
      </w:r>
    </w:p>
    <w:p w:rsidR="00174C28" w:rsidRPr="00CB569C" w:rsidRDefault="00174C28" w:rsidP="00087B46">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Se deben de descontar de dicho cómputo por ser inhábiles los días</w:t>
      </w:r>
      <w:r w:rsidR="00F510B3">
        <w:rPr>
          <w:rFonts w:ascii="Arial" w:eastAsia="Times New Roman" w:hAnsi="Arial" w:cs="Arial"/>
          <w:color w:val="2E74B5" w:themeColor="accent1" w:themeShade="BF"/>
          <w:sz w:val="24"/>
          <w:szCs w:val="24"/>
          <w:lang w:eastAsia="es-MX"/>
        </w:rPr>
        <w:t xml:space="preserve"> 14 catorce, 15 quince, 21 veintiuno, 22 veintidós y del 23 veintitrés de julio al 05 cinco de agosto por haber transcurrido el primer periodo vacacional de esta Comisión, ello de conformidad con el acuerdo CEGAIP-10/2018 mediante el cual se aprobó el calendario de actividades para este Órgano Colegiado, emitido en sesión ordinaria de 15 quince de mayo de 2018</w:t>
      </w:r>
      <w:r w:rsidR="000D2656" w:rsidRPr="00CB569C">
        <w:rPr>
          <w:rFonts w:ascii="Arial" w:eastAsia="Times New Roman" w:hAnsi="Arial" w:cs="Arial"/>
          <w:color w:val="2E74B5" w:themeColor="accent1" w:themeShade="BF"/>
          <w:sz w:val="24"/>
          <w:szCs w:val="24"/>
          <w:lang w:eastAsia="es-MX"/>
        </w:rPr>
        <w:t>.</w:t>
      </w: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087B46">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Consecuentemente si el </w:t>
      </w:r>
      <w:r w:rsidR="00F510B3">
        <w:rPr>
          <w:rFonts w:ascii="Arial" w:eastAsia="Times New Roman" w:hAnsi="Arial" w:cs="Arial"/>
          <w:color w:val="2E74B5" w:themeColor="accent1" w:themeShade="BF"/>
          <w:sz w:val="24"/>
          <w:szCs w:val="24"/>
          <w:lang w:eastAsia="es-MX"/>
        </w:rPr>
        <w:t xml:space="preserve">12 doce de julio </w:t>
      </w:r>
      <w:r w:rsidRPr="00CB569C">
        <w:rPr>
          <w:rFonts w:ascii="Arial" w:eastAsia="Times New Roman" w:hAnsi="Arial" w:cs="Arial"/>
          <w:color w:val="2E74B5" w:themeColor="accent1" w:themeShade="BF"/>
          <w:sz w:val="24"/>
          <w:szCs w:val="24"/>
          <w:lang w:eastAsia="es-MX"/>
        </w:rPr>
        <w:t>del presente año el recurrente interpuso el citado medio de impugnación</w:t>
      </w:r>
      <w:r w:rsidR="000D2656" w:rsidRPr="00CB569C">
        <w:rPr>
          <w:rFonts w:ascii="Arial" w:eastAsia="Times New Roman" w:hAnsi="Arial" w:cs="Arial"/>
          <w:color w:val="2E74B5" w:themeColor="accent1" w:themeShade="BF"/>
          <w:sz w:val="24"/>
          <w:szCs w:val="24"/>
          <w:lang w:eastAsia="es-MX"/>
        </w:rPr>
        <w:t xml:space="preserve"> </w:t>
      </w:r>
      <w:r w:rsidRPr="00CB569C">
        <w:rPr>
          <w:rFonts w:ascii="Arial" w:eastAsia="Times New Roman" w:hAnsi="Arial" w:cs="Arial"/>
          <w:color w:val="2E74B5" w:themeColor="accent1" w:themeShade="BF"/>
          <w:sz w:val="24"/>
          <w:szCs w:val="24"/>
          <w:lang w:eastAsia="es-MX"/>
        </w:rPr>
        <w:t xml:space="preserve">ante la Oficialía de Partes de esta Comisión de Transparencia, resulta claro que es oportuna su presentación.  </w:t>
      </w:r>
    </w:p>
    <w:p w:rsidR="00174C28" w:rsidRPr="00CB569C" w:rsidRDefault="00174C28" w:rsidP="00087B46">
      <w:pPr>
        <w:pStyle w:val="corte4fondo"/>
        <w:spacing w:line="276" w:lineRule="auto"/>
        <w:rPr>
          <w:rFonts w:cs="Arial"/>
          <w:color w:val="2E74B5" w:themeColor="accent1" w:themeShade="BF"/>
          <w:sz w:val="24"/>
          <w:szCs w:val="24"/>
        </w:rPr>
      </w:pPr>
    </w:p>
    <w:p w:rsidR="00174C28" w:rsidRPr="00CB569C" w:rsidRDefault="00F510B3" w:rsidP="00087B46">
      <w:pPr>
        <w:pStyle w:val="corte4fondo"/>
        <w:spacing w:line="276" w:lineRule="auto"/>
        <w:rPr>
          <w:rFonts w:cs="Arial"/>
          <w:color w:val="2E74B5" w:themeColor="accent1" w:themeShade="BF"/>
          <w:sz w:val="24"/>
          <w:szCs w:val="24"/>
        </w:rPr>
      </w:pPr>
      <w:r>
        <w:rPr>
          <w:rFonts w:cs="Arial"/>
          <w:b/>
          <w:color w:val="2E74B5" w:themeColor="accent1" w:themeShade="BF"/>
          <w:sz w:val="24"/>
          <w:szCs w:val="24"/>
        </w:rPr>
        <w:t>CUARTO</w:t>
      </w:r>
      <w:r w:rsidR="00174C28" w:rsidRPr="00CB569C">
        <w:rPr>
          <w:rFonts w:cs="Arial"/>
          <w:b/>
          <w:color w:val="2E74B5" w:themeColor="accent1" w:themeShade="BF"/>
          <w:sz w:val="24"/>
          <w:szCs w:val="24"/>
        </w:rPr>
        <w:t>. Certeza del acto reclamado</w:t>
      </w:r>
      <w:r w:rsidR="00174C28" w:rsidRPr="00CB569C">
        <w:rPr>
          <w:rFonts w:cs="Arial"/>
          <w:color w:val="2E74B5" w:themeColor="accent1" w:themeShade="BF"/>
          <w:sz w:val="24"/>
          <w:szCs w:val="24"/>
        </w:rPr>
        <w:t xml:space="preserve">. Son ciertos los actos </w:t>
      </w:r>
      <w:r w:rsidRPr="00CB569C">
        <w:rPr>
          <w:rFonts w:cs="Arial"/>
          <w:color w:val="2E74B5" w:themeColor="accent1" w:themeShade="BF"/>
          <w:sz w:val="24"/>
          <w:szCs w:val="24"/>
        </w:rPr>
        <w:t>reclamados atribuidos</w:t>
      </w:r>
      <w:r w:rsidR="00174C28" w:rsidRPr="00CB569C">
        <w:rPr>
          <w:rFonts w:cs="Arial"/>
          <w:color w:val="2E74B5" w:themeColor="accent1" w:themeShade="BF"/>
          <w:sz w:val="24"/>
          <w:szCs w:val="24"/>
        </w:rPr>
        <w:t xml:space="preserve"> a los sujetos obligados en virtud de que el </w:t>
      </w:r>
      <w:r w:rsidR="00174C28" w:rsidRPr="00CB569C">
        <w:rPr>
          <w:rFonts w:cs="Arial"/>
          <w:b/>
          <w:color w:val="2E74B5" w:themeColor="accent1" w:themeShade="BF"/>
          <w:sz w:val="24"/>
          <w:szCs w:val="24"/>
        </w:rPr>
        <w:t xml:space="preserve">JEFE DE LA UNIDAD DE INFORMACIÓN PÚBLICA </w:t>
      </w:r>
      <w:r w:rsidR="00174C28" w:rsidRPr="00CB569C">
        <w:rPr>
          <w:rFonts w:cs="Arial"/>
          <w:color w:val="2E74B5" w:themeColor="accent1" w:themeShade="BF"/>
          <w:sz w:val="24"/>
          <w:szCs w:val="24"/>
        </w:rPr>
        <w:t xml:space="preserve">del </w:t>
      </w:r>
      <w:r w:rsidR="00174C28" w:rsidRPr="00CB569C">
        <w:rPr>
          <w:rFonts w:cs="Arial"/>
          <w:b/>
          <w:color w:val="2E74B5" w:themeColor="accent1" w:themeShade="BF"/>
          <w:sz w:val="24"/>
          <w:szCs w:val="24"/>
        </w:rPr>
        <w:t>CONGRESO</w:t>
      </w:r>
      <w:r w:rsidR="00174C28" w:rsidRPr="00CB569C">
        <w:rPr>
          <w:rFonts w:cs="Arial"/>
          <w:color w:val="2E74B5" w:themeColor="accent1" w:themeShade="BF"/>
          <w:sz w:val="24"/>
          <w:szCs w:val="24"/>
        </w:rPr>
        <w:t xml:space="preserve"> así lo reconoció en su informe.</w:t>
      </w:r>
    </w:p>
    <w:p w:rsidR="00174C28" w:rsidRPr="00CB569C" w:rsidRDefault="00174C28" w:rsidP="00087B46">
      <w:pPr>
        <w:pStyle w:val="corte4fondo"/>
        <w:tabs>
          <w:tab w:val="left" w:pos="567"/>
        </w:tabs>
        <w:spacing w:line="276" w:lineRule="auto"/>
        <w:ind w:left="720" w:firstLine="0"/>
        <w:rPr>
          <w:rFonts w:cs="Arial"/>
          <w:b/>
          <w:color w:val="2E74B5" w:themeColor="accent1" w:themeShade="BF"/>
          <w:sz w:val="24"/>
          <w:szCs w:val="24"/>
        </w:rPr>
      </w:pPr>
    </w:p>
    <w:p w:rsidR="0069204C" w:rsidRDefault="0069204C" w:rsidP="00087B46">
      <w:pPr>
        <w:pStyle w:val="corte4fondo"/>
        <w:spacing w:line="276" w:lineRule="auto"/>
        <w:ind w:firstLine="708"/>
        <w:rPr>
          <w:rFonts w:cs="Arial"/>
          <w:color w:val="2E74B5" w:themeColor="accent1" w:themeShade="BF"/>
          <w:sz w:val="24"/>
          <w:szCs w:val="24"/>
        </w:rPr>
      </w:pPr>
      <w:r w:rsidRPr="005D6EDC">
        <w:rPr>
          <w:rFonts w:cs="Arial"/>
          <w:b/>
          <w:color w:val="2E74B5" w:themeColor="accent1" w:themeShade="BF"/>
          <w:sz w:val="24"/>
          <w:szCs w:val="24"/>
        </w:rPr>
        <w:t>QUINTO.</w:t>
      </w:r>
      <w:r w:rsidRPr="005D6EDC">
        <w:rPr>
          <w:rFonts w:cs="Arial"/>
          <w:color w:val="2E74B5" w:themeColor="accent1" w:themeShade="BF"/>
          <w:sz w:val="24"/>
          <w:szCs w:val="24"/>
        </w:rPr>
        <w:t xml:space="preserve"> </w:t>
      </w:r>
      <w:r w:rsidRPr="005D6EDC">
        <w:rPr>
          <w:rFonts w:cs="Arial"/>
          <w:b/>
          <w:color w:val="2E74B5" w:themeColor="accent1" w:themeShade="BF"/>
          <w:sz w:val="24"/>
          <w:szCs w:val="24"/>
        </w:rPr>
        <w:t>Sobreseimiento</w:t>
      </w:r>
      <w:r w:rsidRPr="005D6EDC">
        <w:rPr>
          <w:rFonts w:cs="Arial"/>
          <w:color w:val="2E74B5" w:themeColor="accent1" w:themeShade="BF"/>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9726D4" w:rsidRPr="005D6EDC" w:rsidRDefault="009726D4" w:rsidP="00087B46">
      <w:pPr>
        <w:pStyle w:val="corte4fondo"/>
        <w:spacing w:line="276" w:lineRule="auto"/>
        <w:ind w:firstLine="708"/>
        <w:rPr>
          <w:rFonts w:cs="Arial"/>
          <w:color w:val="2E74B5" w:themeColor="accent1" w:themeShade="BF"/>
          <w:sz w:val="24"/>
          <w:szCs w:val="24"/>
        </w:rPr>
      </w:pPr>
    </w:p>
    <w:p w:rsidR="009726D4" w:rsidRPr="009726D4" w:rsidRDefault="009726D4" w:rsidP="00087B46">
      <w:pPr>
        <w:pStyle w:val="corte4fondo"/>
        <w:spacing w:line="276" w:lineRule="auto"/>
        <w:ind w:firstLine="708"/>
        <w:rPr>
          <w:rFonts w:cs="Arial"/>
          <w:color w:val="2E74B5" w:themeColor="accent1" w:themeShade="BF"/>
          <w:sz w:val="24"/>
          <w:szCs w:val="24"/>
        </w:rPr>
      </w:pPr>
      <w:r w:rsidRPr="009726D4">
        <w:rPr>
          <w:rFonts w:cs="Arial"/>
          <w:color w:val="2E74B5" w:themeColor="accent1" w:themeShade="BF"/>
          <w:sz w:val="24"/>
          <w:szCs w:val="24"/>
        </w:rPr>
        <w:t xml:space="preserve">En la especie, el </w:t>
      </w:r>
      <w:r w:rsidRPr="009726D4">
        <w:rPr>
          <w:rFonts w:cs="Arial"/>
          <w:b/>
          <w:color w:val="2E74B5" w:themeColor="accent1" w:themeShade="BF"/>
          <w:sz w:val="24"/>
          <w:szCs w:val="24"/>
        </w:rPr>
        <w:t xml:space="preserve">JEFE DE LA UNIDAD DE TRANSPARENCIA </w:t>
      </w:r>
      <w:r w:rsidRPr="009726D4">
        <w:rPr>
          <w:rFonts w:cs="Arial"/>
          <w:color w:val="2E74B5" w:themeColor="accent1" w:themeShade="BF"/>
          <w:sz w:val="24"/>
          <w:szCs w:val="24"/>
        </w:rPr>
        <w:t>del sujeto obligado cuando rindió su informe ante esta Comisión de Transparencia adjuntó la respuesta que le dio al recurrente (capturas de pantalla de la notificación enviada al solicitante).</w:t>
      </w:r>
    </w:p>
    <w:p w:rsidR="009726D4" w:rsidRPr="009726D4" w:rsidRDefault="009726D4" w:rsidP="00087B46">
      <w:pPr>
        <w:pStyle w:val="corte4fondo"/>
        <w:spacing w:line="276" w:lineRule="auto"/>
        <w:ind w:firstLine="0"/>
        <w:rPr>
          <w:rFonts w:cs="Arial"/>
          <w:color w:val="2E74B5" w:themeColor="accent1" w:themeShade="BF"/>
          <w:sz w:val="24"/>
          <w:szCs w:val="24"/>
        </w:rPr>
      </w:pPr>
    </w:p>
    <w:p w:rsidR="009726D4" w:rsidRPr="009726D4" w:rsidRDefault="009726D4" w:rsidP="00087B46">
      <w:pPr>
        <w:pStyle w:val="corte4fondo"/>
        <w:spacing w:line="276" w:lineRule="auto"/>
        <w:ind w:firstLine="0"/>
        <w:rPr>
          <w:rFonts w:cs="Arial"/>
          <w:color w:val="2E74B5" w:themeColor="accent1" w:themeShade="BF"/>
          <w:sz w:val="24"/>
          <w:szCs w:val="24"/>
        </w:rPr>
      </w:pPr>
      <w:r w:rsidRPr="009726D4">
        <w:rPr>
          <w:rFonts w:cs="Arial"/>
          <w:color w:val="2E74B5" w:themeColor="accent1" w:themeShade="BF"/>
          <w:sz w:val="24"/>
          <w:szCs w:val="24"/>
        </w:rPr>
        <w:tab/>
        <w:t xml:space="preserve">Así, aunque expresamente ese servidor público no pidió que se sobreseyera el presente recurso, está Comisión de Transparencia analiza la procedencia del mismo en virtud de que de acuerdo con la Ley de Transparencia el sobreseimiento es una cuestión de orden público que impide, como se ha dicho, entrar al fondo del asunto. </w:t>
      </w:r>
    </w:p>
    <w:p w:rsidR="0069204C" w:rsidRPr="005D6EDC" w:rsidRDefault="0069204C" w:rsidP="00087B46">
      <w:pPr>
        <w:pStyle w:val="corte4fondo"/>
        <w:spacing w:line="276" w:lineRule="auto"/>
        <w:ind w:firstLine="0"/>
        <w:rPr>
          <w:rFonts w:cs="Arial"/>
          <w:color w:val="2E74B5" w:themeColor="accent1" w:themeShade="BF"/>
          <w:sz w:val="24"/>
          <w:szCs w:val="24"/>
        </w:rPr>
      </w:pPr>
    </w:p>
    <w:p w:rsidR="0069204C" w:rsidRPr="005D6EDC" w:rsidRDefault="0069204C" w:rsidP="00087B46">
      <w:pPr>
        <w:pStyle w:val="corte4fondo"/>
        <w:spacing w:line="276" w:lineRule="auto"/>
        <w:ind w:firstLine="0"/>
        <w:rPr>
          <w:rFonts w:cs="Arial"/>
          <w:color w:val="2E74B5" w:themeColor="accent1" w:themeShade="BF"/>
          <w:sz w:val="24"/>
          <w:szCs w:val="24"/>
        </w:rPr>
      </w:pPr>
      <w:r w:rsidRPr="005D6EDC">
        <w:rPr>
          <w:rFonts w:cs="Arial"/>
          <w:color w:val="2E74B5" w:themeColor="accent1" w:themeShade="BF"/>
          <w:sz w:val="24"/>
          <w:szCs w:val="24"/>
        </w:rPr>
        <w:tab/>
      </w:r>
      <w:r>
        <w:rPr>
          <w:rFonts w:cs="Arial"/>
          <w:b/>
          <w:color w:val="2E74B5" w:themeColor="accent1" w:themeShade="BF"/>
          <w:sz w:val="24"/>
          <w:szCs w:val="24"/>
        </w:rPr>
        <w:t>5</w:t>
      </w:r>
      <w:r w:rsidRPr="005D6EDC">
        <w:rPr>
          <w:rFonts w:cs="Arial"/>
          <w:b/>
          <w:color w:val="2E74B5" w:themeColor="accent1" w:themeShade="BF"/>
          <w:sz w:val="24"/>
          <w:szCs w:val="24"/>
        </w:rPr>
        <w:t>.1. Objetivo de la Ley de Transparencia</w:t>
      </w:r>
      <w:r w:rsidRPr="005D6EDC">
        <w:rPr>
          <w:rFonts w:cs="Arial"/>
          <w:color w:val="2E74B5" w:themeColor="accent1" w:themeShade="BF"/>
          <w:sz w:val="24"/>
          <w:szCs w:val="24"/>
        </w:rPr>
        <w:t>.</w:t>
      </w:r>
    </w:p>
    <w:p w:rsidR="0069204C" w:rsidRPr="005D6EDC" w:rsidRDefault="0069204C" w:rsidP="00087B46">
      <w:pPr>
        <w:pStyle w:val="corte4fondo"/>
        <w:spacing w:line="276" w:lineRule="auto"/>
        <w:ind w:firstLine="0"/>
        <w:rPr>
          <w:rFonts w:cs="Arial"/>
          <w:color w:val="2E74B5" w:themeColor="accent1" w:themeShade="BF"/>
          <w:sz w:val="24"/>
          <w:szCs w:val="24"/>
        </w:rPr>
      </w:pPr>
    </w:p>
    <w:p w:rsidR="0069204C" w:rsidRDefault="0069204C" w:rsidP="00087B46">
      <w:pPr>
        <w:pStyle w:val="NormalWeb"/>
        <w:spacing w:before="0" w:beforeAutospacing="0" w:after="0" w:afterAutospacing="0" w:line="276" w:lineRule="auto"/>
        <w:jc w:val="both"/>
        <w:rPr>
          <w:rFonts w:ascii="Arial" w:eastAsia="Arial Unicode MS" w:hAnsi="Arial" w:cs="Arial"/>
          <w:color w:val="2E74B5" w:themeColor="accent1" w:themeShade="BF"/>
        </w:rPr>
      </w:pPr>
      <w:r w:rsidRPr="005D6EDC">
        <w:rPr>
          <w:rFonts w:ascii="Arial" w:hAnsi="Arial" w:cs="Arial"/>
          <w:color w:val="2E74B5" w:themeColor="accent1" w:themeShade="BF"/>
          <w:lang w:val="es-MX" w:eastAsia="es-MX"/>
        </w:rPr>
        <w:tab/>
      </w:r>
      <w:r w:rsidRPr="0069204C">
        <w:rPr>
          <w:rFonts w:ascii="Arial" w:eastAsia="Arial Unicode MS" w:hAnsi="Arial" w:cs="Arial"/>
          <w:color w:val="2E74B5" w:themeColor="accent1" w:themeShade="BF"/>
        </w:rPr>
        <w:t>Ahora, es necesario precisar que</w:t>
      </w:r>
      <w:r w:rsidRPr="0069204C">
        <w:rPr>
          <w:rFonts w:ascii="Arial" w:eastAsia="Arial Unicode MS" w:hAnsi="Arial" w:cs="Arial"/>
          <w:color w:val="2E74B5" w:themeColor="accent1" w:themeShade="BF"/>
        </w:rPr>
        <w:tab/>
        <w:t xml:space="preserve"> de conformidad con el segundo párrafo, del artículo 1°</w:t>
      </w:r>
      <w:r w:rsidRPr="0069204C">
        <w:rPr>
          <w:rStyle w:val="Refdenotaalpie"/>
          <w:rFonts w:eastAsia="Arial Unicode MS" w:cs="Arial"/>
          <w:color w:val="2E74B5" w:themeColor="accent1" w:themeShade="BF"/>
        </w:rPr>
        <w:footnoteReference w:id="3"/>
      </w:r>
      <w:r w:rsidRPr="0069204C">
        <w:rPr>
          <w:rFonts w:ascii="Arial" w:eastAsia="Arial Unicode MS" w:hAnsi="Arial" w:cs="Arial"/>
          <w:color w:val="2E74B5" w:themeColor="accent1" w:themeShade="BF"/>
        </w:rPr>
        <w:t xml:space="preserve"> de la Ley de Transparencia, uno de los objetivos de ésta es garantizar el ejercicio del derecho de acceso a la información pública.</w:t>
      </w:r>
      <w:r w:rsidRPr="005D6EDC">
        <w:rPr>
          <w:rFonts w:ascii="Arial" w:eastAsia="Arial Unicode MS" w:hAnsi="Arial" w:cs="Arial"/>
          <w:color w:val="2E74B5" w:themeColor="accent1" w:themeShade="BF"/>
        </w:rPr>
        <w:t xml:space="preserve"> </w:t>
      </w:r>
    </w:p>
    <w:p w:rsidR="009726D4" w:rsidRDefault="009726D4" w:rsidP="00087B46">
      <w:pPr>
        <w:pStyle w:val="NormalWeb"/>
        <w:spacing w:before="0" w:beforeAutospacing="0" w:after="0" w:afterAutospacing="0" w:line="276" w:lineRule="auto"/>
        <w:jc w:val="both"/>
        <w:rPr>
          <w:rFonts w:ascii="Arial" w:eastAsia="Arial Unicode MS" w:hAnsi="Arial" w:cs="Arial"/>
          <w:color w:val="2E74B5" w:themeColor="accent1" w:themeShade="BF"/>
        </w:rPr>
      </w:pPr>
    </w:p>
    <w:p w:rsidR="009726D4" w:rsidRPr="009726D4" w:rsidRDefault="009726D4" w:rsidP="00087B46">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Pr>
          <w:rFonts w:ascii="Arial" w:eastAsia="Arial Unicode MS" w:hAnsi="Arial" w:cs="Arial"/>
          <w:b/>
          <w:color w:val="2E74B5" w:themeColor="accent1" w:themeShade="BF"/>
        </w:rPr>
        <w:t>5</w:t>
      </w:r>
      <w:r w:rsidRPr="009726D4">
        <w:rPr>
          <w:rFonts w:ascii="Arial" w:eastAsia="Arial Unicode MS" w:hAnsi="Arial" w:cs="Arial"/>
          <w:b/>
          <w:color w:val="2E74B5" w:themeColor="accent1" w:themeShade="BF"/>
        </w:rPr>
        <w:t>.2. Supuestos para el sobreseimiento.</w:t>
      </w:r>
    </w:p>
    <w:p w:rsidR="009726D4" w:rsidRPr="009726D4" w:rsidRDefault="009726D4" w:rsidP="00087B46">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9726D4" w:rsidRPr="009726D4" w:rsidRDefault="009726D4" w:rsidP="00087B46">
      <w:pPr>
        <w:pStyle w:val="corte4fondo"/>
        <w:spacing w:line="276" w:lineRule="auto"/>
        <w:ind w:firstLine="0"/>
        <w:rPr>
          <w:rFonts w:cs="Arial"/>
          <w:color w:val="2E74B5" w:themeColor="accent1" w:themeShade="BF"/>
          <w:sz w:val="24"/>
          <w:szCs w:val="24"/>
        </w:rPr>
      </w:pPr>
      <w:r w:rsidRPr="009726D4">
        <w:rPr>
          <w:rFonts w:cs="Arial"/>
          <w:color w:val="2E74B5" w:themeColor="accent1" w:themeShade="BF"/>
          <w:sz w:val="24"/>
          <w:szCs w:val="24"/>
        </w:rPr>
        <w:tab/>
        <w:t>Ahora, el artículo 180, de la Ley de Transparencia establece que:</w:t>
      </w:r>
    </w:p>
    <w:p w:rsidR="009726D4" w:rsidRPr="009726D4" w:rsidRDefault="009726D4" w:rsidP="00087B46">
      <w:pPr>
        <w:pStyle w:val="corte4fondo"/>
        <w:spacing w:line="276" w:lineRule="auto"/>
        <w:ind w:firstLine="0"/>
        <w:rPr>
          <w:rFonts w:cs="Arial"/>
          <w:color w:val="2E74B5" w:themeColor="accent1" w:themeShade="BF"/>
          <w:sz w:val="24"/>
          <w:szCs w:val="24"/>
        </w:rPr>
      </w:pPr>
    </w:p>
    <w:p w:rsidR="009726D4" w:rsidRPr="009726D4" w:rsidRDefault="009726D4" w:rsidP="00087B46">
      <w:pPr>
        <w:pStyle w:val="corte4fondo"/>
        <w:spacing w:line="276" w:lineRule="auto"/>
        <w:ind w:left="708" w:firstLine="0"/>
        <w:rPr>
          <w:rFonts w:cs="Arial"/>
          <w:i/>
          <w:color w:val="2E74B5" w:themeColor="accent1" w:themeShade="BF"/>
          <w:sz w:val="20"/>
        </w:rPr>
      </w:pPr>
      <w:r w:rsidRPr="009726D4">
        <w:rPr>
          <w:rFonts w:cs="Arial"/>
          <w:b/>
          <w:i/>
          <w:color w:val="2E74B5" w:themeColor="accent1" w:themeShade="BF"/>
          <w:sz w:val="20"/>
        </w:rPr>
        <w:t>ARTÍCULO 180.</w:t>
      </w:r>
      <w:r w:rsidRPr="009726D4">
        <w:rPr>
          <w:rFonts w:cs="Arial"/>
          <w:i/>
          <w:color w:val="2E74B5" w:themeColor="accent1" w:themeShade="BF"/>
          <w:sz w:val="20"/>
        </w:rPr>
        <w:t xml:space="preserve"> El recurso será sobreseído, en todo o en parte, cuando, una vez admitido, se actualicen alguno de los siguientes supuestos:</w:t>
      </w:r>
    </w:p>
    <w:p w:rsidR="009726D4" w:rsidRPr="009726D4" w:rsidRDefault="009726D4" w:rsidP="00087B46">
      <w:pPr>
        <w:pStyle w:val="corte4fondo"/>
        <w:spacing w:line="276" w:lineRule="auto"/>
        <w:ind w:left="708" w:firstLine="0"/>
        <w:rPr>
          <w:rFonts w:cs="Arial"/>
          <w:i/>
          <w:color w:val="2E74B5" w:themeColor="accent1" w:themeShade="BF"/>
          <w:sz w:val="20"/>
        </w:rPr>
      </w:pPr>
      <w:r w:rsidRPr="009726D4">
        <w:rPr>
          <w:rFonts w:cs="Arial"/>
          <w:b/>
          <w:i/>
          <w:color w:val="2E74B5" w:themeColor="accent1" w:themeShade="BF"/>
          <w:sz w:val="20"/>
        </w:rPr>
        <w:t>I.</w:t>
      </w:r>
      <w:r w:rsidRPr="009726D4">
        <w:rPr>
          <w:rFonts w:cs="Arial"/>
          <w:i/>
          <w:color w:val="2E74B5" w:themeColor="accent1" w:themeShade="BF"/>
          <w:sz w:val="20"/>
        </w:rPr>
        <w:t xml:space="preserve"> El recurrente se desista;</w:t>
      </w:r>
    </w:p>
    <w:p w:rsidR="009726D4" w:rsidRPr="009726D4" w:rsidRDefault="009726D4" w:rsidP="00087B46">
      <w:pPr>
        <w:pStyle w:val="corte4fondo"/>
        <w:spacing w:line="276" w:lineRule="auto"/>
        <w:ind w:left="708" w:firstLine="0"/>
        <w:rPr>
          <w:rFonts w:cs="Arial"/>
          <w:i/>
          <w:color w:val="2E74B5" w:themeColor="accent1" w:themeShade="BF"/>
          <w:sz w:val="20"/>
        </w:rPr>
      </w:pPr>
      <w:r w:rsidRPr="009726D4">
        <w:rPr>
          <w:rFonts w:cs="Arial"/>
          <w:b/>
          <w:i/>
          <w:color w:val="2E74B5" w:themeColor="accent1" w:themeShade="BF"/>
          <w:sz w:val="20"/>
        </w:rPr>
        <w:t>II.</w:t>
      </w:r>
      <w:r w:rsidRPr="009726D4">
        <w:rPr>
          <w:rFonts w:cs="Arial"/>
          <w:i/>
          <w:color w:val="2E74B5" w:themeColor="accent1" w:themeShade="BF"/>
          <w:sz w:val="20"/>
        </w:rPr>
        <w:t xml:space="preserve"> El recurrente fallezca;</w:t>
      </w:r>
    </w:p>
    <w:p w:rsidR="009726D4" w:rsidRPr="009726D4" w:rsidRDefault="009726D4" w:rsidP="00087B46">
      <w:pPr>
        <w:pStyle w:val="corte4fondo"/>
        <w:spacing w:line="276" w:lineRule="auto"/>
        <w:ind w:left="708" w:firstLine="0"/>
        <w:rPr>
          <w:rFonts w:cs="Arial"/>
          <w:i/>
          <w:color w:val="2E74B5" w:themeColor="accent1" w:themeShade="BF"/>
          <w:sz w:val="20"/>
        </w:rPr>
      </w:pPr>
      <w:r w:rsidRPr="009726D4">
        <w:rPr>
          <w:rFonts w:cs="Arial"/>
          <w:b/>
          <w:i/>
          <w:color w:val="2E74B5" w:themeColor="accent1" w:themeShade="BF"/>
          <w:sz w:val="20"/>
        </w:rPr>
        <w:t>III.</w:t>
      </w:r>
      <w:r w:rsidRPr="009726D4">
        <w:rPr>
          <w:rFonts w:cs="Arial"/>
          <w:i/>
          <w:color w:val="2E74B5" w:themeColor="accent1" w:themeShade="BF"/>
          <w:sz w:val="20"/>
        </w:rPr>
        <w:t xml:space="preserve"> El sujeto obligado responsable del acto lo modifique o revoque de tal manera que el recurso de revisión quede sin materia, o</w:t>
      </w:r>
    </w:p>
    <w:p w:rsidR="009726D4" w:rsidRPr="009726D4" w:rsidRDefault="009726D4" w:rsidP="00087B46">
      <w:pPr>
        <w:pStyle w:val="corte4fondo"/>
        <w:spacing w:line="276" w:lineRule="auto"/>
        <w:ind w:left="708" w:firstLine="0"/>
        <w:rPr>
          <w:rFonts w:cs="Arial"/>
          <w:i/>
          <w:color w:val="2E74B5" w:themeColor="accent1" w:themeShade="BF"/>
          <w:sz w:val="20"/>
        </w:rPr>
      </w:pPr>
      <w:r w:rsidRPr="009726D4">
        <w:rPr>
          <w:rFonts w:cs="Arial"/>
          <w:b/>
          <w:i/>
          <w:color w:val="2E74B5" w:themeColor="accent1" w:themeShade="BF"/>
          <w:sz w:val="20"/>
        </w:rPr>
        <w:t>IV.</w:t>
      </w:r>
      <w:r w:rsidRPr="009726D4">
        <w:rPr>
          <w:rFonts w:cs="Arial"/>
          <w:i/>
          <w:color w:val="2E74B5" w:themeColor="accent1" w:themeShade="BF"/>
          <w:sz w:val="20"/>
        </w:rPr>
        <w:t xml:space="preserve"> Admitido el recurso de revisión, aparezca alguna causal de improcedencia en los términos del presente Capítulo.</w:t>
      </w:r>
    </w:p>
    <w:p w:rsidR="009726D4" w:rsidRPr="009726D4" w:rsidRDefault="009726D4" w:rsidP="00087B46">
      <w:pPr>
        <w:pStyle w:val="corte4fondo"/>
        <w:spacing w:line="276" w:lineRule="auto"/>
        <w:ind w:left="708" w:firstLine="0"/>
        <w:rPr>
          <w:rFonts w:cs="Arial"/>
          <w:color w:val="2E74B5" w:themeColor="accent1" w:themeShade="BF"/>
          <w:sz w:val="20"/>
        </w:rPr>
      </w:pPr>
    </w:p>
    <w:p w:rsidR="009726D4" w:rsidRPr="009726D4" w:rsidRDefault="009726D4" w:rsidP="00087B46">
      <w:pPr>
        <w:pStyle w:val="corte4fondo"/>
        <w:tabs>
          <w:tab w:val="left" w:pos="2284"/>
        </w:tabs>
        <w:spacing w:line="276" w:lineRule="auto"/>
        <w:ind w:firstLine="0"/>
        <w:rPr>
          <w:rFonts w:cs="Arial"/>
          <w:color w:val="2E74B5" w:themeColor="accent1" w:themeShade="BF"/>
          <w:sz w:val="24"/>
          <w:szCs w:val="24"/>
        </w:rPr>
      </w:pPr>
      <w:r>
        <w:rPr>
          <w:rFonts w:cs="Arial"/>
          <w:color w:val="2E74B5" w:themeColor="accent1" w:themeShade="BF"/>
          <w:sz w:val="24"/>
          <w:szCs w:val="24"/>
        </w:rPr>
        <w:t xml:space="preserve">          </w:t>
      </w:r>
      <w:r w:rsidRPr="009726D4">
        <w:rPr>
          <w:rFonts w:cs="Arial"/>
          <w:color w:val="2E74B5" w:themeColor="accent1" w:themeShade="BF"/>
          <w:sz w:val="24"/>
          <w:szCs w:val="24"/>
        </w:rPr>
        <w:t>Como se ve, ese artículo prevé cuatro fracciones con un supuesto cada una para sobreseer, sin embargo, de las constancias que la autoridad agregó, esta Comisión de Transparencia advierte de que se está en presencia de la fracción III, esto es que cuando el ente obligado como responsable de lo que se le reclama, modifica su acto de tal manera de que se llegue al extremo de que el presente recuso quede sin materia y ello se logra a través de que la autoridad entregue la respuesta, la información o bien, otra circunstancia en la que permita el sobreseimiento y que lo anterior sea notificado al solicitante de la información.</w:t>
      </w:r>
    </w:p>
    <w:p w:rsidR="0069204C" w:rsidRPr="00096066" w:rsidRDefault="0069204C" w:rsidP="00087B46">
      <w:pPr>
        <w:pStyle w:val="corte4fondo"/>
        <w:spacing w:line="276" w:lineRule="auto"/>
        <w:ind w:left="708" w:firstLine="0"/>
        <w:rPr>
          <w:rFonts w:cs="Arial"/>
          <w:color w:val="2E74B5" w:themeColor="accent1" w:themeShade="BF"/>
          <w:sz w:val="20"/>
        </w:rPr>
      </w:pPr>
    </w:p>
    <w:p w:rsidR="0069204C" w:rsidRPr="00592B47" w:rsidRDefault="0069204C" w:rsidP="00087B46">
      <w:pPr>
        <w:pStyle w:val="corte4fondo"/>
        <w:spacing w:line="276" w:lineRule="auto"/>
        <w:ind w:firstLine="0"/>
        <w:rPr>
          <w:rFonts w:eastAsia="Arial Unicode MS" w:cs="Arial"/>
          <w:b/>
          <w:color w:val="2E74B5" w:themeColor="accent1" w:themeShade="BF"/>
          <w:sz w:val="24"/>
          <w:szCs w:val="24"/>
        </w:rPr>
      </w:pPr>
      <w:r w:rsidRPr="00096066">
        <w:rPr>
          <w:rFonts w:cs="Arial"/>
          <w:color w:val="2E74B5" w:themeColor="accent1" w:themeShade="BF"/>
          <w:sz w:val="24"/>
          <w:szCs w:val="24"/>
        </w:rPr>
        <w:tab/>
      </w:r>
      <w:r w:rsidRPr="00592B47">
        <w:rPr>
          <w:rFonts w:eastAsia="Arial Unicode MS" w:cs="Arial"/>
          <w:b/>
          <w:color w:val="2E74B5" w:themeColor="accent1" w:themeShade="BF"/>
          <w:sz w:val="24"/>
          <w:szCs w:val="24"/>
        </w:rPr>
        <w:t>5</w:t>
      </w:r>
      <w:r w:rsidR="00592B47">
        <w:rPr>
          <w:rFonts w:eastAsia="Arial Unicode MS" w:cs="Arial"/>
          <w:b/>
          <w:color w:val="2E74B5" w:themeColor="accent1" w:themeShade="BF"/>
          <w:sz w:val="24"/>
          <w:szCs w:val="24"/>
        </w:rPr>
        <w:t>.3</w:t>
      </w:r>
      <w:r w:rsidRPr="00592B47">
        <w:rPr>
          <w:rFonts w:eastAsia="Arial Unicode MS" w:cs="Arial"/>
          <w:b/>
          <w:color w:val="2E74B5" w:themeColor="accent1" w:themeShade="BF"/>
          <w:sz w:val="24"/>
          <w:szCs w:val="24"/>
        </w:rPr>
        <w:t>. Notificación de la respuesta a la solicitud de acceso a la información pública.</w:t>
      </w:r>
    </w:p>
    <w:p w:rsidR="00173C3B" w:rsidRDefault="00173C3B" w:rsidP="00087B46">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173C3B" w:rsidRPr="00482FCB" w:rsidRDefault="00173C3B"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Pr>
          <w:rFonts w:ascii="Arial" w:eastAsia="Arial Unicode MS" w:hAnsi="Arial" w:cs="Arial"/>
          <w:color w:val="2E74B5" w:themeColor="accent1" w:themeShade="BF"/>
        </w:rPr>
        <w:tab/>
      </w:r>
      <w:r w:rsidRPr="00482FCB">
        <w:rPr>
          <w:rFonts w:ascii="Arial" w:eastAsia="Arial Unicode MS" w:hAnsi="Arial" w:cs="Arial"/>
          <w:color w:val="2E74B5" w:themeColor="accent1" w:themeShade="BF"/>
        </w:rPr>
        <w:t>Para que el sobreseimiento se pueda actualizar, es necesario que el sujeto obligado acredite que efectivamente el ahora recurrente ya se allegó de esa respuesta.</w:t>
      </w:r>
    </w:p>
    <w:p w:rsidR="00173C3B" w:rsidRPr="00482FCB" w:rsidRDefault="00173C3B"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173C3B" w:rsidRDefault="00173C3B"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482FCB">
        <w:rPr>
          <w:rFonts w:ascii="Arial" w:eastAsia="Arial Unicode MS" w:hAnsi="Arial" w:cs="Arial"/>
          <w:color w:val="2E74B5" w:themeColor="accent1" w:themeShade="BF"/>
        </w:rPr>
        <w:tab/>
        <w:t>Ahora, esta Comisión de Transparencia al analizar las constancias y propiamente</w:t>
      </w:r>
      <w:r w:rsidR="00592B47">
        <w:rPr>
          <w:rFonts w:ascii="Arial" w:eastAsia="Arial Unicode MS" w:hAnsi="Arial" w:cs="Arial"/>
          <w:color w:val="2E74B5" w:themeColor="accent1" w:themeShade="BF"/>
        </w:rPr>
        <w:t xml:space="preserve"> las que obran </w:t>
      </w:r>
      <w:r>
        <w:rPr>
          <w:rFonts w:ascii="Arial" w:eastAsia="Arial Unicode MS" w:hAnsi="Arial" w:cs="Arial"/>
          <w:color w:val="2E74B5" w:themeColor="accent1" w:themeShade="BF"/>
        </w:rPr>
        <w:t>en el disco compacto que remitió la autoridad, el cual contiene la versión pública y anexos dentro de los mismos se aprecia</w:t>
      </w:r>
      <w:r w:rsidR="00C27B43">
        <w:rPr>
          <w:rFonts w:ascii="Arial" w:eastAsia="Arial Unicode MS" w:hAnsi="Arial" w:cs="Arial"/>
          <w:color w:val="2E74B5" w:themeColor="accent1" w:themeShade="BF"/>
        </w:rPr>
        <w:t>n</w:t>
      </w:r>
      <w:r>
        <w:rPr>
          <w:rFonts w:ascii="Arial" w:eastAsia="Arial Unicode MS" w:hAnsi="Arial" w:cs="Arial"/>
          <w:color w:val="2E74B5" w:themeColor="accent1" w:themeShade="BF"/>
        </w:rPr>
        <w:t xml:space="preserve"> las capturas de pantalla de la notificación realizada vía correo electrónico al ahora recurrente</w:t>
      </w:r>
      <w:r w:rsidRPr="00482FCB">
        <w:rPr>
          <w:rFonts w:ascii="Arial" w:eastAsia="Arial Unicode MS" w:hAnsi="Arial" w:cs="Arial"/>
          <w:color w:val="2E74B5" w:themeColor="accent1" w:themeShade="BF"/>
        </w:rPr>
        <w:t>,</w:t>
      </w:r>
      <w:r w:rsidR="00C27B43">
        <w:rPr>
          <w:rFonts w:ascii="Arial" w:eastAsia="Arial Unicode MS" w:hAnsi="Arial" w:cs="Arial"/>
          <w:color w:val="2E74B5" w:themeColor="accent1" w:themeShade="BF"/>
        </w:rPr>
        <w:t xml:space="preserve"> esto es, que a las 14;27 catorce con veintisiete minutos del día 16 de agosto de 2018 dos mil dieciocho la autoridad </w:t>
      </w:r>
      <w:r w:rsidRPr="00482FCB">
        <w:rPr>
          <w:rFonts w:ascii="Arial" w:eastAsia="Arial Unicode MS" w:hAnsi="Arial" w:cs="Arial"/>
          <w:color w:val="2E74B5" w:themeColor="accent1" w:themeShade="BF"/>
        </w:rPr>
        <w:t xml:space="preserve">envío la </w:t>
      </w:r>
      <w:r w:rsidR="00C27B43">
        <w:rPr>
          <w:rFonts w:ascii="Arial" w:eastAsia="Arial Unicode MS" w:hAnsi="Arial" w:cs="Arial"/>
          <w:color w:val="2E74B5" w:themeColor="accent1" w:themeShade="BF"/>
        </w:rPr>
        <w:t>versión pública en formato digital de los documentos objeto de la solicitud con número de folio 00490018</w:t>
      </w:r>
      <w:r w:rsidRPr="00482FCB">
        <w:rPr>
          <w:rFonts w:ascii="Arial" w:eastAsia="Arial Unicode MS" w:hAnsi="Arial" w:cs="Arial"/>
          <w:color w:val="2E74B5" w:themeColor="accent1" w:themeShade="BF"/>
        </w:rPr>
        <w:t xml:space="preserve">, es decir, que consta que el </w:t>
      </w:r>
      <w:r w:rsidR="00C27B43">
        <w:rPr>
          <w:rFonts w:ascii="Arial" w:eastAsia="Arial Unicode MS" w:hAnsi="Arial" w:cs="Arial"/>
          <w:color w:val="2E74B5" w:themeColor="accent1" w:themeShade="BF"/>
        </w:rPr>
        <w:t>peticionario</w:t>
      </w:r>
      <w:r w:rsidRPr="00482FCB">
        <w:rPr>
          <w:rFonts w:ascii="Arial" w:eastAsia="Arial Unicode MS" w:hAnsi="Arial" w:cs="Arial"/>
          <w:color w:val="2E74B5" w:themeColor="accent1" w:themeShade="BF"/>
        </w:rPr>
        <w:t xml:space="preserve"> se allegó de la información </w:t>
      </w:r>
      <w:r w:rsidR="00C27B43">
        <w:rPr>
          <w:rFonts w:ascii="Arial" w:eastAsia="Arial Unicode MS" w:hAnsi="Arial" w:cs="Arial"/>
          <w:color w:val="2E74B5" w:themeColor="accent1" w:themeShade="BF"/>
        </w:rPr>
        <w:t>solicitada</w:t>
      </w:r>
      <w:r w:rsidRPr="00482FCB">
        <w:rPr>
          <w:rFonts w:ascii="Arial" w:eastAsia="Arial Unicode MS" w:hAnsi="Arial" w:cs="Arial"/>
          <w:color w:val="2E74B5" w:themeColor="accent1" w:themeShade="BF"/>
        </w:rPr>
        <w:t>.</w:t>
      </w:r>
    </w:p>
    <w:p w:rsidR="00C27B43" w:rsidRPr="00BE56F4" w:rsidRDefault="00C27B43"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C27B43" w:rsidRPr="00BE56F4" w:rsidRDefault="00C27B43" w:rsidP="00087B46">
      <w:pPr>
        <w:pStyle w:val="corte4fondo"/>
        <w:spacing w:line="276" w:lineRule="auto"/>
        <w:rPr>
          <w:rFonts w:cs="Arial"/>
          <w:color w:val="4F81BD"/>
          <w:sz w:val="24"/>
          <w:szCs w:val="24"/>
        </w:rPr>
      </w:pPr>
      <w:r w:rsidRPr="00BE56F4">
        <w:rPr>
          <w:rFonts w:cs="Arial"/>
          <w:color w:val="4F81BD"/>
          <w:sz w:val="24"/>
          <w:szCs w:val="24"/>
        </w:rPr>
        <w:t>Lo anterior se corrobora de la siguiente manera:</w:t>
      </w:r>
    </w:p>
    <w:p w:rsidR="0069204C" w:rsidRPr="00BE56F4" w:rsidRDefault="00173C3B"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BE56F4">
        <w:rPr>
          <w:rFonts w:ascii="Arial" w:eastAsia="Arial Unicode MS" w:hAnsi="Arial" w:cs="Arial"/>
          <w:color w:val="2E74B5" w:themeColor="accent1" w:themeShade="BF"/>
        </w:rPr>
        <w:tab/>
      </w:r>
    </w:p>
    <w:p w:rsidR="00C27B43" w:rsidRDefault="00C27B43"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Pr>
          <w:rFonts w:ascii="Arial" w:eastAsia="Arial Unicode MS" w:hAnsi="Arial" w:cs="Arial"/>
          <w:noProof/>
          <w:color w:val="2E74B5" w:themeColor="accent1" w:themeShade="BF"/>
          <w:lang w:val="es-MX" w:eastAsia="es-MX"/>
        </w:rPr>
        <w:lastRenderedPageBreak/>
        <w:drawing>
          <wp:inline distT="0" distB="0" distL="0" distR="0">
            <wp:extent cx="5608148" cy="3562066"/>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8748" cy="3568799"/>
                    </a:xfrm>
                    <a:prstGeom prst="rect">
                      <a:avLst/>
                    </a:prstGeom>
                    <a:noFill/>
                    <a:ln>
                      <a:noFill/>
                    </a:ln>
                  </pic:spPr>
                </pic:pic>
              </a:graphicData>
            </a:graphic>
          </wp:inline>
        </w:drawing>
      </w: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Pr>
          <w:rFonts w:ascii="Arial" w:eastAsia="Arial Unicode MS" w:hAnsi="Arial" w:cs="Arial"/>
          <w:noProof/>
          <w:color w:val="2E74B5" w:themeColor="accent1" w:themeShade="BF"/>
          <w:lang w:val="es-MX" w:eastAsia="es-MX"/>
        </w:rPr>
        <w:drawing>
          <wp:inline distT="0" distB="0" distL="0" distR="0">
            <wp:extent cx="5608955" cy="395097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955" cy="3950970"/>
                    </a:xfrm>
                    <a:prstGeom prst="rect">
                      <a:avLst/>
                    </a:prstGeom>
                    <a:noFill/>
                    <a:ln>
                      <a:noFill/>
                    </a:ln>
                  </pic:spPr>
                </pic:pic>
              </a:graphicData>
            </a:graphic>
          </wp:inline>
        </w:drawing>
      </w: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BE56F4" w:rsidRDefault="00BE56F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BE56F4" w:rsidRDefault="00BE56F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Pr>
          <w:rFonts w:ascii="Arial" w:eastAsia="Arial Unicode MS" w:hAnsi="Arial" w:cs="Arial"/>
          <w:noProof/>
          <w:color w:val="2E74B5" w:themeColor="accent1" w:themeShade="BF"/>
          <w:lang w:val="es-MX" w:eastAsia="es-MX"/>
        </w:rPr>
        <w:lastRenderedPageBreak/>
        <w:drawing>
          <wp:inline distT="0" distB="0" distL="0" distR="0">
            <wp:extent cx="5602605" cy="4012565"/>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2605" cy="4012565"/>
                    </a:xfrm>
                    <a:prstGeom prst="rect">
                      <a:avLst/>
                    </a:prstGeom>
                    <a:noFill/>
                    <a:ln>
                      <a:noFill/>
                    </a:ln>
                  </pic:spPr>
                </pic:pic>
              </a:graphicData>
            </a:graphic>
          </wp:inline>
        </w:drawing>
      </w: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Pr>
          <w:rFonts w:ascii="Arial" w:eastAsia="Arial Unicode MS" w:hAnsi="Arial" w:cs="Arial"/>
          <w:noProof/>
          <w:color w:val="2E74B5" w:themeColor="accent1" w:themeShade="BF"/>
          <w:lang w:val="es-MX" w:eastAsia="es-MX"/>
        </w:rPr>
        <w:drawing>
          <wp:inline distT="0" distB="0" distL="0" distR="0">
            <wp:extent cx="5602605" cy="41217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2605" cy="4121785"/>
                    </a:xfrm>
                    <a:prstGeom prst="rect">
                      <a:avLst/>
                    </a:prstGeom>
                    <a:noFill/>
                    <a:ln>
                      <a:noFill/>
                    </a:ln>
                  </pic:spPr>
                </pic:pic>
              </a:graphicData>
            </a:graphic>
          </wp:inline>
        </w:drawing>
      </w:r>
    </w:p>
    <w:p w:rsidR="00FC5004" w:rsidRPr="005D6EDC"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9204C" w:rsidRPr="005D6EDC" w:rsidRDefault="0069204C" w:rsidP="00087B46">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Pr>
          <w:rFonts w:ascii="Arial" w:eastAsia="Arial Unicode MS" w:hAnsi="Arial" w:cs="Arial"/>
          <w:b/>
          <w:color w:val="2E74B5" w:themeColor="accent1" w:themeShade="BF"/>
        </w:rPr>
        <w:t>5</w:t>
      </w:r>
      <w:r w:rsidRPr="005D6EDC">
        <w:rPr>
          <w:rFonts w:ascii="Arial" w:eastAsia="Arial Unicode MS" w:hAnsi="Arial" w:cs="Arial"/>
          <w:b/>
          <w:color w:val="2E74B5" w:themeColor="accent1" w:themeShade="BF"/>
        </w:rPr>
        <w:t>.4. Modificación del acto reclamado para que el recurso quede sin materia.</w:t>
      </w:r>
    </w:p>
    <w:p w:rsidR="0069204C" w:rsidRPr="005D6EDC" w:rsidRDefault="0069204C" w:rsidP="00087B46">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5D6EDC">
        <w:rPr>
          <w:rFonts w:ascii="Arial" w:eastAsia="Arial Unicode MS" w:hAnsi="Arial" w:cs="Arial"/>
          <w:color w:val="2E74B5" w:themeColor="accent1" w:themeShade="BF"/>
        </w:rPr>
        <w:lastRenderedPageBreak/>
        <w:tab/>
        <w:t>Como se ha dicho, para que proceda el sobreseimiento es necesario que el sujeto obligado modifique el acto que se le reclama para el efecto de que el recurso quede sin materia.</w:t>
      </w: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5D6EDC">
        <w:rPr>
          <w:rFonts w:ascii="Arial" w:eastAsia="Arial Unicode MS" w:hAnsi="Arial" w:cs="Arial"/>
          <w:color w:val="2E74B5" w:themeColor="accent1" w:themeShade="BF"/>
        </w:rPr>
        <w:tab/>
        <w:t xml:space="preserve">En el caso, si la materia del presente recurso es la omisión de dar respuesta a la solicitud de acceso a la información pública, </w:t>
      </w:r>
      <w:r w:rsidRPr="005D6EDC">
        <w:rPr>
          <w:rFonts w:ascii="Arial" w:eastAsia="Arial Unicode MS" w:hAnsi="Arial" w:cs="Arial"/>
          <w:b/>
          <w:color w:val="2E74B5" w:themeColor="accent1" w:themeShade="BF"/>
        </w:rPr>
        <w:t>dicha omisión ha sido subsanada por la autoridad</w:t>
      </w:r>
      <w:r w:rsidRPr="005D6EDC">
        <w:rPr>
          <w:rFonts w:ascii="Arial" w:eastAsia="Arial Unicode MS" w:hAnsi="Arial" w:cs="Arial"/>
          <w:color w:val="2E74B5" w:themeColor="accent1" w:themeShade="BF"/>
        </w:rPr>
        <w:t>, ya que ésta ha dado respuesta a la solicitud de acceso a la información pública.</w:t>
      </w:r>
    </w:p>
    <w:p w:rsidR="00FC5004" w:rsidRDefault="00FC5004"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5D6EDC">
        <w:rPr>
          <w:rFonts w:ascii="Arial" w:eastAsia="Arial Unicode MS" w:hAnsi="Arial" w:cs="Arial"/>
          <w:color w:val="2E74B5" w:themeColor="accent1" w:themeShade="BF"/>
        </w:rPr>
        <w:tab/>
        <w:t xml:space="preserve">Como se ve, hay una respuesta entendida desde el punto de vista de una contestación a la solicitud y, además, dicha respuesta es congruente, es decir, es acorde con lo solicitado al sujeto obligado, pues de la simple confronta entre la solicitud de acceso a la información pública y la respuesta, la misma contiene lo que el ahora recurrente le solicitó a la autoridad. </w:t>
      </w: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9204C" w:rsidRPr="005D6EDC" w:rsidRDefault="0069204C" w:rsidP="00087B46">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5D6EDC">
        <w:rPr>
          <w:rFonts w:ascii="Arial" w:eastAsia="Arial Unicode MS" w:hAnsi="Arial" w:cs="Arial"/>
          <w:color w:val="2E74B5" w:themeColor="accent1" w:themeShade="BF"/>
        </w:rPr>
        <w:tab/>
        <w:t>Esto es que, si el ahora recurrente pidió en su solicitud de acceso a la información pública al sujeto obligado</w:t>
      </w:r>
      <w:r>
        <w:rPr>
          <w:rFonts w:ascii="Arial" w:eastAsia="Arial Unicode MS" w:hAnsi="Arial" w:cs="Arial"/>
          <w:color w:val="2E74B5" w:themeColor="accent1" w:themeShade="BF"/>
        </w:rPr>
        <w:t xml:space="preserve"> “…</w:t>
      </w:r>
      <w:r w:rsidR="00FC5004" w:rsidRPr="00435085">
        <w:rPr>
          <w:rFonts w:ascii="Arial" w:hAnsi="Arial" w:cs="Arial"/>
          <w:i/>
          <w:color w:val="2E74B5" w:themeColor="accent1" w:themeShade="BF"/>
          <w:sz w:val="20"/>
          <w:szCs w:val="20"/>
          <w:lang w:eastAsia="es-MX"/>
        </w:rPr>
        <w:t>Requiero ( COPIA ELECTRÓNICA) de toda la documentación y comprobación relacionada con la persona FERNANDO HERRERA PÉREZ ligada al egreso ( cheque 62212 donde se incluya solicitud de apoyo, carta de apoyo recibido, credencia del IFE, Solicitud realizada ante la JUCOPO, Factura correspondiente, copia de la póliza del cheque y detalle claramente el nombre de la persona que firmó de recibido el cheque respectivo</w:t>
      </w:r>
      <w:r>
        <w:rPr>
          <w:rFonts w:ascii="Arial" w:eastAsia="Arial Unicode MS" w:hAnsi="Arial" w:cs="Arial"/>
          <w:color w:val="2E74B5" w:themeColor="accent1" w:themeShade="BF"/>
        </w:rPr>
        <w:t>…</w:t>
      </w:r>
      <w:r w:rsidR="00FC5004">
        <w:rPr>
          <w:rFonts w:ascii="Arial" w:eastAsia="Arial Unicode MS" w:hAnsi="Arial" w:cs="Arial"/>
          <w:color w:val="2E74B5" w:themeColor="accent1" w:themeShade="BF"/>
        </w:rPr>
        <w:t>”</w:t>
      </w:r>
      <w:r w:rsidR="00FC5004" w:rsidRPr="005D6EDC">
        <w:rPr>
          <w:rFonts w:ascii="Arial" w:hAnsi="Arial" w:cs="Arial"/>
          <w:color w:val="2E74B5" w:themeColor="accent1" w:themeShade="BF"/>
          <w:lang w:val="es-MX"/>
        </w:rPr>
        <w:t>, en</w:t>
      </w:r>
      <w:r w:rsidRPr="005D6EDC">
        <w:rPr>
          <w:rFonts w:ascii="Arial" w:hAnsi="Arial" w:cs="Arial"/>
          <w:color w:val="2E74B5" w:themeColor="accent1" w:themeShade="BF"/>
          <w:lang w:val="es-MX"/>
        </w:rPr>
        <w:t xml:space="preserve"> la especie está cumplida la parte de la solicitud de acceso a la información ya que como ha quedado </w:t>
      </w:r>
      <w:r w:rsidR="00FC5004" w:rsidRPr="005D6EDC">
        <w:rPr>
          <w:rFonts w:ascii="Arial" w:hAnsi="Arial" w:cs="Arial"/>
          <w:color w:val="2E74B5" w:themeColor="accent1" w:themeShade="BF"/>
          <w:lang w:val="es-MX"/>
        </w:rPr>
        <w:t>visto, se</w:t>
      </w:r>
      <w:r w:rsidRPr="005D6EDC">
        <w:rPr>
          <w:rFonts w:ascii="Arial" w:hAnsi="Arial" w:cs="Arial"/>
          <w:color w:val="2E74B5" w:themeColor="accent1" w:themeShade="BF"/>
          <w:lang w:val="es-MX"/>
        </w:rPr>
        <w:t xml:space="preserve"> </w:t>
      </w:r>
      <w:r w:rsidR="00FC5004" w:rsidRPr="005D6EDC">
        <w:rPr>
          <w:rFonts w:ascii="Arial" w:hAnsi="Arial" w:cs="Arial"/>
          <w:color w:val="2E74B5" w:themeColor="accent1" w:themeShade="BF"/>
          <w:lang w:val="es-MX"/>
        </w:rPr>
        <w:t xml:space="preserve">le </w:t>
      </w:r>
      <w:r w:rsidR="00FC5004">
        <w:rPr>
          <w:rFonts w:ascii="Arial" w:hAnsi="Arial" w:cs="Arial"/>
          <w:color w:val="2E74B5" w:themeColor="accent1" w:themeShade="BF"/>
          <w:lang w:val="es-MX"/>
        </w:rPr>
        <w:t>permitió</w:t>
      </w:r>
      <w:r>
        <w:rPr>
          <w:rFonts w:ascii="Arial" w:hAnsi="Arial" w:cs="Arial"/>
          <w:color w:val="2E74B5" w:themeColor="accent1" w:themeShade="BF"/>
          <w:lang w:val="es-MX"/>
        </w:rPr>
        <w:t xml:space="preserve"> el acceso a dicha información</w:t>
      </w:r>
      <w:r w:rsidRPr="005D6EDC">
        <w:rPr>
          <w:rFonts w:ascii="Arial" w:hAnsi="Arial" w:cs="Arial"/>
          <w:color w:val="2E74B5" w:themeColor="accent1" w:themeShade="BF"/>
          <w:lang w:val="es-MX"/>
        </w:rPr>
        <w:t>.</w:t>
      </w:r>
    </w:p>
    <w:p w:rsidR="0069204C" w:rsidRPr="005D6EDC" w:rsidRDefault="0069204C" w:rsidP="00087B46">
      <w:pPr>
        <w:spacing w:after="0" w:line="276" w:lineRule="auto"/>
        <w:ind w:left="709"/>
        <w:jc w:val="both"/>
        <w:rPr>
          <w:rFonts w:ascii="Arial" w:hAnsi="Arial" w:cs="Arial"/>
          <w:color w:val="2E74B5" w:themeColor="accent1" w:themeShade="BF"/>
          <w:sz w:val="24"/>
          <w:szCs w:val="24"/>
        </w:rPr>
      </w:pPr>
    </w:p>
    <w:p w:rsidR="0069204C" w:rsidRPr="005D6EDC" w:rsidRDefault="0069204C" w:rsidP="00087B46">
      <w:pPr>
        <w:pStyle w:val="xmsonormal"/>
        <w:shd w:val="clear" w:color="auto" w:fill="FFFFFF"/>
        <w:spacing w:before="0" w:beforeAutospacing="0" w:after="0" w:afterAutospacing="0" w:line="276" w:lineRule="auto"/>
        <w:ind w:firstLine="708"/>
        <w:jc w:val="both"/>
        <w:rPr>
          <w:rFonts w:ascii="Arial" w:eastAsia="Arial Unicode MS" w:hAnsi="Arial" w:cs="Arial"/>
          <w:color w:val="2E74B5" w:themeColor="accent1" w:themeShade="BF"/>
        </w:rPr>
      </w:pPr>
      <w:r w:rsidRPr="005D6EDC">
        <w:rPr>
          <w:rFonts w:ascii="Arial" w:eastAsia="Arial Unicode MS" w:hAnsi="Arial" w:cs="Arial"/>
          <w:color w:val="2E74B5" w:themeColor="accent1" w:themeShade="BF"/>
        </w:rPr>
        <w:t xml:space="preserve">Es por ello que si la controversia en este asunto era la omisión de dar respuesta a la solicitud de acceso a la información pública es evidente que, la misma ha sido subsanada por el sujeto obligado, </w:t>
      </w:r>
      <w:r w:rsidR="00380357">
        <w:rPr>
          <w:rFonts w:ascii="Arial" w:eastAsia="Arial Unicode MS" w:hAnsi="Arial" w:cs="Arial"/>
          <w:color w:val="2E74B5" w:themeColor="accent1" w:themeShade="BF"/>
        </w:rPr>
        <w:t>a</w:t>
      </w:r>
      <w:r w:rsidR="00380357" w:rsidRPr="005D6EDC">
        <w:rPr>
          <w:rFonts w:ascii="Arial" w:hAnsi="Arial" w:cs="Arial"/>
          <w:color w:val="2E74B5" w:themeColor="accent1" w:themeShade="BF"/>
        </w:rPr>
        <w:t xml:space="preserve">simismo, </w:t>
      </w:r>
      <w:r w:rsidR="00380357">
        <w:rPr>
          <w:rFonts w:ascii="Arial" w:hAnsi="Arial" w:cs="Arial"/>
          <w:color w:val="2E74B5" w:themeColor="accent1" w:themeShade="BF"/>
        </w:rPr>
        <w:t xml:space="preserve">no pasa desapercibido para esta Comisión que dentro de su inconformidad de manera expresa señaló </w:t>
      </w:r>
      <w:r w:rsidR="00380357" w:rsidRPr="00380357">
        <w:rPr>
          <w:rFonts w:ascii="Arial" w:hAnsi="Arial" w:cs="Arial"/>
          <w:i/>
          <w:color w:val="2E74B5" w:themeColor="accent1" w:themeShade="BF"/>
        </w:rPr>
        <w:t>“…se vence el PLAZO LEGAL que claramente marca la Ley Estatal de Transparencia para que en ese lapso se reúna la Comité de Transparencia y entreguen en tiempo y forma las versiones públicas…”</w:t>
      </w:r>
      <w:r w:rsidR="00380357">
        <w:rPr>
          <w:rFonts w:ascii="Arial" w:hAnsi="Arial" w:cs="Arial"/>
          <w:color w:val="2E74B5" w:themeColor="accent1" w:themeShade="BF"/>
        </w:rPr>
        <w:t>,</w:t>
      </w:r>
      <w:r w:rsidR="00380357" w:rsidRPr="005D6EDC">
        <w:rPr>
          <w:rFonts w:ascii="Arial" w:hAnsi="Arial" w:cs="Arial"/>
          <w:color w:val="2E74B5" w:themeColor="accent1" w:themeShade="BF"/>
        </w:rPr>
        <w:t xml:space="preserve"> </w:t>
      </w:r>
      <w:r w:rsidR="00380357">
        <w:rPr>
          <w:rFonts w:ascii="Arial" w:hAnsi="Arial" w:cs="Arial"/>
          <w:color w:val="2E74B5" w:themeColor="accent1" w:themeShade="BF"/>
        </w:rPr>
        <w:t xml:space="preserve">sin embargo, </w:t>
      </w:r>
      <w:r w:rsidRPr="005D6EDC">
        <w:rPr>
          <w:rFonts w:ascii="Arial" w:eastAsia="Arial Unicode MS" w:hAnsi="Arial" w:cs="Arial"/>
          <w:color w:val="2E74B5" w:themeColor="accent1" w:themeShade="BF"/>
        </w:rPr>
        <w:t>pues por más que la respuesta haya sido extemporánea, dicho acceso a la información ha sido cumplido, ya que precisamente el legislador previó la figura del sobreseimiento para ese fin, es decir, para no llevar un trámite innecesario si, en el caso la autoridad subsanó su omisión mediante la entrega de la información.</w:t>
      </w: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5D6EDC">
        <w:rPr>
          <w:rFonts w:ascii="Arial" w:eastAsia="Arial Unicode MS" w:hAnsi="Arial" w:cs="Arial"/>
          <w:color w:val="2E74B5" w:themeColor="accent1" w:themeShade="BF"/>
        </w:rPr>
        <w:tab/>
      </w:r>
      <w:r>
        <w:rPr>
          <w:rFonts w:ascii="Arial" w:eastAsia="Arial Unicode MS" w:hAnsi="Arial" w:cs="Arial"/>
          <w:b/>
          <w:color w:val="2E74B5" w:themeColor="accent1" w:themeShade="BF"/>
        </w:rPr>
        <w:t>5</w:t>
      </w:r>
      <w:r w:rsidRPr="005D6EDC">
        <w:rPr>
          <w:rFonts w:ascii="Arial" w:eastAsia="Arial Unicode MS" w:hAnsi="Arial" w:cs="Arial"/>
          <w:b/>
          <w:color w:val="2E74B5" w:themeColor="accent1" w:themeShade="BF"/>
        </w:rPr>
        <w:t>.</w:t>
      </w:r>
      <w:r w:rsidR="00592B47">
        <w:rPr>
          <w:rFonts w:ascii="Arial" w:eastAsia="Arial Unicode MS" w:hAnsi="Arial" w:cs="Arial"/>
          <w:b/>
          <w:color w:val="2E74B5" w:themeColor="accent1" w:themeShade="BF"/>
        </w:rPr>
        <w:t>5</w:t>
      </w:r>
      <w:r w:rsidRPr="005D6EDC">
        <w:rPr>
          <w:rFonts w:ascii="Arial" w:eastAsia="Arial Unicode MS" w:hAnsi="Arial" w:cs="Arial"/>
          <w:b/>
          <w:color w:val="2E74B5" w:themeColor="accent1" w:themeShade="BF"/>
        </w:rPr>
        <w:t>. Conclusión sobre el sobreseimiento</w:t>
      </w:r>
      <w:r w:rsidRPr="005D6EDC">
        <w:rPr>
          <w:rFonts w:ascii="Arial" w:eastAsia="Arial Unicode MS" w:hAnsi="Arial" w:cs="Arial"/>
          <w:color w:val="2E74B5" w:themeColor="accent1" w:themeShade="BF"/>
        </w:rPr>
        <w:t>.</w:t>
      </w:r>
    </w:p>
    <w:p w:rsidR="0069204C" w:rsidRPr="005D6EDC" w:rsidRDefault="0069204C" w:rsidP="00087B46">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9204C" w:rsidRPr="005D6EDC" w:rsidRDefault="0069204C" w:rsidP="00087B46">
      <w:pPr>
        <w:spacing w:after="0" w:line="276" w:lineRule="auto"/>
        <w:ind w:firstLine="708"/>
        <w:jc w:val="both"/>
        <w:rPr>
          <w:rFonts w:ascii="Arial" w:eastAsia="Arial Unicode MS" w:hAnsi="Arial" w:cs="Arial"/>
          <w:color w:val="2E74B5" w:themeColor="accent1" w:themeShade="BF"/>
          <w:sz w:val="24"/>
          <w:szCs w:val="24"/>
          <w:lang w:eastAsia="es-MX"/>
        </w:rPr>
      </w:pPr>
      <w:r w:rsidRPr="005D6EDC">
        <w:rPr>
          <w:rFonts w:ascii="Arial" w:eastAsia="Arial Unicode MS" w:hAnsi="Arial" w:cs="Arial"/>
          <w:color w:val="2E74B5" w:themeColor="accent1" w:themeShade="BF"/>
          <w:sz w:val="24"/>
          <w:szCs w:val="24"/>
        </w:rPr>
        <w:t xml:space="preserve">Así pues, como quedó visto, el sujeto obligado no sólo justificó haber notificado la respuesta a la solicitante, sino además la misma contiene la respuesta sobre la información que le fue solicitada, </w:t>
      </w:r>
      <w:r w:rsidRPr="005D6EDC">
        <w:rPr>
          <w:rFonts w:ascii="Arial" w:eastAsia="Arial Unicode MS" w:hAnsi="Arial" w:cs="Arial"/>
          <w:color w:val="2E74B5" w:themeColor="accent1" w:themeShade="BF"/>
          <w:sz w:val="24"/>
          <w:szCs w:val="24"/>
          <w:lang w:eastAsia="es-MX"/>
        </w:rPr>
        <w:t>de tal manera que en el presente recurso se actualiza el sobreseimiento, pues para ello era necesario que el recurrente se allegara de todos aquéllos elementos necesarios para obtener la respuesta sobre la información que solicitó, lo que en la especie ya aconteció.</w:t>
      </w:r>
    </w:p>
    <w:p w:rsidR="000B2ACD" w:rsidRDefault="000B2ACD" w:rsidP="00087B46">
      <w:pPr>
        <w:pStyle w:val="corte4fondo"/>
        <w:spacing w:line="276" w:lineRule="auto"/>
        <w:ind w:firstLine="0"/>
        <w:rPr>
          <w:rFonts w:eastAsia="Arial Unicode MS" w:cs="Arial"/>
          <w:b/>
          <w:color w:val="2E74B5" w:themeColor="accent1" w:themeShade="BF"/>
          <w:sz w:val="24"/>
          <w:szCs w:val="24"/>
        </w:rPr>
      </w:pPr>
    </w:p>
    <w:p w:rsidR="000B2ACD" w:rsidRPr="00754EC4" w:rsidRDefault="00204151" w:rsidP="00087B46">
      <w:pPr>
        <w:pStyle w:val="corte4fondo"/>
        <w:spacing w:line="276" w:lineRule="auto"/>
        <w:ind w:firstLine="708"/>
        <w:rPr>
          <w:rFonts w:eastAsia="Arial Unicode MS" w:cs="Arial"/>
          <w:b/>
          <w:color w:val="2E74B5" w:themeColor="accent1" w:themeShade="BF"/>
          <w:sz w:val="24"/>
          <w:szCs w:val="24"/>
        </w:rPr>
      </w:pPr>
      <w:r>
        <w:rPr>
          <w:rFonts w:eastAsia="Arial Unicode MS" w:cs="Arial"/>
          <w:b/>
          <w:color w:val="2E74B5" w:themeColor="accent1" w:themeShade="BF"/>
          <w:sz w:val="24"/>
          <w:szCs w:val="24"/>
        </w:rPr>
        <w:t>5</w:t>
      </w:r>
      <w:r w:rsidR="000B2ACD" w:rsidRPr="00754EC4">
        <w:rPr>
          <w:rFonts w:eastAsia="Arial Unicode MS" w:cs="Arial"/>
          <w:b/>
          <w:color w:val="2E74B5" w:themeColor="accent1" w:themeShade="BF"/>
          <w:sz w:val="24"/>
          <w:szCs w:val="24"/>
        </w:rPr>
        <w:t>.</w:t>
      </w:r>
      <w:r w:rsidR="00592B47">
        <w:rPr>
          <w:rFonts w:eastAsia="Arial Unicode MS" w:cs="Arial"/>
          <w:b/>
          <w:color w:val="2E74B5" w:themeColor="accent1" w:themeShade="BF"/>
          <w:sz w:val="24"/>
          <w:szCs w:val="24"/>
        </w:rPr>
        <w:t>6</w:t>
      </w:r>
      <w:r w:rsidR="000B2ACD" w:rsidRPr="00754EC4">
        <w:rPr>
          <w:rFonts w:eastAsia="Arial Unicode MS" w:cs="Arial"/>
          <w:b/>
          <w:color w:val="2E74B5" w:themeColor="accent1" w:themeShade="BF"/>
          <w:sz w:val="24"/>
          <w:szCs w:val="24"/>
        </w:rPr>
        <w:t>. Recomendación.</w:t>
      </w:r>
    </w:p>
    <w:p w:rsidR="000B2ACD" w:rsidRPr="00754EC4" w:rsidRDefault="000B2ACD" w:rsidP="00087B46">
      <w:pPr>
        <w:pStyle w:val="corte4fondo"/>
        <w:spacing w:line="276" w:lineRule="auto"/>
        <w:ind w:firstLine="0"/>
        <w:rPr>
          <w:rFonts w:eastAsia="Arial Unicode MS" w:cs="Arial"/>
          <w:b/>
          <w:color w:val="2E74B5" w:themeColor="accent1" w:themeShade="BF"/>
          <w:sz w:val="24"/>
          <w:szCs w:val="24"/>
        </w:rPr>
      </w:pPr>
    </w:p>
    <w:p w:rsidR="000B2ACD" w:rsidRPr="00754EC4" w:rsidRDefault="000B2ACD" w:rsidP="00087B46">
      <w:pPr>
        <w:pStyle w:val="Textoindependienteprimerasangra"/>
        <w:spacing w:after="0" w:line="276" w:lineRule="auto"/>
        <w:ind w:firstLine="900"/>
        <w:rPr>
          <w:rFonts w:ascii="Arial" w:hAnsi="Arial" w:cs="Arial"/>
          <w:color w:val="2E74B5" w:themeColor="accent1" w:themeShade="BF"/>
          <w:sz w:val="24"/>
          <w:lang w:val="es-MX"/>
        </w:rPr>
      </w:pPr>
      <w:r w:rsidRPr="00754EC4">
        <w:rPr>
          <w:rFonts w:ascii="Arial" w:hAnsi="Arial" w:cs="Arial"/>
          <w:color w:val="2E74B5" w:themeColor="accent1" w:themeShade="BF"/>
          <w:sz w:val="24"/>
        </w:rPr>
        <w:t xml:space="preserve">No obstante, lo anterior, </w:t>
      </w:r>
      <w:r w:rsidRPr="00754EC4">
        <w:rPr>
          <w:rFonts w:ascii="Arial" w:hAnsi="Arial" w:cs="Arial"/>
          <w:color w:val="2E74B5" w:themeColor="accent1" w:themeShade="BF"/>
          <w:sz w:val="24"/>
          <w:lang w:val="es-MX"/>
        </w:rPr>
        <w:t xml:space="preserve">con fundamento en el artículo </w:t>
      </w:r>
      <w:r w:rsidRPr="00254E57">
        <w:rPr>
          <w:rFonts w:ascii="Arial" w:hAnsi="Arial" w:cs="Arial"/>
          <w:color w:val="2E74B5" w:themeColor="accent1" w:themeShade="BF"/>
          <w:sz w:val="24"/>
          <w:lang w:val="es-MX"/>
        </w:rPr>
        <w:t xml:space="preserve">7º de la Ley de Transparencia y Acceso a la Información Pública del Estado de San Luis Potosí, para la aplicación e interpretación del principio de máxima publicidad, </w:t>
      </w:r>
      <w:r w:rsidRPr="00254E57">
        <w:rPr>
          <w:rFonts w:ascii="Arial" w:hAnsi="Arial" w:cs="Arial"/>
          <w:color w:val="2E74B5" w:themeColor="accent1" w:themeShade="BF"/>
          <w:sz w:val="24"/>
        </w:rPr>
        <w:t xml:space="preserve">este Órgano Garante estima que es menester realizar las </w:t>
      </w:r>
      <w:r w:rsidRPr="00254E57">
        <w:rPr>
          <w:rFonts w:ascii="Arial" w:hAnsi="Arial" w:cs="Arial"/>
          <w:color w:val="2E74B5" w:themeColor="accent1" w:themeShade="BF"/>
          <w:sz w:val="24"/>
          <w:lang w:val="es-MX"/>
        </w:rPr>
        <w:t>consideraciones siguientes</w:t>
      </w:r>
      <w:r w:rsidRPr="00754EC4">
        <w:rPr>
          <w:rFonts w:ascii="Arial" w:hAnsi="Arial" w:cs="Arial"/>
          <w:color w:val="2E74B5" w:themeColor="accent1" w:themeShade="BF"/>
          <w:sz w:val="24"/>
          <w:lang w:val="es-MX"/>
        </w:rPr>
        <w:t>:</w:t>
      </w:r>
    </w:p>
    <w:p w:rsidR="000B2ACD" w:rsidRPr="00754EC4" w:rsidRDefault="000B2ACD" w:rsidP="00087B46">
      <w:pPr>
        <w:pStyle w:val="Textoindependienteprimerasangra"/>
        <w:spacing w:after="0" w:line="276" w:lineRule="auto"/>
        <w:ind w:firstLine="900"/>
        <w:rPr>
          <w:rFonts w:ascii="Arial" w:hAnsi="Arial" w:cs="Arial"/>
          <w:color w:val="2E74B5" w:themeColor="accent1" w:themeShade="BF"/>
          <w:sz w:val="24"/>
          <w:lang w:val="es-MX"/>
        </w:rPr>
      </w:pPr>
    </w:p>
    <w:p w:rsidR="000B2ACD" w:rsidRDefault="000B2ACD" w:rsidP="00087B46">
      <w:pPr>
        <w:pStyle w:val="Textoindependienteprimerasangra"/>
        <w:spacing w:after="0" w:line="276" w:lineRule="auto"/>
        <w:ind w:firstLine="900"/>
        <w:rPr>
          <w:rFonts w:ascii="Arial" w:hAnsi="Arial" w:cs="Arial"/>
          <w:color w:val="2E74B5" w:themeColor="accent1" w:themeShade="BF"/>
          <w:sz w:val="24"/>
        </w:rPr>
      </w:pPr>
      <w:r w:rsidRPr="00754EC4">
        <w:rPr>
          <w:rFonts w:ascii="Arial" w:hAnsi="Arial" w:cs="Arial"/>
          <w:color w:val="2E74B5" w:themeColor="accent1" w:themeShade="BF"/>
          <w:sz w:val="24"/>
        </w:rPr>
        <w:t xml:space="preserve">La Ley de Transparencia Local, prevé dentro de su cuerpo normativo la obligación de que los sujetos obligados, mediante el acuerdo o reglamento respectivo, según sea el caso, establecerán las unidades de transparencia, responsables de </w:t>
      </w:r>
      <w:r w:rsidRPr="00754EC4">
        <w:rPr>
          <w:rFonts w:ascii="Arial" w:hAnsi="Arial" w:cs="Arial"/>
          <w:b/>
          <w:color w:val="2E74B5" w:themeColor="accent1" w:themeShade="BF"/>
          <w:sz w:val="24"/>
        </w:rPr>
        <w:t>atender y gestionar las solicitudes de acceso a la información</w:t>
      </w:r>
      <w:r w:rsidRPr="00754EC4">
        <w:rPr>
          <w:rFonts w:ascii="Arial" w:hAnsi="Arial" w:cs="Arial"/>
          <w:color w:val="2E74B5" w:themeColor="accent1" w:themeShade="BF"/>
          <w:sz w:val="24"/>
        </w:rPr>
        <w:t>, así como todas las solicitudes que se realicen en ejercicio de la acción de protección de datos personales.</w:t>
      </w:r>
      <w:r w:rsidRPr="00754EC4">
        <w:rPr>
          <w:rStyle w:val="Refdenotaalpie"/>
          <w:rFonts w:ascii="Arial" w:eastAsia="Arial Unicode MS" w:hAnsi="Arial" w:cs="Arial"/>
          <w:color w:val="2E74B5" w:themeColor="accent1" w:themeShade="BF"/>
          <w:sz w:val="24"/>
        </w:rPr>
        <w:footnoteReference w:id="4"/>
      </w:r>
    </w:p>
    <w:p w:rsidR="00FA37DE" w:rsidRPr="00754EC4" w:rsidRDefault="00FA37DE" w:rsidP="00087B46">
      <w:pPr>
        <w:pStyle w:val="Textoindependienteprimerasangra"/>
        <w:spacing w:after="0" w:line="276" w:lineRule="auto"/>
        <w:ind w:firstLine="900"/>
        <w:rPr>
          <w:rFonts w:ascii="Arial" w:hAnsi="Arial" w:cs="Arial"/>
          <w:color w:val="2E74B5" w:themeColor="accent1" w:themeShade="BF"/>
          <w:sz w:val="24"/>
        </w:rPr>
      </w:pPr>
    </w:p>
    <w:p w:rsidR="000B2ACD" w:rsidRPr="00754EC4" w:rsidRDefault="000B2ACD" w:rsidP="00087B46">
      <w:pPr>
        <w:pStyle w:val="Textoindependienteprimerasangra"/>
        <w:spacing w:after="0" w:line="276" w:lineRule="auto"/>
        <w:ind w:firstLine="900"/>
        <w:rPr>
          <w:rFonts w:ascii="Arial" w:hAnsi="Arial" w:cs="Arial"/>
          <w:color w:val="2E74B5" w:themeColor="accent1" w:themeShade="BF"/>
          <w:sz w:val="24"/>
        </w:rPr>
      </w:pPr>
      <w:r w:rsidRPr="00754EC4">
        <w:rPr>
          <w:rFonts w:ascii="Arial" w:hAnsi="Arial" w:cs="Arial"/>
          <w:color w:val="2E74B5" w:themeColor="accent1" w:themeShade="BF"/>
          <w:sz w:val="24"/>
        </w:rPr>
        <w:t xml:space="preserve">Asimismo, a la Unidad de Transparencia del Sujeto Obligado, el cuerpo de Leyes referido otorga un conjunto de facultades, competencias y funciones -en lo que aquí interesa-, se encuentran: </w:t>
      </w:r>
    </w:p>
    <w:p w:rsidR="000B2ACD" w:rsidRPr="00754EC4" w:rsidRDefault="000B2ACD" w:rsidP="00087B46">
      <w:pPr>
        <w:pStyle w:val="Textoindependienteprimerasangra"/>
        <w:spacing w:after="0" w:line="276" w:lineRule="auto"/>
        <w:ind w:firstLine="900"/>
        <w:rPr>
          <w:rFonts w:ascii="Arial" w:hAnsi="Arial" w:cs="Arial"/>
          <w:color w:val="2E74B5" w:themeColor="accent1" w:themeShade="BF"/>
          <w:sz w:val="24"/>
        </w:rPr>
      </w:pPr>
    </w:p>
    <w:p w:rsidR="000B2ACD" w:rsidRPr="00FA37DE" w:rsidRDefault="000B2ACD" w:rsidP="00087B46">
      <w:pPr>
        <w:pStyle w:val="Textoindependienteprimerasangra"/>
        <w:spacing w:after="0" w:line="276" w:lineRule="auto"/>
        <w:ind w:left="709" w:firstLine="902"/>
        <w:rPr>
          <w:rFonts w:ascii="Arial" w:hAnsi="Arial" w:cs="Arial"/>
          <w:b/>
          <w:i/>
          <w:color w:val="2E74B5" w:themeColor="accent1" w:themeShade="BF"/>
          <w:sz w:val="20"/>
          <w:szCs w:val="20"/>
        </w:rPr>
      </w:pPr>
      <w:r w:rsidRPr="00FA37DE">
        <w:rPr>
          <w:rFonts w:ascii="Arial" w:hAnsi="Arial" w:cs="Arial"/>
          <w:b/>
          <w:i/>
          <w:color w:val="2E74B5" w:themeColor="accent1" w:themeShade="BF"/>
          <w:sz w:val="20"/>
          <w:szCs w:val="20"/>
        </w:rPr>
        <w:t xml:space="preserve">ARTÍCULO 54. Los sujetos obligados designarán al responsable de la Unidad de Transparencia que tendrá las siguientes funciones: </w:t>
      </w:r>
    </w:p>
    <w:p w:rsidR="000B2ACD" w:rsidRPr="00FA37DE" w:rsidRDefault="000B2ACD" w:rsidP="00087B46">
      <w:pPr>
        <w:pStyle w:val="Textoindependienteprimerasangra"/>
        <w:spacing w:after="0" w:line="276" w:lineRule="auto"/>
        <w:ind w:left="709" w:firstLine="902"/>
        <w:rPr>
          <w:rFonts w:ascii="Arial" w:hAnsi="Arial" w:cs="Arial"/>
          <w:b/>
          <w:i/>
          <w:color w:val="2E74B5" w:themeColor="accent1" w:themeShade="BF"/>
          <w:sz w:val="20"/>
          <w:szCs w:val="20"/>
        </w:rPr>
      </w:pPr>
    </w:p>
    <w:p w:rsidR="000B2ACD" w:rsidRPr="00FA37DE" w:rsidRDefault="000B2ACD" w:rsidP="00087B46">
      <w:pPr>
        <w:pStyle w:val="Textoindependienteprimerasangra"/>
        <w:spacing w:after="0" w:line="276" w:lineRule="auto"/>
        <w:ind w:left="709" w:firstLine="902"/>
        <w:rPr>
          <w:rFonts w:ascii="Arial" w:hAnsi="Arial" w:cs="Arial"/>
          <w:i/>
          <w:color w:val="2E74B5" w:themeColor="accent1" w:themeShade="BF"/>
          <w:sz w:val="20"/>
          <w:szCs w:val="20"/>
        </w:rPr>
      </w:pPr>
      <w:r w:rsidRPr="00FA37DE">
        <w:rPr>
          <w:rFonts w:ascii="Arial" w:hAnsi="Arial" w:cs="Arial"/>
          <w:i/>
          <w:color w:val="2E74B5" w:themeColor="accent1" w:themeShade="BF"/>
          <w:sz w:val="20"/>
          <w:szCs w:val="20"/>
        </w:rPr>
        <w:t>II. Recibir y dar trámite a las solicitudes de acceso a la información;</w:t>
      </w:r>
    </w:p>
    <w:p w:rsidR="000B2ACD" w:rsidRPr="00FA37DE" w:rsidRDefault="000B2ACD" w:rsidP="00087B46">
      <w:pPr>
        <w:pStyle w:val="Textoindependienteprimerasangra"/>
        <w:spacing w:after="0" w:line="276" w:lineRule="auto"/>
        <w:ind w:left="709" w:firstLine="902"/>
        <w:rPr>
          <w:rFonts w:ascii="Arial" w:hAnsi="Arial" w:cs="Arial"/>
          <w:i/>
          <w:color w:val="2E74B5" w:themeColor="accent1" w:themeShade="BF"/>
          <w:sz w:val="20"/>
          <w:szCs w:val="20"/>
        </w:rPr>
      </w:pPr>
      <w:r w:rsidRPr="00FA37DE">
        <w:rPr>
          <w:rFonts w:ascii="Arial" w:hAnsi="Arial" w:cs="Arial"/>
          <w:i/>
          <w:color w:val="2E74B5" w:themeColor="accent1" w:themeShade="BF"/>
          <w:sz w:val="20"/>
          <w:szCs w:val="20"/>
        </w:rPr>
        <w:t>IV. Realizar los trámites internos necesarios para la atención de las solicitudes de acceso a la información;</w:t>
      </w:r>
    </w:p>
    <w:p w:rsidR="000B2ACD" w:rsidRPr="00FA37DE" w:rsidRDefault="000B2ACD" w:rsidP="00087B46">
      <w:pPr>
        <w:pStyle w:val="Textoindependienteprimerasangra"/>
        <w:spacing w:after="0" w:line="276" w:lineRule="auto"/>
        <w:ind w:left="709" w:firstLine="902"/>
        <w:rPr>
          <w:rFonts w:ascii="Arial" w:hAnsi="Arial" w:cs="Arial"/>
          <w:i/>
          <w:color w:val="2E74B5" w:themeColor="accent1" w:themeShade="BF"/>
          <w:sz w:val="20"/>
          <w:szCs w:val="20"/>
        </w:rPr>
      </w:pPr>
      <w:r w:rsidRPr="00FA37DE">
        <w:rPr>
          <w:rFonts w:ascii="Arial" w:hAnsi="Arial" w:cs="Arial"/>
          <w:i/>
          <w:color w:val="2E74B5" w:themeColor="accent1" w:themeShade="BF"/>
          <w:sz w:val="20"/>
          <w:szCs w:val="20"/>
        </w:rPr>
        <w:t xml:space="preserve">V. Efectuar las notificaciones a los solicitantes; </w:t>
      </w:r>
    </w:p>
    <w:p w:rsidR="000B2ACD" w:rsidRPr="00FA37DE" w:rsidRDefault="000B2ACD" w:rsidP="00087B46">
      <w:pPr>
        <w:pStyle w:val="Textoindependienteprimerasangra"/>
        <w:spacing w:after="0" w:line="276" w:lineRule="auto"/>
        <w:ind w:left="709" w:firstLine="902"/>
        <w:rPr>
          <w:rFonts w:ascii="Arial" w:hAnsi="Arial" w:cs="Arial"/>
          <w:i/>
          <w:color w:val="2E74B5" w:themeColor="accent1" w:themeShade="BF"/>
          <w:sz w:val="20"/>
          <w:szCs w:val="20"/>
        </w:rPr>
      </w:pPr>
      <w:r w:rsidRPr="00FA37DE">
        <w:rPr>
          <w:rFonts w:ascii="Arial" w:hAnsi="Arial" w:cs="Arial"/>
          <w:i/>
          <w:color w:val="2E74B5" w:themeColor="accent1" w:themeShade="BF"/>
          <w:sz w:val="20"/>
          <w:szCs w:val="20"/>
        </w:rPr>
        <w:t xml:space="preserve">VI. Sugerir al Comité de Transparencia los procedimientos internos que aseguren la mayor eficiencia en la gestión de las solicitudes de acceso a la información, conforme a la normatividad aplicable; </w:t>
      </w:r>
    </w:p>
    <w:p w:rsidR="000B2ACD" w:rsidRPr="00FA37DE" w:rsidRDefault="000B2ACD" w:rsidP="00087B46">
      <w:pPr>
        <w:pStyle w:val="Textoindependienteprimerasangra"/>
        <w:spacing w:after="0" w:line="276" w:lineRule="auto"/>
        <w:ind w:left="709" w:firstLine="902"/>
        <w:rPr>
          <w:rFonts w:ascii="Arial" w:hAnsi="Arial" w:cs="Arial"/>
          <w:i/>
          <w:color w:val="2E74B5" w:themeColor="accent1" w:themeShade="BF"/>
          <w:sz w:val="20"/>
          <w:szCs w:val="20"/>
        </w:rPr>
      </w:pPr>
      <w:r w:rsidRPr="00FA37DE">
        <w:rPr>
          <w:rFonts w:ascii="Arial" w:hAnsi="Arial" w:cs="Arial"/>
          <w:i/>
          <w:color w:val="2E74B5" w:themeColor="accent1" w:themeShade="BF"/>
          <w:sz w:val="20"/>
          <w:szCs w:val="20"/>
        </w:rPr>
        <w:t xml:space="preserve">VII. Proponer personal habilitado que sea necesario para recibir y dar trámite a las solicitudes de acceso a la información; </w:t>
      </w:r>
    </w:p>
    <w:p w:rsidR="000B2ACD" w:rsidRPr="00754EC4" w:rsidRDefault="000B2ACD" w:rsidP="00087B46">
      <w:pPr>
        <w:pStyle w:val="Textoindependienteprimerasangra"/>
        <w:spacing w:after="0" w:line="276" w:lineRule="auto"/>
        <w:ind w:left="709" w:firstLine="902"/>
        <w:rPr>
          <w:rFonts w:ascii="Arial" w:hAnsi="Arial" w:cs="Arial"/>
          <w:i/>
          <w:color w:val="2E74B5" w:themeColor="accent1" w:themeShade="BF"/>
          <w:sz w:val="20"/>
          <w:szCs w:val="20"/>
        </w:rPr>
      </w:pPr>
    </w:p>
    <w:p w:rsidR="000B2ACD" w:rsidRPr="00754EC4" w:rsidRDefault="000B2ACD" w:rsidP="00087B46">
      <w:pPr>
        <w:spacing w:after="0" w:line="276" w:lineRule="auto"/>
        <w:ind w:firstLine="708"/>
        <w:jc w:val="both"/>
        <w:rPr>
          <w:rFonts w:ascii="Arial" w:hAnsi="Arial" w:cs="Arial"/>
          <w:color w:val="2E74B5" w:themeColor="accent1" w:themeShade="BF"/>
          <w:sz w:val="24"/>
          <w:szCs w:val="24"/>
        </w:rPr>
      </w:pPr>
      <w:r w:rsidRPr="00754EC4">
        <w:rPr>
          <w:rFonts w:ascii="Arial" w:hAnsi="Arial" w:cs="Arial"/>
          <w:color w:val="2E74B5" w:themeColor="accent1" w:themeShade="BF"/>
          <w:sz w:val="24"/>
          <w:szCs w:val="24"/>
        </w:rPr>
        <w:t>En el caso concreto, de la normatividad transcrita, se prevé que los sujetos obligados deben efectuar las gestiones internas necesarias ante las áreas que por su configuración normativa, reglamentaria o administrativa estén en condiciones poseer la información para que éstas realicen la búsqueda correspondiente y según sea el caso, den certeza de la causa por la cual no poseen la información.</w:t>
      </w:r>
    </w:p>
    <w:p w:rsidR="000B2ACD" w:rsidRPr="00754EC4" w:rsidRDefault="000B2ACD" w:rsidP="00087B46">
      <w:pPr>
        <w:spacing w:after="0" w:line="276" w:lineRule="auto"/>
        <w:ind w:firstLine="708"/>
        <w:jc w:val="both"/>
        <w:rPr>
          <w:rFonts w:ascii="Arial" w:hAnsi="Arial" w:cs="Arial"/>
          <w:color w:val="2E74B5" w:themeColor="accent1" w:themeShade="BF"/>
          <w:sz w:val="24"/>
          <w:szCs w:val="24"/>
        </w:rPr>
      </w:pP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r w:rsidRPr="00754EC4">
        <w:rPr>
          <w:rFonts w:ascii="Arial" w:hAnsi="Arial" w:cs="Arial"/>
          <w:color w:val="2E74B5" w:themeColor="accent1" w:themeShade="BF"/>
          <w:sz w:val="24"/>
        </w:rPr>
        <w:t xml:space="preserve">Por otra parte, conforme al numeral 151 en correlación con los artículos 18, 19 y 153 de la Ley de Transparencia y Acceso a la Información Pública, corresponde a los sujetos obligados adoptar las medidas necesarias para localizar la documentación solicitada por los particulares, puesto que </w:t>
      </w:r>
      <w:r w:rsidRPr="00754EC4">
        <w:rPr>
          <w:rFonts w:ascii="Arial" w:hAnsi="Arial" w:cs="Arial"/>
          <w:color w:val="2E74B5" w:themeColor="accent1" w:themeShade="BF"/>
          <w:sz w:val="24"/>
          <w:lang w:val="es-MX"/>
        </w:rPr>
        <w:t>si la información que le fue solicitada deriva del ejercicio de sus facultades, competencias o funciones, se presume que la misma debe de existir o, en su caso, demostrar que la información no se refiere a alguna de sus facultades, competencias o funciones o bien, que en los casos en que ciertas facultades, competencias o funciones no se hayan ejercido, se debe motivar la respuesta en función de las causas que motiven la inexistencia.</w:t>
      </w: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r w:rsidRPr="00754EC4">
        <w:rPr>
          <w:rFonts w:ascii="Arial" w:hAnsi="Arial" w:cs="Arial"/>
          <w:color w:val="2E74B5" w:themeColor="accent1" w:themeShade="BF"/>
          <w:sz w:val="24"/>
          <w:lang w:val="es-MX"/>
        </w:rPr>
        <w:lastRenderedPageBreak/>
        <w:t>Ahora bien, con base en lo establecido en el artículo 154 de la Ley de Transparencia y Acceso a la Información Pública Estatal, la respuesta que el sujeto obligado otorgue al particular o interesado deberá ser notificada en el menor tiempo posible, que no podrá exceder de diez días, contados a partir del día siguiente a la presentación de aquélla.</w:t>
      </w:r>
      <w:r>
        <w:rPr>
          <w:rFonts w:ascii="Arial" w:hAnsi="Arial" w:cs="Arial"/>
          <w:color w:val="2E74B5" w:themeColor="accent1" w:themeShade="BF"/>
          <w:sz w:val="24"/>
          <w:lang w:val="es-MX"/>
        </w:rPr>
        <w:t xml:space="preserve"> Por lo que</w:t>
      </w:r>
      <w:r w:rsidRPr="00754EC4">
        <w:rPr>
          <w:rFonts w:ascii="Arial" w:hAnsi="Arial" w:cs="Arial"/>
          <w:color w:val="2E74B5" w:themeColor="accent1" w:themeShade="BF"/>
          <w:sz w:val="24"/>
          <w:lang w:val="es-MX"/>
        </w:rPr>
        <w:t xml:space="preserve">, de </w:t>
      </w:r>
      <w:r w:rsidRPr="00754EC4">
        <w:rPr>
          <w:rFonts w:ascii="Arial" w:hAnsi="Arial" w:cs="Arial"/>
          <w:b/>
          <w:color w:val="2E74B5" w:themeColor="accent1" w:themeShade="BF"/>
          <w:sz w:val="24"/>
          <w:lang w:val="es-MX"/>
        </w:rPr>
        <w:t>manera excepcional</w:t>
      </w:r>
      <w:r w:rsidRPr="00754EC4">
        <w:rPr>
          <w:rFonts w:ascii="Arial" w:hAnsi="Arial" w:cs="Arial"/>
          <w:color w:val="2E74B5" w:themeColor="accent1" w:themeShade="BF"/>
          <w:sz w:val="24"/>
          <w:lang w:val="es-MX"/>
        </w:rPr>
        <w:t xml:space="preserve">, el plazo referido con antelación podrá ampliarse hasta por diez días más, siempre y cuando </w:t>
      </w:r>
      <w:r w:rsidRPr="00754EC4">
        <w:rPr>
          <w:rFonts w:ascii="Arial" w:hAnsi="Arial" w:cs="Arial"/>
          <w:b/>
          <w:color w:val="2E74B5" w:themeColor="accent1" w:themeShade="BF"/>
          <w:sz w:val="24"/>
          <w:lang w:val="es-MX"/>
        </w:rPr>
        <w:t>existan razones fundadas y motivadas</w:t>
      </w:r>
      <w:r w:rsidRPr="00754EC4">
        <w:rPr>
          <w:rFonts w:ascii="Arial" w:hAnsi="Arial" w:cs="Arial"/>
          <w:color w:val="2E74B5" w:themeColor="accent1" w:themeShade="BF"/>
          <w:sz w:val="24"/>
          <w:lang w:val="es-MX"/>
        </w:rPr>
        <w:t>.</w:t>
      </w: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r w:rsidRPr="00754EC4">
        <w:rPr>
          <w:rFonts w:ascii="Arial" w:hAnsi="Arial" w:cs="Arial"/>
          <w:color w:val="2E74B5" w:themeColor="accent1" w:themeShade="BF"/>
          <w:sz w:val="24"/>
          <w:lang w:val="es-MX"/>
        </w:rPr>
        <w:t xml:space="preserve">Con base en lo expuesto, esta Comisión estima que si bien es cierto, los sujeto obligados son responsables de los datos personales que se encuentran en su posesión y por ello deberán adoptar los </w:t>
      </w:r>
      <w:r w:rsidRPr="00754EC4">
        <w:rPr>
          <w:rFonts w:ascii="Arial" w:hAnsi="Arial" w:cs="Arial"/>
          <w:color w:val="2E74B5" w:themeColor="accent1" w:themeShade="BF"/>
          <w:sz w:val="24"/>
        </w:rPr>
        <w:t>procedimientos adecuados para recibir y responder las solicitudes de acceso, adoptando las medidas necesarias que garanticen la seguridad de los datos personales y eviten su alteración, pérdida, transmisión y acceso no autorizado</w:t>
      </w:r>
      <w:r w:rsidRPr="00754EC4">
        <w:rPr>
          <w:rStyle w:val="Refdenotaalpie"/>
          <w:rFonts w:ascii="Arial" w:hAnsi="Arial" w:cs="Arial"/>
          <w:color w:val="2E74B5" w:themeColor="accent1" w:themeShade="BF"/>
          <w:sz w:val="24"/>
        </w:rPr>
        <w:footnoteReference w:id="5"/>
      </w:r>
      <w:r w:rsidRPr="00754EC4">
        <w:rPr>
          <w:rFonts w:ascii="Arial" w:hAnsi="Arial" w:cs="Arial"/>
          <w:color w:val="2E74B5" w:themeColor="accent1" w:themeShade="BF"/>
          <w:sz w:val="24"/>
        </w:rPr>
        <w:t xml:space="preserve">, dicha circunstancia no es óbice para entregar la información de manera completa y oportuna dentro de los términos señalados por la Ley de la materia, puesto que </w:t>
      </w:r>
      <w:r w:rsidRPr="00754EC4">
        <w:rPr>
          <w:rFonts w:ascii="Arial" w:hAnsi="Arial" w:cs="Arial"/>
          <w:color w:val="2E74B5" w:themeColor="accent1" w:themeShade="BF"/>
          <w:sz w:val="24"/>
          <w:lang w:val="es-MX"/>
        </w:rPr>
        <w:t xml:space="preserve">el hecho de que la documentación solicitada contenga datos personales y en consecuencia ello implique el procesamiento de la misma para la elaboración de versiones públicas, tal como lo señala el segundo párrafo del artículo 60 de la Ley de la materia, no permite que se garantice el efectivo derecho de acceso a la información pública del interesado, puesto que como se observa en el caso concreto, el H. Congreso del Estado de San Luis Potosí, no  realiza la entrega de la información de manera completa, dentro de los márgenes temporales establecidos en el numeral 154 del ordenamiento legal de la materia. </w:t>
      </w: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r w:rsidRPr="00B04F4E">
        <w:rPr>
          <w:rFonts w:ascii="Arial" w:hAnsi="Arial" w:cs="Arial"/>
          <w:color w:val="2E74B5" w:themeColor="accent1" w:themeShade="BF"/>
          <w:sz w:val="24"/>
          <w:lang w:val="es-MX"/>
        </w:rPr>
        <w:t xml:space="preserve">En efecto, tal y como se evidencia de las constancias que obran en el disco compacto remitido por el sujeto, así como del envío del correo electrónico se aprecia en archivo adjunto el Acuerdo </w:t>
      </w:r>
      <w:r w:rsidR="00B04F4E" w:rsidRPr="00B04F4E">
        <w:rPr>
          <w:rFonts w:ascii="Arial" w:hAnsi="Arial" w:cs="Arial"/>
          <w:color w:val="2E74B5" w:themeColor="accent1" w:themeShade="BF"/>
          <w:sz w:val="24"/>
          <w:lang w:val="es-MX"/>
        </w:rPr>
        <w:t>168</w:t>
      </w:r>
      <w:r w:rsidRPr="00B04F4E">
        <w:rPr>
          <w:rFonts w:ascii="Arial" w:hAnsi="Arial" w:cs="Arial"/>
          <w:color w:val="2E74B5" w:themeColor="accent1" w:themeShade="BF"/>
          <w:sz w:val="24"/>
          <w:lang w:val="es-MX"/>
        </w:rPr>
        <w:t>/LXI/</w:t>
      </w:r>
      <w:r w:rsidR="00B04F4E" w:rsidRPr="00B04F4E">
        <w:rPr>
          <w:rFonts w:ascii="Arial" w:hAnsi="Arial" w:cs="Arial"/>
          <w:color w:val="2E74B5" w:themeColor="accent1" w:themeShade="BF"/>
          <w:sz w:val="24"/>
          <w:lang w:val="es-MX"/>
        </w:rPr>
        <w:t>CT/2018, derivado del oficio 321</w:t>
      </w:r>
      <w:r w:rsidRPr="00B04F4E">
        <w:rPr>
          <w:rFonts w:ascii="Arial" w:hAnsi="Arial" w:cs="Arial"/>
          <w:color w:val="2E74B5" w:themeColor="accent1" w:themeShade="BF"/>
          <w:sz w:val="24"/>
          <w:lang w:val="es-MX"/>
        </w:rPr>
        <w:t>/LXI/2018 remitido por la Oficial Mayor del H. Congreso de San Luis Potosí, dentro de la solicitud de transparencia que aquí nos ocupa, por el que se confirmó la clasificación de la información contenida en la documentación requerida por el particular.</w:t>
      </w:r>
    </w:p>
    <w:p w:rsidR="000B2ACD" w:rsidRPr="00754EC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p>
    <w:p w:rsidR="00BE56F4" w:rsidRDefault="000B2ACD" w:rsidP="00087B46">
      <w:pPr>
        <w:pStyle w:val="Textoindependienteprimerasangra"/>
        <w:spacing w:after="0" w:line="276" w:lineRule="auto"/>
        <w:ind w:firstLine="708"/>
        <w:rPr>
          <w:rFonts w:ascii="Arial" w:hAnsi="Arial" w:cs="Arial"/>
          <w:color w:val="2E74B5" w:themeColor="accent1" w:themeShade="BF"/>
          <w:sz w:val="24"/>
          <w:lang w:val="es-MX"/>
        </w:rPr>
      </w:pPr>
      <w:r w:rsidRPr="00754EC4">
        <w:rPr>
          <w:rFonts w:ascii="Arial" w:hAnsi="Arial" w:cs="Arial"/>
          <w:color w:val="2E74B5" w:themeColor="accent1" w:themeShade="BF"/>
          <w:sz w:val="24"/>
          <w:lang w:val="es-MX"/>
        </w:rPr>
        <w:t xml:space="preserve">Ahora bien, en el orden de ideas que se tiene establecido, se tiene que la solicitud de información fue realizada en </w:t>
      </w:r>
      <w:r w:rsidR="000B0B4D">
        <w:rPr>
          <w:rFonts w:ascii="Arial" w:hAnsi="Arial" w:cs="Arial"/>
          <w:color w:val="2E74B5" w:themeColor="accent1" w:themeShade="BF"/>
          <w:sz w:val="24"/>
          <w:lang w:val="es-MX"/>
        </w:rPr>
        <w:t xml:space="preserve">26 veintiséis de junio </w:t>
      </w:r>
      <w:r w:rsidRPr="00754EC4">
        <w:rPr>
          <w:rFonts w:ascii="Arial" w:hAnsi="Arial" w:cs="Arial"/>
          <w:color w:val="2E74B5" w:themeColor="accent1" w:themeShade="BF"/>
          <w:sz w:val="24"/>
          <w:lang w:val="es-MX"/>
        </w:rPr>
        <w:t>de</w:t>
      </w:r>
      <w:r w:rsidR="000B0B4D">
        <w:rPr>
          <w:rFonts w:ascii="Arial" w:hAnsi="Arial" w:cs="Arial"/>
          <w:color w:val="2E74B5" w:themeColor="accent1" w:themeShade="BF"/>
          <w:sz w:val="24"/>
          <w:lang w:val="es-MX"/>
        </w:rPr>
        <w:t xml:space="preserve"> 2018</w:t>
      </w:r>
      <w:r w:rsidRPr="00754EC4">
        <w:rPr>
          <w:rFonts w:ascii="Arial" w:hAnsi="Arial" w:cs="Arial"/>
          <w:color w:val="2E74B5" w:themeColor="accent1" w:themeShade="BF"/>
          <w:sz w:val="24"/>
          <w:lang w:val="es-MX"/>
        </w:rPr>
        <w:t xml:space="preserve"> dos mil dieciocho, por lo que el término con el que contaba el sujeto obligado para atender la solicitud del interesado fenecía el </w:t>
      </w:r>
      <w:r w:rsidR="000B0B4D">
        <w:rPr>
          <w:rFonts w:ascii="Arial" w:hAnsi="Arial" w:cs="Arial"/>
          <w:b/>
          <w:color w:val="2E74B5" w:themeColor="accent1" w:themeShade="BF"/>
          <w:sz w:val="24"/>
          <w:lang w:val="es-MX"/>
        </w:rPr>
        <w:t xml:space="preserve">10 diez de julio </w:t>
      </w:r>
      <w:r w:rsidRPr="00754EC4">
        <w:rPr>
          <w:rFonts w:ascii="Arial" w:hAnsi="Arial" w:cs="Arial"/>
          <w:b/>
          <w:color w:val="2E74B5" w:themeColor="accent1" w:themeShade="BF"/>
          <w:sz w:val="24"/>
          <w:lang w:val="es-MX"/>
        </w:rPr>
        <w:t>del año en curso;</w:t>
      </w:r>
      <w:r w:rsidRPr="00BE56F4">
        <w:rPr>
          <w:rFonts w:ascii="Arial" w:hAnsi="Arial" w:cs="Arial"/>
          <w:color w:val="2E74B5" w:themeColor="accent1" w:themeShade="BF"/>
          <w:sz w:val="24"/>
          <w:lang w:val="es-MX"/>
        </w:rPr>
        <w:t xml:space="preserve"> </w:t>
      </w:r>
      <w:r w:rsidR="00BE56F4" w:rsidRPr="00BE56F4">
        <w:rPr>
          <w:rFonts w:ascii="Arial" w:hAnsi="Arial" w:cs="Arial"/>
          <w:color w:val="2E74B5" w:themeColor="accent1" w:themeShade="BF"/>
          <w:sz w:val="24"/>
          <w:lang w:val="es-MX"/>
        </w:rPr>
        <w:t>sin embargo</w:t>
      </w:r>
      <w:r w:rsidR="00BE56F4">
        <w:rPr>
          <w:rFonts w:ascii="Arial" w:hAnsi="Arial" w:cs="Arial"/>
          <w:color w:val="2E74B5" w:themeColor="accent1" w:themeShade="BF"/>
          <w:sz w:val="24"/>
          <w:lang w:val="es-MX"/>
        </w:rPr>
        <w:t xml:space="preserve">, aun cuando de la Plataforma se advierte una respuesta otorgada por la autoridad de ella se desprende </w:t>
      </w:r>
      <w:r w:rsidR="00912631">
        <w:rPr>
          <w:rFonts w:ascii="Arial" w:hAnsi="Arial" w:cs="Arial"/>
          <w:color w:val="2E74B5" w:themeColor="accent1" w:themeShade="BF"/>
          <w:sz w:val="24"/>
          <w:lang w:val="es-MX"/>
        </w:rPr>
        <w:t xml:space="preserve">que únicamente se hizo del conocimiento del peticionario que la información solicitada es confidencial por lo que fue enviada al Comité de Transparencia para confirmar su clasificación. </w:t>
      </w:r>
    </w:p>
    <w:p w:rsidR="00E83C75" w:rsidRPr="00754EC4" w:rsidRDefault="00E83C75" w:rsidP="00087B46">
      <w:pPr>
        <w:spacing w:after="0" w:line="276" w:lineRule="auto"/>
        <w:ind w:firstLine="567"/>
        <w:jc w:val="both"/>
        <w:rPr>
          <w:rFonts w:ascii="Arial" w:hAnsi="Arial" w:cs="Arial"/>
          <w:color w:val="2E74B5" w:themeColor="accent1" w:themeShade="BF"/>
          <w:sz w:val="24"/>
          <w:szCs w:val="24"/>
        </w:rPr>
      </w:pPr>
    </w:p>
    <w:p w:rsidR="00E83C75" w:rsidRPr="00DB44EE" w:rsidRDefault="00E83C75" w:rsidP="00087B46">
      <w:pPr>
        <w:pStyle w:val="corte4fondo"/>
        <w:tabs>
          <w:tab w:val="left" w:pos="567"/>
        </w:tabs>
        <w:spacing w:line="276" w:lineRule="auto"/>
        <w:rPr>
          <w:rFonts w:cs="Arial"/>
          <w:color w:val="2E74B5" w:themeColor="accent1" w:themeShade="BF"/>
          <w:sz w:val="24"/>
          <w:szCs w:val="24"/>
        </w:rPr>
      </w:pPr>
      <w:r w:rsidRPr="00DB44EE">
        <w:rPr>
          <w:rFonts w:cs="Arial"/>
          <w:color w:val="2E74B5" w:themeColor="accent1" w:themeShade="BF"/>
          <w:sz w:val="24"/>
          <w:szCs w:val="24"/>
        </w:rPr>
        <w:t>Pues bien,</w:t>
      </w:r>
      <w:r w:rsidR="00DB44EE" w:rsidRPr="00DB44EE">
        <w:rPr>
          <w:rFonts w:cs="Arial"/>
          <w:color w:val="2E74B5" w:themeColor="accent1" w:themeShade="BF"/>
          <w:sz w:val="24"/>
          <w:szCs w:val="24"/>
        </w:rPr>
        <w:t xml:space="preserve"> en el caso que aquí nos ocupa, resulta aplicable traer a colación lo dispuesto en el artículo 120 de la ley de la materia</w:t>
      </w:r>
      <w:r w:rsidRPr="00DB44EE">
        <w:rPr>
          <w:rFonts w:cs="Arial"/>
          <w:color w:val="2E74B5" w:themeColor="accent1" w:themeShade="BF"/>
          <w:sz w:val="24"/>
          <w:szCs w:val="24"/>
        </w:rPr>
        <w:t>:</w:t>
      </w:r>
    </w:p>
    <w:p w:rsidR="00E83C75" w:rsidRPr="00DB44EE" w:rsidRDefault="00E83C75" w:rsidP="00087B46">
      <w:pPr>
        <w:pStyle w:val="corte4fondo"/>
        <w:tabs>
          <w:tab w:val="left" w:pos="567"/>
        </w:tabs>
        <w:spacing w:line="276" w:lineRule="auto"/>
        <w:rPr>
          <w:rFonts w:cs="Arial"/>
          <w:color w:val="2E74B5" w:themeColor="accent1" w:themeShade="BF"/>
          <w:sz w:val="24"/>
          <w:szCs w:val="24"/>
        </w:rPr>
      </w:pP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b/>
          <w:i/>
          <w:color w:val="2E74B5" w:themeColor="accent1" w:themeShade="BF"/>
          <w:sz w:val="20"/>
        </w:rPr>
        <w:t>ARTÍCULO 120</w:t>
      </w:r>
      <w:r w:rsidRPr="00DB44EE">
        <w:rPr>
          <w:rFonts w:cs="Arial"/>
          <w:i/>
          <w:color w:val="2E74B5" w:themeColor="accent1" w:themeShade="BF"/>
          <w:sz w:val="20"/>
        </w:rPr>
        <w:t xml:space="preserve">. La clasificación de la información se llevará a cabo en el momento en que: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lastRenderedPageBreak/>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I. Se reciba una solicitud de acceso a la información;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II. Se determine mediante resolución de autoridad competente, o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III. Se generen versiones públicas para dar cumplimiento a las obligaciones de transparencia previstas en esta Ley.</w:t>
      </w:r>
    </w:p>
    <w:p w:rsidR="00912631" w:rsidRDefault="00912631" w:rsidP="00087B46">
      <w:pPr>
        <w:pStyle w:val="Textoindependienteprimerasangra"/>
        <w:spacing w:after="0" w:line="276" w:lineRule="auto"/>
        <w:ind w:firstLine="708"/>
        <w:rPr>
          <w:rFonts w:ascii="Arial" w:hAnsi="Arial" w:cs="Arial"/>
          <w:color w:val="2E74B5" w:themeColor="accent1" w:themeShade="BF"/>
          <w:sz w:val="24"/>
          <w:lang w:val="es-MX"/>
        </w:rPr>
      </w:pPr>
    </w:p>
    <w:p w:rsidR="000B2ACD" w:rsidRPr="00754EC4" w:rsidRDefault="00912631" w:rsidP="00087B46">
      <w:pPr>
        <w:pStyle w:val="Textoindependienteprimerasangra"/>
        <w:spacing w:after="0" w:line="276" w:lineRule="auto"/>
        <w:ind w:firstLine="708"/>
        <w:rPr>
          <w:rFonts w:ascii="Arial" w:hAnsi="Arial" w:cs="Arial"/>
          <w:color w:val="2E74B5" w:themeColor="accent1" w:themeShade="BF"/>
          <w:sz w:val="24"/>
          <w:lang w:val="es-MX"/>
        </w:rPr>
      </w:pPr>
      <w:r w:rsidRPr="00912631">
        <w:rPr>
          <w:rFonts w:ascii="Arial" w:hAnsi="Arial" w:cs="Arial"/>
          <w:color w:val="2E74B5" w:themeColor="accent1" w:themeShade="BF"/>
          <w:sz w:val="24"/>
          <w:lang w:val="es-MX"/>
        </w:rPr>
        <w:t>De ahí que</w:t>
      </w:r>
      <w:r w:rsidR="000B2ACD" w:rsidRPr="00912631">
        <w:rPr>
          <w:rFonts w:ascii="Arial" w:hAnsi="Arial" w:cs="Arial"/>
          <w:color w:val="2E74B5" w:themeColor="accent1" w:themeShade="BF"/>
          <w:sz w:val="24"/>
          <w:lang w:val="es-MX"/>
        </w:rPr>
        <w:t>, la entrega de la información no se llevó a cabo en tiempo</w:t>
      </w:r>
      <w:r w:rsidR="000E2E48">
        <w:rPr>
          <w:rFonts w:ascii="Arial" w:hAnsi="Arial" w:cs="Arial"/>
          <w:color w:val="2E74B5" w:themeColor="accent1" w:themeShade="BF"/>
          <w:sz w:val="24"/>
          <w:lang w:val="es-MX"/>
        </w:rPr>
        <w:t xml:space="preserve"> y forma</w:t>
      </w:r>
      <w:r w:rsidR="000B2ACD" w:rsidRPr="00912631">
        <w:rPr>
          <w:rFonts w:ascii="Arial" w:hAnsi="Arial" w:cs="Arial"/>
          <w:color w:val="2E74B5" w:themeColor="accent1" w:themeShade="BF"/>
          <w:sz w:val="24"/>
          <w:lang w:val="es-MX"/>
        </w:rPr>
        <w:t>, motivo por el cual el peticionario se inconformó e interpuso el presente medio de defensa con fundamento en la fracción I</w:t>
      </w:r>
      <w:r w:rsidRPr="00912631">
        <w:rPr>
          <w:rFonts w:ascii="Arial" w:hAnsi="Arial" w:cs="Arial"/>
          <w:color w:val="2E74B5" w:themeColor="accent1" w:themeShade="BF"/>
          <w:sz w:val="24"/>
          <w:lang w:val="es-MX"/>
        </w:rPr>
        <w:t>X</w:t>
      </w:r>
      <w:r w:rsidR="000B2ACD" w:rsidRPr="00912631">
        <w:rPr>
          <w:rFonts w:ascii="Arial" w:hAnsi="Arial" w:cs="Arial"/>
          <w:color w:val="2E74B5" w:themeColor="accent1" w:themeShade="BF"/>
          <w:sz w:val="24"/>
          <w:lang w:val="es-MX"/>
        </w:rPr>
        <w:t xml:space="preserve"> del artículo 167 de la Ley de Transparencia Local.</w:t>
      </w:r>
      <w:r w:rsidR="000B2ACD" w:rsidRPr="00754EC4">
        <w:rPr>
          <w:rFonts w:ascii="Arial" w:hAnsi="Arial" w:cs="Arial"/>
          <w:color w:val="2E74B5" w:themeColor="accent1" w:themeShade="BF"/>
          <w:sz w:val="24"/>
          <w:lang w:val="es-MX"/>
        </w:rPr>
        <w:t xml:space="preserve">   </w:t>
      </w:r>
    </w:p>
    <w:p w:rsidR="000B2ACD" w:rsidRPr="00754EC4" w:rsidRDefault="000B2ACD" w:rsidP="00087B46">
      <w:pPr>
        <w:spacing w:after="0" w:line="276" w:lineRule="auto"/>
        <w:ind w:firstLine="567"/>
        <w:jc w:val="both"/>
        <w:rPr>
          <w:rFonts w:ascii="Arial" w:hAnsi="Arial" w:cs="Arial"/>
          <w:color w:val="2E74B5" w:themeColor="accent1" w:themeShade="BF"/>
          <w:sz w:val="24"/>
          <w:szCs w:val="24"/>
          <w:lang w:eastAsia="es-MX"/>
        </w:rPr>
      </w:pPr>
    </w:p>
    <w:p w:rsidR="000B2ACD" w:rsidRPr="00754EC4" w:rsidRDefault="000B2ACD" w:rsidP="00087B46">
      <w:pPr>
        <w:spacing w:after="0" w:line="276" w:lineRule="auto"/>
        <w:ind w:firstLine="567"/>
        <w:jc w:val="both"/>
        <w:rPr>
          <w:rFonts w:ascii="Arial" w:hAnsi="Arial" w:cs="Arial"/>
          <w:color w:val="2E74B5" w:themeColor="accent1" w:themeShade="BF"/>
          <w:sz w:val="24"/>
          <w:szCs w:val="24"/>
        </w:rPr>
      </w:pPr>
      <w:r w:rsidRPr="00754EC4">
        <w:rPr>
          <w:rFonts w:ascii="Arial" w:hAnsi="Arial" w:cs="Arial"/>
          <w:color w:val="2E74B5" w:themeColor="accent1" w:themeShade="BF"/>
          <w:sz w:val="24"/>
          <w:szCs w:val="24"/>
          <w:lang w:eastAsia="es-MX"/>
        </w:rPr>
        <w:t>Por lo anterior, esta Comisión con fundamento en el artículo 7º de la Ley de Transparencia y Acceso a la Información Pública del Estado de San Luis Potosí, concatenado con el contenido de los artículos 1</w:t>
      </w:r>
      <w:r w:rsidR="00912631">
        <w:rPr>
          <w:rFonts w:ascii="Arial" w:hAnsi="Arial" w:cs="Arial"/>
          <w:color w:val="2E74B5" w:themeColor="accent1" w:themeShade="BF"/>
          <w:sz w:val="24"/>
          <w:szCs w:val="24"/>
          <w:lang w:eastAsia="es-MX"/>
        </w:rPr>
        <w:t>°</w:t>
      </w:r>
      <w:r w:rsidRPr="00754EC4">
        <w:rPr>
          <w:rFonts w:ascii="Arial" w:hAnsi="Arial" w:cs="Arial"/>
          <w:color w:val="2E74B5" w:themeColor="accent1" w:themeShade="BF"/>
          <w:sz w:val="24"/>
          <w:szCs w:val="24"/>
          <w:lang w:eastAsia="es-MX"/>
        </w:rPr>
        <w:t xml:space="preserve">., </w:t>
      </w:r>
      <w:r w:rsidR="00912631">
        <w:rPr>
          <w:rFonts w:ascii="Arial" w:hAnsi="Arial" w:cs="Arial"/>
          <w:color w:val="2E74B5" w:themeColor="accent1" w:themeShade="BF"/>
          <w:sz w:val="24"/>
          <w:szCs w:val="24"/>
        </w:rPr>
        <w:t>tercer párrafo y 6°</w:t>
      </w:r>
      <w:r w:rsidRPr="00754EC4">
        <w:rPr>
          <w:rFonts w:ascii="Arial" w:hAnsi="Arial" w:cs="Arial"/>
          <w:color w:val="2E74B5" w:themeColor="accent1" w:themeShade="BF"/>
          <w:sz w:val="24"/>
          <w:szCs w:val="24"/>
        </w:rPr>
        <w:t xml:space="preserve"> de la Constitución Política de los Estados Unidos Mexicanos, para efecto de promover, respetar y garantizar el derecho de acceso a la información del aquí recurrente y además en observancia de las </w:t>
      </w:r>
      <w:proofErr w:type="spellStart"/>
      <w:r w:rsidRPr="00754EC4">
        <w:rPr>
          <w:rFonts w:ascii="Arial" w:hAnsi="Arial" w:cs="Arial"/>
          <w:color w:val="2E74B5" w:themeColor="accent1" w:themeShade="BF"/>
          <w:sz w:val="24"/>
          <w:szCs w:val="24"/>
        </w:rPr>
        <w:t>subgarantías</w:t>
      </w:r>
      <w:proofErr w:type="spellEnd"/>
      <w:r w:rsidRPr="00754EC4">
        <w:rPr>
          <w:rFonts w:ascii="Arial" w:hAnsi="Arial" w:cs="Arial"/>
          <w:color w:val="2E74B5" w:themeColor="accent1" w:themeShade="BF"/>
          <w:sz w:val="24"/>
          <w:szCs w:val="24"/>
        </w:rPr>
        <w:t xml:space="preserve"> de prontitud, eficacia y </w:t>
      </w:r>
      <w:proofErr w:type="spellStart"/>
      <w:r w:rsidRPr="00754EC4">
        <w:rPr>
          <w:rFonts w:ascii="Arial" w:hAnsi="Arial" w:cs="Arial"/>
          <w:color w:val="2E74B5" w:themeColor="accent1" w:themeShade="BF"/>
          <w:sz w:val="24"/>
          <w:szCs w:val="24"/>
        </w:rPr>
        <w:t>expeditez</w:t>
      </w:r>
      <w:proofErr w:type="spellEnd"/>
      <w:r w:rsidRPr="00754EC4">
        <w:rPr>
          <w:rFonts w:ascii="Arial" w:hAnsi="Arial" w:cs="Arial"/>
          <w:color w:val="2E74B5" w:themeColor="accent1" w:themeShade="BF"/>
          <w:sz w:val="24"/>
          <w:szCs w:val="24"/>
        </w:rPr>
        <w:t xml:space="preserve"> contenidas en el segundo párrafo del artículo 17 de la Carta Magna, se exhorta al H. Congreso del Estado, para que conduzca su actuar conforme a las disposiciones de la Ley de Transparencia Local.</w:t>
      </w:r>
    </w:p>
    <w:p w:rsidR="000B2ACD" w:rsidRPr="00754EC4" w:rsidRDefault="000B2ACD" w:rsidP="00087B46">
      <w:pPr>
        <w:spacing w:after="0" w:line="276" w:lineRule="auto"/>
        <w:ind w:firstLine="567"/>
        <w:jc w:val="both"/>
        <w:rPr>
          <w:rFonts w:ascii="Arial" w:hAnsi="Arial" w:cs="Arial"/>
          <w:color w:val="2E74B5" w:themeColor="accent1" w:themeShade="BF"/>
          <w:sz w:val="24"/>
          <w:szCs w:val="24"/>
        </w:rPr>
      </w:pPr>
    </w:p>
    <w:p w:rsidR="00E83C75" w:rsidRPr="004859FF" w:rsidRDefault="000B2ACD" w:rsidP="00087B46">
      <w:pPr>
        <w:spacing w:after="0" w:line="276" w:lineRule="auto"/>
        <w:ind w:firstLine="567"/>
        <w:jc w:val="both"/>
        <w:rPr>
          <w:rFonts w:cs="Arial"/>
          <w:i/>
          <w:color w:val="2E74B5" w:themeColor="accent1" w:themeShade="BF"/>
          <w:sz w:val="20"/>
          <w:highlight w:val="cyan"/>
        </w:rPr>
      </w:pPr>
      <w:r w:rsidRPr="00754EC4">
        <w:rPr>
          <w:rFonts w:ascii="Arial" w:hAnsi="Arial" w:cs="Arial"/>
          <w:color w:val="2E74B5" w:themeColor="accent1" w:themeShade="BF"/>
          <w:sz w:val="24"/>
          <w:szCs w:val="24"/>
        </w:rPr>
        <w:t xml:space="preserve">En efecto, este Órgano Garante no convalida la conducta desplegada por el Sujeto Obligado, ya que se estima que la misma contraviene las disposiciones en materia de transparencia, por lo que se conmina a la Unidad de Transparencia y al Comité de Transparencia del H. Congreso del Estado, para que ajusten la temporalidad de los trámites internos que consideren necesarios para atender las solicitudes de acceso a la información dentro del plazo establecido en el artículo 154 de la Ley de Transparencia y Acceso a la Información, sin anteponer como excusa la naturaleza de la información </w:t>
      </w:r>
      <w:r w:rsidRPr="00754EC4">
        <w:rPr>
          <w:rFonts w:ascii="Arial" w:hAnsi="Arial" w:cs="Arial"/>
          <w:color w:val="2E74B5" w:themeColor="accent1" w:themeShade="BF"/>
          <w:sz w:val="20"/>
          <w:szCs w:val="20"/>
        </w:rPr>
        <w:t>(que contenga datos personales)</w:t>
      </w:r>
      <w:r w:rsidRPr="00754EC4">
        <w:rPr>
          <w:rFonts w:ascii="Arial" w:hAnsi="Arial" w:cs="Arial"/>
          <w:color w:val="2E74B5" w:themeColor="accent1" w:themeShade="BF"/>
          <w:sz w:val="24"/>
          <w:szCs w:val="24"/>
        </w:rPr>
        <w:t xml:space="preserve">,  puesto que como acontece en el presente asunto, las determinaciones adoptadas por la autoridad no han resultado efectivas para garantizar el derecho de acceso a la información del interesado, toda vez que la conducta desplegada por el H. Congreso del Estado contraviene las disposiciones referentes al procedimiento establecido en </w:t>
      </w:r>
      <w:r w:rsidR="00E83C75">
        <w:rPr>
          <w:rFonts w:ascii="Arial" w:hAnsi="Arial" w:cs="Arial"/>
          <w:color w:val="2E74B5" w:themeColor="accent1" w:themeShade="BF"/>
          <w:sz w:val="24"/>
          <w:szCs w:val="24"/>
        </w:rPr>
        <w:t>el C</w:t>
      </w:r>
      <w:r w:rsidR="000128A4">
        <w:rPr>
          <w:rFonts w:ascii="Arial" w:hAnsi="Arial" w:cs="Arial"/>
          <w:color w:val="2E74B5" w:themeColor="accent1" w:themeShade="BF"/>
          <w:sz w:val="24"/>
          <w:szCs w:val="24"/>
        </w:rPr>
        <w:t xml:space="preserve">apítulo </w:t>
      </w:r>
      <w:r w:rsidR="00E83C75">
        <w:rPr>
          <w:rFonts w:ascii="Arial" w:hAnsi="Arial" w:cs="Arial"/>
          <w:color w:val="2E74B5" w:themeColor="accent1" w:themeShade="BF"/>
          <w:sz w:val="24"/>
          <w:szCs w:val="24"/>
        </w:rPr>
        <w:t>P</w:t>
      </w:r>
      <w:r w:rsidR="000128A4">
        <w:rPr>
          <w:rFonts w:ascii="Arial" w:hAnsi="Arial" w:cs="Arial"/>
          <w:color w:val="2E74B5" w:themeColor="accent1" w:themeShade="BF"/>
          <w:sz w:val="24"/>
          <w:szCs w:val="24"/>
        </w:rPr>
        <w:t>rimero del Título S</w:t>
      </w:r>
      <w:r w:rsidRPr="00754EC4">
        <w:rPr>
          <w:rFonts w:ascii="Arial" w:hAnsi="Arial" w:cs="Arial"/>
          <w:color w:val="2E74B5" w:themeColor="accent1" w:themeShade="BF"/>
          <w:sz w:val="24"/>
          <w:szCs w:val="24"/>
        </w:rPr>
        <w:t>exto de la Ley de Transparencia y Acceso a la Información Pública del Estado</w:t>
      </w:r>
      <w:r w:rsidR="00E83C75" w:rsidRPr="00E83C75">
        <w:rPr>
          <w:rFonts w:ascii="Arial" w:hAnsi="Arial" w:cs="Arial"/>
          <w:color w:val="2E74B5" w:themeColor="accent1" w:themeShade="BF"/>
          <w:sz w:val="24"/>
          <w:szCs w:val="24"/>
        </w:rPr>
        <w:t xml:space="preserve"> y como tal en su artículo 159</w:t>
      </w:r>
      <w:r w:rsidRPr="00754EC4">
        <w:rPr>
          <w:rFonts w:ascii="Arial" w:hAnsi="Arial" w:cs="Arial"/>
          <w:color w:val="2E74B5" w:themeColor="accent1" w:themeShade="BF"/>
          <w:sz w:val="24"/>
          <w:szCs w:val="24"/>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b/>
          <w:i/>
          <w:color w:val="2E74B5" w:themeColor="accent1" w:themeShade="BF"/>
          <w:sz w:val="20"/>
        </w:rPr>
        <w:t>ARTÍCULO 159.</w:t>
      </w:r>
      <w:r w:rsidRPr="00DB44EE">
        <w:rPr>
          <w:rFonts w:cs="Arial"/>
          <w:i/>
          <w:color w:val="2E74B5" w:themeColor="accent1" w:themeShade="BF"/>
          <w:sz w:val="20"/>
        </w:rPr>
        <w:t xml:space="preserve"> En caso de que los sujetos obligados consideren que los documentos o la información deba ser clasificada, se sujetará a lo siguiente: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El Área deberá remitir la solicitud, así como un escrito en el que funde y motive la clasificación al Comité de Transparencia, mismo que deberá resolver para: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I. Confirmar la clasificación;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II. Modificar la clasificación y otorgar total o parcialmente el acceso a la información, y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III. Revocar la clasificación y conceder el acceso a la información.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lastRenderedPageBreak/>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El Comité de Transparencia podrá tener acceso a la información que esté en poder del Área correspondiente, de la cual se haya solicitado su clasificación.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tabs>
          <w:tab w:val="left" w:pos="567"/>
        </w:tabs>
        <w:spacing w:line="276" w:lineRule="auto"/>
        <w:rPr>
          <w:rFonts w:cs="Arial"/>
          <w:i/>
          <w:color w:val="2E74B5" w:themeColor="accent1" w:themeShade="BF"/>
          <w:sz w:val="20"/>
        </w:rPr>
      </w:pPr>
      <w:r w:rsidRPr="00DB44EE">
        <w:rPr>
          <w:rFonts w:cs="Arial"/>
          <w:i/>
          <w:color w:val="2E74B5" w:themeColor="accent1" w:themeShade="BF"/>
          <w:sz w:val="20"/>
        </w:rPr>
        <w:t>La resolución del Comité de Transparencia será notificada al interesado en el plazo de respuesta a la solicitud que establece el artículo 154 de la presente Ley.</w:t>
      </w:r>
    </w:p>
    <w:p w:rsidR="00E83C75" w:rsidRPr="00DB44EE" w:rsidRDefault="00E83C75" w:rsidP="00087B46">
      <w:pPr>
        <w:pStyle w:val="corte4fondo"/>
        <w:spacing w:line="276" w:lineRule="auto"/>
        <w:ind w:firstLine="0"/>
        <w:rPr>
          <w:rFonts w:cs="Arial"/>
          <w:color w:val="2E74B5" w:themeColor="accent1" w:themeShade="BF"/>
          <w:sz w:val="23"/>
          <w:szCs w:val="23"/>
        </w:rPr>
      </w:pPr>
      <w:r w:rsidRPr="00DB44EE">
        <w:rPr>
          <w:rFonts w:cs="Arial"/>
          <w:color w:val="2E74B5" w:themeColor="accent1" w:themeShade="BF"/>
          <w:sz w:val="23"/>
          <w:szCs w:val="23"/>
        </w:rPr>
        <w:tab/>
        <w:t xml:space="preserve"> </w:t>
      </w:r>
    </w:p>
    <w:p w:rsidR="00E83C75" w:rsidRPr="00DB44EE" w:rsidRDefault="00E83C75" w:rsidP="00087B46">
      <w:pPr>
        <w:pStyle w:val="corte4fondo"/>
        <w:spacing w:line="276" w:lineRule="auto"/>
        <w:rPr>
          <w:rFonts w:cs="Arial"/>
          <w:i/>
          <w:color w:val="2E74B5" w:themeColor="accent1" w:themeShade="BF"/>
          <w:sz w:val="20"/>
        </w:rPr>
      </w:pPr>
      <w:r w:rsidRPr="00DB44EE">
        <w:rPr>
          <w:rFonts w:cs="Arial"/>
          <w:i/>
          <w:color w:val="2E74B5" w:themeColor="accent1" w:themeShade="BF"/>
          <w:sz w:val="20"/>
        </w:rPr>
        <w:t xml:space="preserve"> </w:t>
      </w:r>
      <w:r w:rsidRPr="00DB44EE">
        <w:rPr>
          <w:rFonts w:cs="Arial"/>
          <w:b/>
          <w:i/>
          <w:color w:val="2E74B5" w:themeColor="accent1" w:themeShade="BF"/>
          <w:sz w:val="20"/>
        </w:rPr>
        <w:t>ARTÍCULO 154.</w:t>
      </w:r>
      <w:r w:rsidRPr="00DB44EE">
        <w:rPr>
          <w:rFonts w:cs="Arial"/>
          <w:i/>
          <w:color w:val="2E74B5" w:themeColor="accent1" w:themeShade="BF"/>
          <w:sz w:val="20"/>
        </w:rPr>
        <w:t xml:space="preserve"> La respuesta a la solicitud deberá ser notificada al interesado en el menor tiempo posible, que no podrá exceder de diez días, contados a partir del día siguiente a la presentación de aquélla. </w:t>
      </w:r>
    </w:p>
    <w:p w:rsidR="00E83C75" w:rsidRPr="00DB44EE" w:rsidRDefault="00E83C75" w:rsidP="00087B46">
      <w:pPr>
        <w:pStyle w:val="corte4fondo"/>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spacing w:line="276" w:lineRule="auto"/>
        <w:rPr>
          <w:rFonts w:cs="Arial"/>
          <w:i/>
          <w:color w:val="2E74B5" w:themeColor="accent1" w:themeShade="BF"/>
          <w:sz w:val="20"/>
        </w:rPr>
      </w:pPr>
      <w:r w:rsidRPr="00DB44EE">
        <w:rPr>
          <w:rFonts w:cs="Arial"/>
          <w:i/>
          <w:color w:val="2E74B5" w:themeColor="accent1" w:themeShade="BF"/>
          <w:sz w:val="20"/>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E83C75" w:rsidRPr="00DB44EE" w:rsidRDefault="00E83C75" w:rsidP="00087B46">
      <w:pPr>
        <w:pStyle w:val="corte4fondo"/>
        <w:spacing w:line="276" w:lineRule="auto"/>
        <w:rPr>
          <w:rFonts w:cs="Arial"/>
          <w:i/>
          <w:color w:val="2E74B5" w:themeColor="accent1" w:themeShade="BF"/>
          <w:sz w:val="20"/>
        </w:rPr>
      </w:pPr>
      <w:r w:rsidRPr="00DB44EE">
        <w:rPr>
          <w:rFonts w:cs="Arial"/>
          <w:i/>
          <w:color w:val="2E74B5" w:themeColor="accent1" w:themeShade="BF"/>
          <w:sz w:val="20"/>
        </w:rPr>
        <w:t xml:space="preserve"> </w:t>
      </w:r>
    </w:p>
    <w:p w:rsidR="00E83C75" w:rsidRPr="00DB44EE" w:rsidRDefault="00E83C75" w:rsidP="00087B46">
      <w:pPr>
        <w:pStyle w:val="corte4fondo"/>
        <w:spacing w:line="276" w:lineRule="auto"/>
        <w:rPr>
          <w:rFonts w:cs="Arial"/>
          <w:i/>
          <w:color w:val="2E74B5" w:themeColor="accent1" w:themeShade="BF"/>
          <w:sz w:val="20"/>
        </w:rPr>
      </w:pPr>
      <w:r w:rsidRPr="00DB44EE">
        <w:rPr>
          <w:rFonts w:cs="Arial"/>
          <w:i/>
          <w:color w:val="2E74B5" w:themeColor="accent1" w:themeShade="BF"/>
          <w:sz w:val="20"/>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E83C75" w:rsidRPr="00DB44EE" w:rsidRDefault="00E83C75" w:rsidP="00087B46">
      <w:pPr>
        <w:pStyle w:val="corte4fondo"/>
        <w:spacing w:line="276" w:lineRule="auto"/>
        <w:ind w:firstLine="0"/>
        <w:rPr>
          <w:rFonts w:cs="Arial"/>
          <w:color w:val="2E74B5" w:themeColor="accent1" w:themeShade="BF"/>
          <w:sz w:val="23"/>
          <w:szCs w:val="23"/>
        </w:rPr>
      </w:pPr>
      <w:r w:rsidRPr="00DB44EE">
        <w:rPr>
          <w:rFonts w:cs="Arial"/>
          <w:color w:val="2E74B5" w:themeColor="accent1" w:themeShade="BF"/>
          <w:sz w:val="23"/>
          <w:szCs w:val="23"/>
        </w:rPr>
        <w:t xml:space="preserve"> </w:t>
      </w:r>
    </w:p>
    <w:p w:rsidR="000B2ACD" w:rsidRPr="00754EC4" w:rsidRDefault="000B2ACD" w:rsidP="00087B46">
      <w:pPr>
        <w:spacing w:after="0" w:line="276" w:lineRule="auto"/>
        <w:ind w:firstLine="567"/>
        <w:jc w:val="both"/>
        <w:rPr>
          <w:rFonts w:ascii="Arial" w:hAnsi="Arial" w:cs="Arial"/>
          <w:bCs/>
          <w:color w:val="2E74B5" w:themeColor="accent1" w:themeShade="BF"/>
          <w:sz w:val="24"/>
          <w:szCs w:val="24"/>
          <w:u w:val="single"/>
          <w:lang w:eastAsia="es-MX"/>
        </w:rPr>
      </w:pPr>
      <w:r w:rsidRPr="00DB44EE">
        <w:rPr>
          <w:rFonts w:ascii="Arial" w:hAnsi="Arial" w:cs="Arial"/>
          <w:color w:val="2E74B5" w:themeColor="accent1" w:themeShade="BF"/>
          <w:sz w:val="24"/>
          <w:szCs w:val="24"/>
        </w:rPr>
        <w:t xml:space="preserve">Lo anterior se afirma así, ya que, respecto del acceso a la información, como ha quedado señalado en párrafos anteriores, en el caso concreto se realizó la entrega de la información de manera </w:t>
      </w:r>
      <w:r w:rsidR="00E83C75" w:rsidRPr="00DB44EE">
        <w:rPr>
          <w:rFonts w:ascii="Arial" w:hAnsi="Arial" w:cs="Arial"/>
          <w:color w:val="2E74B5" w:themeColor="accent1" w:themeShade="BF"/>
          <w:sz w:val="24"/>
          <w:szCs w:val="24"/>
        </w:rPr>
        <w:t>extemporánea</w:t>
      </w:r>
      <w:r w:rsidRPr="00DB44EE">
        <w:rPr>
          <w:rFonts w:ascii="Arial" w:hAnsi="Arial" w:cs="Arial"/>
          <w:color w:val="2E74B5" w:themeColor="accent1" w:themeShade="BF"/>
          <w:sz w:val="24"/>
          <w:szCs w:val="24"/>
        </w:rPr>
        <w:t xml:space="preserve">, por lo que para futuras ocasiones se </w:t>
      </w:r>
      <w:r w:rsidRPr="00DB44EE">
        <w:rPr>
          <w:rFonts w:ascii="Arial" w:hAnsi="Arial" w:cs="Arial"/>
          <w:bCs/>
          <w:color w:val="2E74B5" w:themeColor="accent1" w:themeShade="BF"/>
          <w:sz w:val="24"/>
          <w:szCs w:val="24"/>
          <w:lang w:eastAsia="es-MX"/>
        </w:rPr>
        <w:t>apercibe legalmente que acate lo anterior, ya que en caso de no hacerlo se le impondrán, de conformidad con el artículo 197 de la citada Ley, la denuncia que resulte pertinente.</w:t>
      </w:r>
      <w:r w:rsidRPr="00754EC4">
        <w:rPr>
          <w:rFonts w:ascii="Arial" w:hAnsi="Arial" w:cs="Arial"/>
          <w:bCs/>
          <w:color w:val="2E74B5" w:themeColor="accent1" w:themeShade="BF"/>
          <w:sz w:val="24"/>
          <w:szCs w:val="24"/>
          <w:u w:val="single"/>
          <w:lang w:eastAsia="es-MX"/>
        </w:rPr>
        <w:t xml:space="preserve"> </w:t>
      </w:r>
    </w:p>
    <w:p w:rsidR="0069204C" w:rsidRPr="005D6EDC" w:rsidRDefault="0069204C" w:rsidP="00087B46">
      <w:pPr>
        <w:pStyle w:val="xmsonormal"/>
        <w:shd w:val="clear" w:color="auto" w:fill="FFFFFF"/>
        <w:spacing w:before="0" w:beforeAutospacing="0" w:after="0" w:afterAutospacing="0" w:line="276" w:lineRule="auto"/>
        <w:jc w:val="both"/>
        <w:rPr>
          <w:rFonts w:ascii="Arial" w:hAnsi="Arial" w:cs="Arial"/>
          <w:color w:val="2E74B5" w:themeColor="accent1" w:themeShade="BF"/>
        </w:rPr>
      </w:pPr>
    </w:p>
    <w:p w:rsidR="0069204C" w:rsidRPr="005D6EDC" w:rsidRDefault="000E2E48" w:rsidP="00087B46">
      <w:pPr>
        <w:pStyle w:val="corte4fondo"/>
        <w:tabs>
          <w:tab w:val="left" w:pos="567"/>
        </w:tabs>
        <w:spacing w:line="276" w:lineRule="auto"/>
        <w:ind w:firstLine="0"/>
        <w:rPr>
          <w:rFonts w:cs="Arial"/>
          <w:b/>
          <w:color w:val="2E74B5" w:themeColor="accent1" w:themeShade="BF"/>
          <w:sz w:val="24"/>
          <w:szCs w:val="24"/>
        </w:rPr>
      </w:pPr>
      <w:r>
        <w:rPr>
          <w:rFonts w:cs="Arial"/>
          <w:b/>
          <w:color w:val="2E74B5" w:themeColor="accent1" w:themeShade="BF"/>
          <w:sz w:val="24"/>
          <w:szCs w:val="24"/>
        </w:rPr>
        <w:tab/>
      </w:r>
      <w:r>
        <w:rPr>
          <w:rFonts w:cs="Arial"/>
          <w:b/>
          <w:color w:val="2E74B5" w:themeColor="accent1" w:themeShade="BF"/>
          <w:sz w:val="24"/>
          <w:szCs w:val="24"/>
        </w:rPr>
        <w:tab/>
        <w:t>5.</w:t>
      </w:r>
      <w:r w:rsidR="00592B47">
        <w:rPr>
          <w:rFonts w:cs="Arial"/>
          <w:b/>
          <w:color w:val="2E74B5" w:themeColor="accent1" w:themeShade="BF"/>
          <w:sz w:val="24"/>
          <w:szCs w:val="24"/>
        </w:rPr>
        <w:t>7</w:t>
      </w:r>
      <w:r w:rsidR="0069204C">
        <w:rPr>
          <w:rFonts w:cs="Arial"/>
          <w:b/>
          <w:color w:val="2E74B5" w:themeColor="accent1" w:themeShade="BF"/>
          <w:sz w:val="24"/>
          <w:szCs w:val="24"/>
        </w:rPr>
        <w:t>.</w:t>
      </w:r>
      <w:r w:rsidR="0069204C" w:rsidRPr="005D6EDC">
        <w:rPr>
          <w:rFonts w:cs="Arial"/>
          <w:b/>
          <w:color w:val="2E74B5" w:themeColor="accent1" w:themeShade="BF"/>
          <w:sz w:val="24"/>
          <w:szCs w:val="24"/>
        </w:rPr>
        <w:t xml:space="preserve"> Archivo.</w:t>
      </w:r>
    </w:p>
    <w:p w:rsidR="0069204C" w:rsidRPr="005D6EDC" w:rsidRDefault="0069204C" w:rsidP="00087B46">
      <w:pPr>
        <w:pStyle w:val="corte4fondo"/>
        <w:tabs>
          <w:tab w:val="left" w:pos="567"/>
        </w:tabs>
        <w:spacing w:line="276" w:lineRule="auto"/>
        <w:ind w:firstLine="0"/>
        <w:rPr>
          <w:rFonts w:cs="Arial"/>
          <w:color w:val="2E74B5" w:themeColor="accent1" w:themeShade="BF"/>
          <w:sz w:val="24"/>
          <w:szCs w:val="24"/>
        </w:rPr>
      </w:pPr>
    </w:p>
    <w:p w:rsidR="0069204C" w:rsidRPr="005D6EDC" w:rsidRDefault="0069204C" w:rsidP="00087B46">
      <w:pPr>
        <w:pStyle w:val="corte4fondo"/>
        <w:tabs>
          <w:tab w:val="left" w:pos="567"/>
        </w:tabs>
        <w:spacing w:line="276" w:lineRule="auto"/>
        <w:ind w:firstLine="0"/>
        <w:rPr>
          <w:rFonts w:cs="Arial"/>
          <w:color w:val="2E74B5" w:themeColor="accent1" w:themeShade="BF"/>
          <w:sz w:val="24"/>
          <w:szCs w:val="24"/>
        </w:rPr>
      </w:pPr>
      <w:r w:rsidRPr="005D6EDC">
        <w:rPr>
          <w:rFonts w:cs="Arial"/>
          <w:color w:val="2E74B5" w:themeColor="accent1" w:themeShade="BF"/>
          <w:sz w:val="24"/>
          <w:szCs w:val="24"/>
        </w:rPr>
        <w:tab/>
        <w:t>Que una vez que la presente resolución sea notificada a las partes, la ponencia mande archivar el presente asunto como totalmente concluido.</w:t>
      </w:r>
    </w:p>
    <w:p w:rsidR="0069204C" w:rsidRDefault="0069204C" w:rsidP="00087B46">
      <w:pPr>
        <w:pStyle w:val="corte4fondo"/>
        <w:tabs>
          <w:tab w:val="left" w:pos="567"/>
        </w:tabs>
        <w:spacing w:line="276" w:lineRule="auto"/>
        <w:ind w:firstLine="0"/>
        <w:rPr>
          <w:rFonts w:cs="Arial"/>
          <w:b/>
          <w:color w:val="2E74B5" w:themeColor="accent1" w:themeShade="BF"/>
          <w:sz w:val="24"/>
          <w:szCs w:val="24"/>
        </w:rPr>
      </w:pPr>
      <w:r w:rsidRPr="00F66D59">
        <w:rPr>
          <w:rFonts w:cs="Arial"/>
          <w:b/>
          <w:color w:val="2E74B5" w:themeColor="accent1" w:themeShade="BF"/>
          <w:sz w:val="24"/>
          <w:szCs w:val="24"/>
        </w:rPr>
        <w:t xml:space="preserve">      </w:t>
      </w:r>
    </w:p>
    <w:p w:rsidR="0069204C" w:rsidRPr="005D6EDC" w:rsidRDefault="0069204C" w:rsidP="00087B46">
      <w:pPr>
        <w:pStyle w:val="corte4fondo"/>
        <w:tabs>
          <w:tab w:val="left" w:pos="567"/>
        </w:tabs>
        <w:spacing w:line="276" w:lineRule="auto"/>
        <w:ind w:firstLine="0"/>
        <w:rPr>
          <w:rFonts w:cs="Arial"/>
          <w:color w:val="2E74B5" w:themeColor="accent1" w:themeShade="BF"/>
          <w:sz w:val="24"/>
          <w:szCs w:val="24"/>
        </w:rPr>
      </w:pPr>
      <w:r>
        <w:rPr>
          <w:rFonts w:cs="Arial"/>
          <w:b/>
          <w:color w:val="2E74B5" w:themeColor="accent1" w:themeShade="BF"/>
          <w:sz w:val="24"/>
          <w:szCs w:val="24"/>
        </w:rPr>
        <w:tab/>
      </w:r>
      <w:r w:rsidRPr="005D6EDC">
        <w:rPr>
          <w:rFonts w:cs="Arial"/>
          <w:color w:val="2E74B5" w:themeColor="accent1" w:themeShade="BF"/>
          <w:sz w:val="24"/>
          <w:szCs w:val="24"/>
        </w:rPr>
        <w:tab/>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69204C" w:rsidRPr="005D6EDC" w:rsidRDefault="0069204C" w:rsidP="00087B46">
      <w:pPr>
        <w:pStyle w:val="corte4fondo"/>
        <w:tabs>
          <w:tab w:val="left" w:pos="567"/>
        </w:tabs>
        <w:spacing w:line="276" w:lineRule="auto"/>
        <w:jc w:val="center"/>
        <w:rPr>
          <w:rFonts w:cs="Arial"/>
          <w:color w:val="2E74B5" w:themeColor="accent1" w:themeShade="BF"/>
          <w:sz w:val="24"/>
          <w:szCs w:val="24"/>
        </w:rPr>
      </w:pPr>
    </w:p>
    <w:p w:rsidR="0069204C" w:rsidRPr="005D6EDC" w:rsidRDefault="0069204C" w:rsidP="00087B46">
      <w:pPr>
        <w:pStyle w:val="corte4fondo"/>
        <w:tabs>
          <w:tab w:val="left" w:pos="567"/>
        </w:tabs>
        <w:spacing w:line="276" w:lineRule="auto"/>
        <w:rPr>
          <w:rFonts w:cs="Arial"/>
          <w:color w:val="2E74B5" w:themeColor="accent1" w:themeShade="BF"/>
          <w:sz w:val="24"/>
          <w:szCs w:val="24"/>
        </w:rPr>
      </w:pPr>
      <w:r w:rsidRPr="005D6EDC">
        <w:rPr>
          <w:rFonts w:cs="Arial"/>
          <w:color w:val="2E74B5" w:themeColor="accent1" w:themeShade="BF"/>
          <w:sz w:val="24"/>
          <w:szCs w:val="24"/>
        </w:rPr>
        <w:t>Por lo expuesto y fundado, SE RESUELVE:</w:t>
      </w:r>
    </w:p>
    <w:p w:rsidR="0069204C" w:rsidRPr="005D6EDC" w:rsidRDefault="0069204C" w:rsidP="00087B46">
      <w:pPr>
        <w:pStyle w:val="corte4fondo"/>
        <w:tabs>
          <w:tab w:val="left" w:pos="567"/>
        </w:tabs>
        <w:spacing w:line="276" w:lineRule="auto"/>
        <w:rPr>
          <w:rFonts w:cs="Arial"/>
          <w:color w:val="2E74B5" w:themeColor="accent1" w:themeShade="BF"/>
          <w:sz w:val="24"/>
          <w:szCs w:val="24"/>
        </w:rPr>
      </w:pPr>
    </w:p>
    <w:p w:rsidR="0069204C" w:rsidRPr="005D6EDC" w:rsidRDefault="0069204C" w:rsidP="00087B46">
      <w:pPr>
        <w:pStyle w:val="corte4fondo"/>
        <w:tabs>
          <w:tab w:val="left" w:pos="567"/>
        </w:tabs>
        <w:spacing w:line="276" w:lineRule="auto"/>
        <w:jc w:val="center"/>
        <w:rPr>
          <w:rFonts w:cs="Arial"/>
          <w:color w:val="2E74B5" w:themeColor="accent1" w:themeShade="BF"/>
          <w:sz w:val="24"/>
          <w:szCs w:val="24"/>
        </w:rPr>
      </w:pPr>
      <w:r w:rsidRPr="005D6EDC">
        <w:rPr>
          <w:rFonts w:cs="Arial"/>
          <w:b/>
          <w:color w:val="2E74B5" w:themeColor="accent1" w:themeShade="BF"/>
          <w:sz w:val="24"/>
          <w:szCs w:val="24"/>
        </w:rPr>
        <w:t>RESOLUTIVO</w:t>
      </w:r>
      <w:r w:rsidRPr="005D6EDC">
        <w:rPr>
          <w:rFonts w:cs="Arial"/>
          <w:color w:val="2E74B5" w:themeColor="accent1" w:themeShade="BF"/>
          <w:sz w:val="24"/>
          <w:szCs w:val="24"/>
        </w:rPr>
        <w:t xml:space="preserve"> </w:t>
      </w:r>
    </w:p>
    <w:p w:rsidR="0069204C" w:rsidRPr="005D6EDC" w:rsidRDefault="0069204C" w:rsidP="00087B46">
      <w:pPr>
        <w:pStyle w:val="corte4fondo"/>
        <w:tabs>
          <w:tab w:val="left" w:pos="567"/>
        </w:tabs>
        <w:spacing w:line="276" w:lineRule="auto"/>
        <w:rPr>
          <w:rFonts w:cs="Arial"/>
          <w:color w:val="2E74B5" w:themeColor="accent1" w:themeShade="BF"/>
          <w:sz w:val="24"/>
          <w:szCs w:val="24"/>
        </w:rPr>
      </w:pPr>
    </w:p>
    <w:p w:rsidR="0069204C" w:rsidRPr="005D6EDC" w:rsidRDefault="0069204C" w:rsidP="00087B46">
      <w:pPr>
        <w:pStyle w:val="corte4fondo"/>
        <w:tabs>
          <w:tab w:val="left" w:pos="567"/>
        </w:tabs>
        <w:spacing w:line="276" w:lineRule="auto"/>
        <w:rPr>
          <w:rFonts w:cs="Arial"/>
          <w:color w:val="2E74B5" w:themeColor="accent1" w:themeShade="BF"/>
          <w:sz w:val="24"/>
          <w:szCs w:val="24"/>
        </w:rPr>
      </w:pPr>
      <w:r w:rsidRPr="005D6EDC">
        <w:rPr>
          <w:rFonts w:cs="Arial"/>
          <w:b/>
          <w:color w:val="2E74B5" w:themeColor="accent1" w:themeShade="BF"/>
          <w:sz w:val="24"/>
          <w:szCs w:val="24"/>
        </w:rPr>
        <w:t>ÚNICO</w:t>
      </w:r>
      <w:r w:rsidRPr="005D6EDC">
        <w:rPr>
          <w:rFonts w:cs="Arial"/>
          <w:color w:val="2E74B5" w:themeColor="accent1" w:themeShade="BF"/>
          <w:sz w:val="24"/>
          <w:szCs w:val="24"/>
        </w:rPr>
        <w:t xml:space="preserve">. Esta Comisión Estatal de Garantía y Acceso a la Información Pública </w:t>
      </w:r>
      <w:r w:rsidRPr="005D6EDC">
        <w:rPr>
          <w:rFonts w:cs="Arial"/>
          <w:b/>
          <w:color w:val="2E74B5" w:themeColor="accent1" w:themeShade="BF"/>
          <w:sz w:val="24"/>
          <w:szCs w:val="24"/>
        </w:rPr>
        <w:t xml:space="preserve">sobresee </w:t>
      </w:r>
      <w:r w:rsidRPr="005D6EDC">
        <w:rPr>
          <w:rFonts w:cs="Arial"/>
          <w:color w:val="2E74B5" w:themeColor="accent1" w:themeShade="BF"/>
          <w:sz w:val="24"/>
          <w:szCs w:val="24"/>
        </w:rPr>
        <w:t xml:space="preserve">el presente recurso por los fundamentos y las razones desarrolladas en el considerando </w:t>
      </w:r>
      <w:r>
        <w:rPr>
          <w:rFonts w:cs="Arial"/>
          <w:color w:val="2E74B5" w:themeColor="accent1" w:themeShade="BF"/>
          <w:sz w:val="24"/>
          <w:szCs w:val="24"/>
        </w:rPr>
        <w:t>quinto</w:t>
      </w:r>
      <w:r w:rsidRPr="005D6EDC">
        <w:rPr>
          <w:rFonts w:cs="Arial"/>
          <w:color w:val="2E74B5" w:themeColor="accent1" w:themeShade="BF"/>
          <w:sz w:val="24"/>
          <w:szCs w:val="24"/>
        </w:rPr>
        <w:t xml:space="preserve"> de la presente resolución.</w:t>
      </w:r>
    </w:p>
    <w:p w:rsidR="00174C28" w:rsidRPr="00CB569C" w:rsidRDefault="00174C28" w:rsidP="00087B46">
      <w:pPr>
        <w:pStyle w:val="corte4fondo"/>
        <w:tabs>
          <w:tab w:val="left" w:pos="567"/>
        </w:tabs>
        <w:spacing w:line="276" w:lineRule="auto"/>
        <w:rPr>
          <w:rFonts w:cs="Arial"/>
          <w:color w:val="2E74B5" w:themeColor="accent1" w:themeShade="BF"/>
          <w:sz w:val="24"/>
          <w:szCs w:val="24"/>
        </w:rPr>
      </w:pPr>
    </w:p>
    <w:p w:rsidR="00174C28" w:rsidRPr="00CB569C" w:rsidRDefault="00174C28" w:rsidP="00087B46">
      <w:pPr>
        <w:pStyle w:val="corte4fondo"/>
        <w:tabs>
          <w:tab w:val="left" w:pos="567"/>
        </w:tabs>
        <w:spacing w:line="276" w:lineRule="auto"/>
        <w:rPr>
          <w:rFonts w:cs="Arial"/>
          <w:color w:val="2E74B5" w:themeColor="accent1" w:themeShade="BF"/>
          <w:sz w:val="24"/>
          <w:szCs w:val="24"/>
        </w:rPr>
      </w:pPr>
      <w:r w:rsidRPr="00CB569C">
        <w:rPr>
          <w:rFonts w:cs="Arial"/>
          <w:b/>
          <w:color w:val="2E74B5" w:themeColor="accent1" w:themeShade="BF"/>
          <w:sz w:val="24"/>
          <w:szCs w:val="24"/>
        </w:rPr>
        <w:lastRenderedPageBreak/>
        <w:t xml:space="preserve">Notifíquese; </w:t>
      </w:r>
      <w:r w:rsidRPr="00CB569C">
        <w:rPr>
          <w:rFonts w:cs="Arial"/>
          <w:color w:val="2E74B5" w:themeColor="accent1" w:themeShade="BF"/>
          <w:sz w:val="24"/>
          <w:szCs w:val="24"/>
        </w:rPr>
        <w:t>por oficio a las autoridades</w:t>
      </w:r>
      <w:r w:rsidRPr="00CB569C">
        <w:rPr>
          <w:rFonts w:cs="Arial"/>
          <w:b/>
          <w:color w:val="2E74B5" w:themeColor="accent1" w:themeShade="BF"/>
          <w:sz w:val="24"/>
          <w:szCs w:val="24"/>
        </w:rPr>
        <w:t xml:space="preserve"> </w:t>
      </w:r>
      <w:r w:rsidRPr="00CB569C">
        <w:rPr>
          <w:rFonts w:cs="Arial"/>
          <w:color w:val="2E74B5" w:themeColor="accent1" w:themeShade="BF"/>
          <w:sz w:val="24"/>
          <w:szCs w:val="24"/>
        </w:rPr>
        <w:t>y a la recurrente por el medio que designó.</w:t>
      </w:r>
    </w:p>
    <w:p w:rsidR="00174C28" w:rsidRPr="00CB569C" w:rsidRDefault="00174C28" w:rsidP="00087B46">
      <w:pPr>
        <w:pStyle w:val="corte4fondo"/>
        <w:tabs>
          <w:tab w:val="left" w:pos="567"/>
        </w:tabs>
        <w:spacing w:line="276" w:lineRule="auto"/>
        <w:rPr>
          <w:rFonts w:cs="Arial"/>
          <w:color w:val="2E74B5" w:themeColor="accent1" w:themeShade="BF"/>
          <w:sz w:val="24"/>
          <w:szCs w:val="24"/>
        </w:rPr>
      </w:pPr>
    </w:p>
    <w:p w:rsidR="00AE22D6" w:rsidRPr="001728B8" w:rsidRDefault="00AE22D6" w:rsidP="00087B46">
      <w:pPr>
        <w:pStyle w:val="corte4fondo"/>
        <w:tabs>
          <w:tab w:val="left" w:pos="567"/>
        </w:tabs>
        <w:spacing w:line="276" w:lineRule="auto"/>
        <w:rPr>
          <w:rFonts w:eastAsia="Arial Unicode MS" w:cs="Arial"/>
          <w:color w:val="2E74B5" w:themeColor="accent1" w:themeShade="BF"/>
          <w:sz w:val="24"/>
          <w:szCs w:val="24"/>
        </w:rPr>
      </w:pPr>
      <w:r w:rsidRPr="001728B8">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1728B8">
        <w:rPr>
          <w:rFonts w:cs="Arial"/>
          <w:color w:val="2E74B5" w:themeColor="accent1" w:themeShade="BF"/>
          <w:sz w:val="24"/>
          <w:szCs w:val="24"/>
        </w:rPr>
        <w:t>Mariajosé</w:t>
      </w:r>
      <w:proofErr w:type="spellEnd"/>
      <w:r w:rsidRPr="001728B8">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1728B8">
        <w:rPr>
          <w:rFonts w:eastAsia="Arial Unicode MS" w:cs="Arial"/>
          <w:color w:val="2E74B5" w:themeColor="accent1" w:themeShade="BF"/>
          <w:sz w:val="24"/>
          <w:szCs w:val="24"/>
        </w:rPr>
        <w:t xml:space="preserve">   </w:t>
      </w:r>
    </w:p>
    <w:p w:rsidR="00AE22D6" w:rsidRPr="001728B8" w:rsidRDefault="00AE22D6" w:rsidP="00087B46">
      <w:pPr>
        <w:pStyle w:val="corte4fondo"/>
        <w:tabs>
          <w:tab w:val="left" w:pos="567"/>
        </w:tabs>
        <w:spacing w:line="276" w:lineRule="auto"/>
        <w:rPr>
          <w:rFonts w:cs="Arial"/>
          <w:color w:val="2E74B5" w:themeColor="accent1" w:themeShade="BF"/>
          <w:sz w:val="24"/>
          <w:szCs w:val="24"/>
        </w:rPr>
      </w:pPr>
    </w:p>
    <w:p w:rsidR="00AE22D6" w:rsidRPr="001728B8" w:rsidRDefault="00AE22D6" w:rsidP="00087B46">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AE22D6" w:rsidRPr="001728B8" w:rsidTr="00276890">
        <w:trPr>
          <w:trHeight w:val="2654"/>
          <w:jc w:val="center"/>
        </w:trPr>
        <w:tc>
          <w:tcPr>
            <w:tcW w:w="4706" w:type="dxa"/>
            <w:gridSpan w:val="2"/>
          </w:tcPr>
          <w:p w:rsidR="00AE22D6" w:rsidRPr="001728B8" w:rsidRDefault="00AE22D6" w:rsidP="00087B46">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COMISIONADA </w:t>
            </w: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MARIAJOSÉ </w:t>
            </w:r>
          </w:p>
          <w:p w:rsidR="00AE22D6" w:rsidRPr="001728B8" w:rsidRDefault="00AE22D6" w:rsidP="00087B46">
            <w:pPr>
              <w:spacing w:after="0" w:line="276" w:lineRule="auto"/>
              <w:ind w:left="360"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GONZÁLEZ ZARZOSA </w:t>
            </w: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w:t>
            </w:r>
          </w:p>
          <w:p w:rsidR="00AE22D6" w:rsidRPr="001728B8" w:rsidRDefault="00AE22D6" w:rsidP="00087B46">
            <w:pPr>
              <w:spacing w:after="0" w:line="276" w:lineRule="auto"/>
              <w:rPr>
                <w:rFonts w:ascii="Arial" w:eastAsia="Arial Unicode MS" w:hAnsi="Arial" w:cs="Arial"/>
                <w:b/>
                <w:color w:val="2E74B5" w:themeColor="accent1" w:themeShade="BF"/>
                <w:sz w:val="24"/>
                <w:szCs w:val="24"/>
              </w:rPr>
            </w:pPr>
          </w:p>
        </w:tc>
        <w:tc>
          <w:tcPr>
            <w:tcW w:w="5194" w:type="dxa"/>
            <w:gridSpan w:val="2"/>
          </w:tcPr>
          <w:p w:rsidR="00AE22D6" w:rsidRPr="001728B8" w:rsidRDefault="00AE22D6" w:rsidP="00087B46">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COMISIONADO </w:t>
            </w: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MTRO. ALEJANDRO </w:t>
            </w:r>
          </w:p>
          <w:p w:rsidR="00AE22D6" w:rsidRPr="001728B8" w:rsidRDefault="00AE22D6" w:rsidP="00087B46">
            <w:pPr>
              <w:pStyle w:val="corte4fondo"/>
              <w:tabs>
                <w:tab w:val="left" w:pos="567"/>
              </w:tabs>
              <w:spacing w:line="276" w:lineRule="auto"/>
              <w:ind w:firstLine="0"/>
              <w:rPr>
                <w:rFonts w:cs="Arial"/>
                <w:i/>
                <w:color w:val="2E74B5" w:themeColor="accent1" w:themeShade="BF"/>
                <w:sz w:val="10"/>
                <w:szCs w:val="10"/>
              </w:rPr>
            </w:pPr>
            <w:r w:rsidRPr="001728B8">
              <w:rPr>
                <w:rFonts w:eastAsia="Arial Unicode MS" w:cs="Arial"/>
                <w:b/>
                <w:color w:val="2E74B5" w:themeColor="accent1" w:themeShade="BF"/>
                <w:sz w:val="24"/>
                <w:szCs w:val="24"/>
              </w:rPr>
              <w:t xml:space="preserve">                    LAFUENTE TORRES</w:t>
            </w: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pStyle w:val="corte4fondo"/>
              <w:tabs>
                <w:tab w:val="left" w:pos="567"/>
              </w:tabs>
              <w:spacing w:line="276" w:lineRule="auto"/>
              <w:ind w:firstLine="0"/>
              <w:rPr>
                <w:rFonts w:eastAsia="Arial Unicode MS" w:cs="Arial"/>
                <w:b/>
                <w:color w:val="2E74B5" w:themeColor="accent1" w:themeShade="BF"/>
                <w:sz w:val="24"/>
                <w:szCs w:val="24"/>
              </w:rPr>
            </w:pPr>
          </w:p>
        </w:tc>
      </w:tr>
      <w:tr w:rsidR="00AE22D6" w:rsidRPr="001728B8" w:rsidTr="00276890">
        <w:trPr>
          <w:trHeight w:val="2085"/>
          <w:jc w:val="center"/>
        </w:trPr>
        <w:tc>
          <w:tcPr>
            <w:tcW w:w="4552" w:type="dxa"/>
          </w:tcPr>
          <w:p w:rsidR="00AE22D6" w:rsidRPr="001728B8" w:rsidRDefault="00AE22D6" w:rsidP="00087B46">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COMISIONADA PRESIDENTE</w:t>
            </w:r>
          </w:p>
          <w:p w:rsidR="00AE22D6" w:rsidRPr="001728B8" w:rsidRDefault="00AE22D6" w:rsidP="00087B46">
            <w:pPr>
              <w:spacing w:after="0" w:line="276" w:lineRule="auto"/>
              <w:ind w:left="360"/>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PAULINA SÁNCHEZ </w:t>
            </w:r>
          </w:p>
          <w:p w:rsidR="00AE22D6" w:rsidRPr="001728B8" w:rsidRDefault="00AE22D6" w:rsidP="00087B46">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PÉREZ DEL POZO</w:t>
            </w:r>
          </w:p>
          <w:p w:rsidR="00AE22D6" w:rsidRPr="001728B8" w:rsidRDefault="00AE22D6" w:rsidP="00087B46">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AE22D6" w:rsidRPr="001728B8" w:rsidRDefault="00AE22D6" w:rsidP="00087B46">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SECRETARIA DE PLENO</w:t>
            </w: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087B46">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ROSA MARÍA MOTILLA GARCÍA </w:t>
            </w:r>
          </w:p>
        </w:tc>
      </w:tr>
    </w:tbl>
    <w:p w:rsidR="00174C28" w:rsidRDefault="00174C28" w:rsidP="00087B46">
      <w:pPr>
        <w:pStyle w:val="corte4fondo"/>
        <w:tabs>
          <w:tab w:val="left" w:pos="567"/>
        </w:tabs>
        <w:spacing w:line="276" w:lineRule="auto"/>
        <w:ind w:firstLine="0"/>
        <w:rPr>
          <w:rFonts w:cs="Arial"/>
          <w:color w:val="2E74B5" w:themeColor="accent1" w:themeShade="BF"/>
          <w:sz w:val="10"/>
          <w:szCs w:val="10"/>
        </w:rPr>
      </w:pPr>
    </w:p>
    <w:p w:rsidR="00B04F4E" w:rsidRDefault="00B04F4E" w:rsidP="00087B46">
      <w:pPr>
        <w:pStyle w:val="corte4fondo"/>
        <w:tabs>
          <w:tab w:val="left" w:pos="567"/>
        </w:tabs>
        <w:spacing w:line="276" w:lineRule="auto"/>
        <w:ind w:firstLine="0"/>
        <w:rPr>
          <w:rFonts w:cs="Arial"/>
          <w:color w:val="2E74B5" w:themeColor="accent1" w:themeShade="BF"/>
          <w:sz w:val="10"/>
          <w:szCs w:val="10"/>
        </w:rPr>
      </w:pPr>
    </w:p>
    <w:p w:rsidR="00B04F4E" w:rsidRDefault="00B04F4E" w:rsidP="00087B46">
      <w:pPr>
        <w:pStyle w:val="corte4fondo"/>
        <w:tabs>
          <w:tab w:val="left" w:pos="567"/>
        </w:tabs>
        <w:spacing w:line="276" w:lineRule="auto"/>
        <w:ind w:firstLine="0"/>
        <w:rPr>
          <w:rFonts w:cs="Arial"/>
          <w:color w:val="2E74B5" w:themeColor="accent1" w:themeShade="BF"/>
          <w:sz w:val="10"/>
          <w:szCs w:val="10"/>
        </w:rPr>
      </w:pPr>
    </w:p>
    <w:p w:rsidR="00B04F4E" w:rsidRPr="00CB569C" w:rsidRDefault="00B04F4E" w:rsidP="00087B46">
      <w:pPr>
        <w:pStyle w:val="corte4fondo"/>
        <w:tabs>
          <w:tab w:val="left" w:pos="567"/>
        </w:tabs>
        <w:spacing w:line="276" w:lineRule="auto"/>
        <w:ind w:firstLine="0"/>
        <w:rPr>
          <w:rFonts w:cs="Arial"/>
          <w:color w:val="2E74B5" w:themeColor="accent1" w:themeShade="BF"/>
          <w:sz w:val="10"/>
          <w:szCs w:val="10"/>
        </w:rPr>
      </w:pPr>
    </w:p>
    <w:p w:rsidR="00174C28" w:rsidRPr="00CB569C" w:rsidRDefault="00174C28" w:rsidP="00087B46">
      <w:pPr>
        <w:pStyle w:val="corte4fondo"/>
        <w:tabs>
          <w:tab w:val="left" w:pos="567"/>
        </w:tabs>
        <w:spacing w:line="276" w:lineRule="auto"/>
        <w:ind w:firstLine="0"/>
        <w:rPr>
          <w:rFonts w:cs="Arial"/>
          <w:color w:val="2E74B5" w:themeColor="accent1" w:themeShade="BF"/>
          <w:sz w:val="10"/>
          <w:szCs w:val="10"/>
        </w:rPr>
      </w:pPr>
      <w:r w:rsidRPr="00CB569C">
        <w:rPr>
          <w:rFonts w:cs="Arial"/>
          <w:color w:val="2E74B5" w:themeColor="accent1" w:themeShade="BF"/>
          <w:sz w:val="10"/>
          <w:szCs w:val="10"/>
        </w:rPr>
        <w:t xml:space="preserve">*ESTAS FIRMAS PERTENECEN A </w:t>
      </w:r>
      <w:r w:rsidR="000E2E48">
        <w:rPr>
          <w:rFonts w:cs="Arial"/>
          <w:color w:val="2E74B5" w:themeColor="accent1" w:themeShade="BF"/>
          <w:sz w:val="10"/>
          <w:szCs w:val="10"/>
        </w:rPr>
        <w:t>LA RESOLUCIÓN DE LA REVISIÓN 590</w:t>
      </w:r>
      <w:r w:rsidRPr="00CB569C">
        <w:rPr>
          <w:rFonts w:cs="Arial"/>
          <w:color w:val="2E74B5" w:themeColor="accent1" w:themeShade="BF"/>
          <w:sz w:val="10"/>
          <w:szCs w:val="10"/>
        </w:rPr>
        <w:t xml:space="preserve">/2018-2 QUE FUE INTERPUESTO CONTRA EL H. CONGRESO DEL ESTADO Y QUE FUE APROBADA EN LA SESIÓN </w:t>
      </w:r>
      <w:r w:rsidR="000E2E48">
        <w:rPr>
          <w:rFonts w:cs="Arial"/>
          <w:color w:val="2E74B5" w:themeColor="accent1" w:themeShade="BF"/>
          <w:sz w:val="10"/>
          <w:szCs w:val="10"/>
        </w:rPr>
        <w:t>EXTRA</w:t>
      </w:r>
      <w:r w:rsidRPr="00CB569C">
        <w:rPr>
          <w:rFonts w:cs="Arial"/>
          <w:color w:val="2E74B5" w:themeColor="accent1" w:themeShade="BF"/>
          <w:sz w:val="10"/>
          <w:szCs w:val="10"/>
        </w:rPr>
        <w:t xml:space="preserve">ORDINARIA DEL </w:t>
      </w:r>
      <w:r w:rsidR="000E2E48">
        <w:rPr>
          <w:rFonts w:cs="Arial"/>
          <w:color w:val="2E74B5" w:themeColor="accent1" w:themeShade="BF"/>
          <w:sz w:val="10"/>
          <w:szCs w:val="10"/>
        </w:rPr>
        <w:t>12 DOCE</w:t>
      </w:r>
      <w:r w:rsidR="009D0867">
        <w:rPr>
          <w:rFonts w:cs="Arial"/>
          <w:color w:val="2E74B5" w:themeColor="accent1" w:themeShade="BF"/>
          <w:sz w:val="10"/>
          <w:szCs w:val="10"/>
        </w:rPr>
        <w:t xml:space="preserve"> DE SEPTIEMBRE </w:t>
      </w:r>
      <w:r w:rsidRPr="00CB569C">
        <w:rPr>
          <w:rFonts w:cs="Arial"/>
          <w:color w:val="2E74B5" w:themeColor="accent1" w:themeShade="BF"/>
          <w:sz w:val="10"/>
          <w:szCs w:val="10"/>
        </w:rPr>
        <w:t>DE 2018 DOS MIL DIECIOCHO.</w:t>
      </w:r>
    </w:p>
    <w:p w:rsidR="00174C28" w:rsidRPr="00CB569C" w:rsidRDefault="00174C28" w:rsidP="00087B46">
      <w:pPr>
        <w:pStyle w:val="corte4fondo"/>
        <w:tabs>
          <w:tab w:val="left" w:pos="567"/>
        </w:tabs>
        <w:spacing w:line="276" w:lineRule="auto"/>
        <w:ind w:firstLine="0"/>
        <w:rPr>
          <w:rFonts w:cs="Arial"/>
          <w:color w:val="2E74B5" w:themeColor="accent1" w:themeShade="BF"/>
          <w:sz w:val="10"/>
          <w:szCs w:val="10"/>
        </w:rPr>
      </w:pPr>
    </w:p>
    <w:p w:rsidR="00174C28" w:rsidRPr="00CB569C" w:rsidRDefault="00174C28" w:rsidP="00087B46">
      <w:pPr>
        <w:pStyle w:val="corte4fondo"/>
        <w:tabs>
          <w:tab w:val="left" w:pos="567"/>
          <w:tab w:val="left" w:pos="3643"/>
        </w:tabs>
        <w:spacing w:line="276" w:lineRule="auto"/>
        <w:rPr>
          <w:rFonts w:cs="Arial"/>
          <w:i/>
          <w:color w:val="2E74B5" w:themeColor="accent1" w:themeShade="BF"/>
          <w:sz w:val="10"/>
          <w:szCs w:val="10"/>
        </w:rPr>
      </w:pPr>
    </w:p>
    <w:p w:rsidR="00995B21" w:rsidRPr="008779BF" w:rsidRDefault="00174C28" w:rsidP="00087B46">
      <w:pPr>
        <w:pStyle w:val="corte4fondo"/>
        <w:tabs>
          <w:tab w:val="left" w:pos="567"/>
        </w:tabs>
        <w:spacing w:line="276" w:lineRule="auto"/>
        <w:ind w:firstLine="0"/>
        <w:rPr>
          <w:color w:val="2E74B5" w:themeColor="accent1" w:themeShade="BF"/>
        </w:rPr>
      </w:pPr>
      <w:r w:rsidRPr="00CB569C">
        <w:rPr>
          <w:rFonts w:cs="Arial"/>
          <w:i/>
          <w:color w:val="2E74B5" w:themeColor="accent1" w:themeShade="BF"/>
          <w:sz w:val="10"/>
          <w:szCs w:val="10"/>
        </w:rPr>
        <w:t>L/MEMH</w:t>
      </w:r>
      <w:r w:rsidRPr="008779BF">
        <w:rPr>
          <w:rFonts w:cs="Arial"/>
          <w:i/>
          <w:color w:val="2E74B5" w:themeColor="accent1" w:themeShade="BF"/>
          <w:sz w:val="10"/>
          <w:szCs w:val="10"/>
        </w:rPr>
        <w:t xml:space="preserve"> </w:t>
      </w:r>
    </w:p>
    <w:sectPr w:rsidR="00995B21" w:rsidRPr="008779BF" w:rsidSect="00B04F4E">
      <w:headerReference w:type="default" r:id="rId13"/>
      <w:pgSz w:w="12242" w:h="20163" w:code="5"/>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8D1" w:rsidRDefault="00DC28D1" w:rsidP="00174C28">
      <w:pPr>
        <w:spacing w:after="0" w:line="240" w:lineRule="auto"/>
      </w:pPr>
      <w:r>
        <w:separator/>
      </w:r>
    </w:p>
  </w:endnote>
  <w:endnote w:type="continuationSeparator" w:id="0">
    <w:p w:rsidR="00DC28D1" w:rsidRDefault="00DC28D1" w:rsidP="0017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8D1" w:rsidRDefault="00DC28D1" w:rsidP="00174C28">
      <w:pPr>
        <w:spacing w:after="0" w:line="240" w:lineRule="auto"/>
      </w:pPr>
      <w:r>
        <w:separator/>
      </w:r>
    </w:p>
  </w:footnote>
  <w:footnote w:type="continuationSeparator" w:id="0">
    <w:p w:rsidR="00DC28D1" w:rsidRDefault="00DC28D1" w:rsidP="00174C28">
      <w:pPr>
        <w:spacing w:after="0" w:line="240" w:lineRule="auto"/>
      </w:pPr>
      <w:r>
        <w:continuationSeparator/>
      </w:r>
    </w:p>
  </w:footnote>
  <w:footnote w:id="1">
    <w:p w:rsidR="00174C28" w:rsidRPr="00DA1577" w:rsidRDefault="00174C28" w:rsidP="00174C28">
      <w:pPr>
        <w:pStyle w:val="Textonotapie"/>
        <w:jc w:val="both"/>
        <w:rPr>
          <w:rFonts w:ascii="Arial" w:hAnsi="Arial" w:cs="Arial"/>
          <w:sz w:val="16"/>
          <w:szCs w:val="16"/>
        </w:rPr>
      </w:pPr>
      <w:r w:rsidRPr="00752AE1">
        <w:rPr>
          <w:rStyle w:val="Refdenotaalpie"/>
          <w:rFonts w:ascii="Arial" w:hAnsi="Arial" w:cs="Arial"/>
          <w:color w:val="2E74B5" w:themeColor="accent1" w:themeShade="BF"/>
          <w:sz w:val="16"/>
          <w:szCs w:val="16"/>
        </w:rPr>
        <w:footnoteRef/>
      </w:r>
      <w:r w:rsidRPr="00752AE1">
        <w:rPr>
          <w:rFonts w:ascii="Arial" w:hAnsi="Arial" w:cs="Arial"/>
          <w:color w:val="2E74B5" w:themeColor="accent1" w:themeShade="BF"/>
          <w:sz w:val="16"/>
          <w:szCs w:val="16"/>
        </w:rPr>
        <w:t xml:space="preserve"> Visible en la foja 1 de autos. </w:t>
      </w:r>
    </w:p>
  </w:footnote>
  <w:footnote w:id="2">
    <w:p w:rsidR="00174C28" w:rsidRDefault="00174C28" w:rsidP="00174C28">
      <w:pPr>
        <w:pStyle w:val="Textonotapie"/>
      </w:pPr>
      <w:r w:rsidRPr="00752AE1">
        <w:rPr>
          <w:rStyle w:val="Refdenotaalpie"/>
          <w:color w:val="2E74B5" w:themeColor="accent1" w:themeShade="BF"/>
        </w:rPr>
        <w:footnoteRef/>
      </w:r>
      <w:r w:rsidRPr="00752AE1">
        <w:rPr>
          <w:color w:val="2E74B5" w:themeColor="accent1" w:themeShade="BF"/>
        </w:rPr>
        <w:t xml:space="preserve"> </w:t>
      </w:r>
      <w:r w:rsidRPr="00752AE1">
        <w:rPr>
          <w:rFonts w:ascii="Arial" w:hAnsi="Arial" w:cs="Arial"/>
          <w:color w:val="2E74B5" w:themeColor="accent1" w:themeShade="BF"/>
          <w:sz w:val="16"/>
          <w:szCs w:val="16"/>
        </w:rPr>
        <w:t xml:space="preserve">Visible en la foja 1 y 2 de autos. </w:t>
      </w:r>
    </w:p>
  </w:footnote>
  <w:footnote w:id="3">
    <w:p w:rsidR="0069204C" w:rsidRPr="00B10C25" w:rsidRDefault="0069204C" w:rsidP="0069204C">
      <w:pPr>
        <w:pStyle w:val="Default"/>
        <w:jc w:val="both"/>
        <w:rPr>
          <w:rFonts w:eastAsia="Arial Unicode MS"/>
          <w:sz w:val="14"/>
          <w:szCs w:val="14"/>
        </w:rPr>
      </w:pPr>
      <w:r w:rsidRPr="00B10C25">
        <w:rPr>
          <w:rStyle w:val="Refdenotaalpie"/>
          <w:rFonts w:eastAsia="Arial Unicode MS"/>
          <w:color w:val="2E74B5" w:themeColor="accent1" w:themeShade="BF"/>
          <w:sz w:val="14"/>
          <w:szCs w:val="14"/>
        </w:rPr>
        <w:footnoteRef/>
      </w:r>
      <w:r w:rsidRPr="00B10C25">
        <w:rPr>
          <w:rFonts w:eastAsia="Arial Unicode MS"/>
          <w:color w:val="2E74B5" w:themeColor="accent1" w:themeShade="BF"/>
          <w:sz w:val="14"/>
          <w:szCs w:val="14"/>
        </w:rPr>
        <w:t xml:space="preserve"> </w:t>
      </w:r>
      <w:r w:rsidRPr="00B10C25">
        <w:rPr>
          <w:rFonts w:eastAsia="Arial Unicode MS"/>
          <w:b/>
          <w:color w:val="2E74B5" w:themeColor="accent1" w:themeShade="BF"/>
          <w:sz w:val="14"/>
          <w:szCs w:val="14"/>
        </w:rPr>
        <w:t>ARTÍCULO 1°.</w:t>
      </w:r>
      <w:r w:rsidRPr="00B10C25">
        <w:rPr>
          <w:rFonts w:eastAsia="Arial Unicode MS"/>
          <w:color w:val="2E74B5" w:themeColor="accent1" w:themeShade="BF"/>
          <w:sz w:val="14"/>
          <w:szCs w:val="14"/>
        </w:rPr>
        <w:t xml:space="preserve"> – […] 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footnote>
  <w:footnote w:id="4">
    <w:p w:rsidR="000B2ACD" w:rsidRPr="00FA37DE" w:rsidRDefault="000B2ACD" w:rsidP="000B2ACD">
      <w:pPr>
        <w:pStyle w:val="Textonotapie"/>
        <w:rPr>
          <w:rFonts w:ascii="Arial" w:hAnsi="Arial" w:cs="Arial"/>
          <w:i/>
          <w:color w:val="2E74B5" w:themeColor="accent1" w:themeShade="BF"/>
          <w:sz w:val="16"/>
          <w:szCs w:val="16"/>
        </w:rPr>
      </w:pPr>
      <w:r w:rsidRPr="00FA37DE">
        <w:rPr>
          <w:rStyle w:val="Refdenotaalpie"/>
          <w:rFonts w:eastAsia="Arial Unicode MS"/>
          <w:color w:val="2E74B5" w:themeColor="accent1" w:themeShade="BF"/>
          <w:sz w:val="16"/>
          <w:szCs w:val="16"/>
        </w:rPr>
        <w:footnoteRef/>
      </w:r>
      <w:r w:rsidRPr="00FA37DE">
        <w:rPr>
          <w:color w:val="2E74B5" w:themeColor="accent1" w:themeShade="BF"/>
          <w:sz w:val="16"/>
          <w:szCs w:val="16"/>
        </w:rPr>
        <w:t xml:space="preserve"> </w:t>
      </w:r>
      <w:r w:rsidRPr="00FA37DE">
        <w:rPr>
          <w:rFonts w:ascii="Arial" w:hAnsi="Arial" w:cs="Arial"/>
          <w:i/>
          <w:color w:val="2E74B5" w:themeColor="accent1" w:themeShade="BF"/>
          <w:sz w:val="16"/>
          <w:szCs w:val="16"/>
        </w:rPr>
        <w:t xml:space="preserve">Cfr. Artículo 53 de la Ley de Transparencia y Acceso a la Información Pública. </w:t>
      </w:r>
    </w:p>
  </w:footnote>
  <w:footnote w:id="5">
    <w:p w:rsidR="000B2ACD" w:rsidRPr="000B0B4D" w:rsidRDefault="000B2ACD" w:rsidP="000B2ACD">
      <w:pPr>
        <w:pStyle w:val="Textonotapie"/>
        <w:rPr>
          <w:rFonts w:ascii="Arial" w:hAnsi="Arial" w:cs="Arial"/>
          <w:i/>
          <w:sz w:val="16"/>
          <w:szCs w:val="16"/>
        </w:rPr>
      </w:pPr>
      <w:r w:rsidRPr="000B0B4D">
        <w:rPr>
          <w:rStyle w:val="Refdenotaalpie"/>
          <w:color w:val="2E74B5" w:themeColor="accent1" w:themeShade="BF"/>
          <w:sz w:val="16"/>
          <w:szCs w:val="16"/>
        </w:rPr>
        <w:footnoteRef/>
      </w:r>
      <w:r w:rsidRPr="000B0B4D">
        <w:rPr>
          <w:color w:val="2E74B5" w:themeColor="accent1" w:themeShade="BF"/>
          <w:sz w:val="16"/>
          <w:szCs w:val="16"/>
        </w:rPr>
        <w:t xml:space="preserve"> </w:t>
      </w:r>
      <w:r w:rsidRPr="000B0B4D">
        <w:rPr>
          <w:rFonts w:ascii="Arial" w:hAnsi="Arial" w:cs="Arial"/>
          <w:i/>
          <w:color w:val="2E74B5" w:themeColor="accent1" w:themeShade="BF"/>
          <w:sz w:val="16"/>
          <w:szCs w:val="16"/>
        </w:rPr>
        <w:t xml:space="preserve">Cfr. Artículo 82 de la Ley de Transparencia y Acceso a la Información Pública del Estado de San Luis Potosí.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E930E6" w:rsidRDefault="00AA7491"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00446971" w:rsidRPr="00E930E6">
      <w:rPr>
        <w:rFonts w:ascii="Arial" w:hAnsi="Arial" w:cs="Arial"/>
        <w:color w:val="2E74B5" w:themeColor="accent1" w:themeShade="BF"/>
      </w:rPr>
      <w:fldChar w:fldCharType="begin"/>
    </w:r>
    <w:r w:rsidRPr="00E930E6">
      <w:rPr>
        <w:rFonts w:ascii="Arial" w:hAnsi="Arial" w:cs="Arial"/>
        <w:color w:val="2E74B5" w:themeColor="accent1" w:themeShade="BF"/>
      </w:rPr>
      <w:instrText xml:space="preserve"> PAGE   \* MERGEFORMAT </w:instrText>
    </w:r>
    <w:r w:rsidR="00446971" w:rsidRPr="00E930E6">
      <w:rPr>
        <w:rFonts w:ascii="Arial" w:hAnsi="Arial" w:cs="Arial"/>
        <w:color w:val="2E74B5" w:themeColor="accent1" w:themeShade="BF"/>
      </w:rPr>
      <w:fldChar w:fldCharType="separate"/>
    </w:r>
    <w:r w:rsidR="00037293">
      <w:rPr>
        <w:rFonts w:ascii="Arial" w:hAnsi="Arial" w:cs="Arial"/>
        <w:noProof/>
        <w:color w:val="2E74B5" w:themeColor="accent1" w:themeShade="BF"/>
      </w:rPr>
      <w:t>3</w:t>
    </w:r>
    <w:r w:rsidR="00446971" w:rsidRPr="00E930E6">
      <w:rPr>
        <w:rFonts w:ascii="Arial" w:hAnsi="Arial" w:cs="Arial"/>
        <w:color w:val="2E74B5" w:themeColor="accent1" w:themeShade="BF"/>
      </w:rPr>
      <w:fldChar w:fldCharType="end"/>
    </w:r>
    <w:r w:rsidRPr="00E930E6">
      <w:rPr>
        <w:rFonts w:ascii="Arial" w:hAnsi="Arial" w:cs="Arial"/>
        <w:color w:val="2E74B5" w:themeColor="accent1" w:themeShade="BF"/>
      </w:rPr>
      <w:t xml:space="preserve">                                          </w:t>
    </w:r>
    <w:r w:rsidRPr="00E930E6">
      <w:rPr>
        <w:rFonts w:ascii="Arial" w:hAnsi="Arial" w:cs="Arial"/>
        <w:color w:val="2E74B5" w:themeColor="accent1" w:themeShade="BF"/>
        <w:sz w:val="16"/>
        <w:szCs w:val="16"/>
      </w:rPr>
      <w:t xml:space="preserve">RECURSO DE REVISIÓN  </w:t>
    </w:r>
    <w:r w:rsidR="00202492">
      <w:rPr>
        <w:rFonts w:ascii="Arial" w:hAnsi="Arial" w:cs="Arial"/>
        <w:color w:val="2E74B5" w:themeColor="accent1" w:themeShade="BF"/>
        <w:sz w:val="16"/>
        <w:szCs w:val="16"/>
      </w:rPr>
      <w:t>590</w:t>
    </w:r>
    <w:r w:rsidRPr="00E930E6">
      <w:rPr>
        <w:rFonts w:ascii="Arial" w:hAnsi="Arial" w:cs="Arial"/>
        <w:color w:val="2E74B5" w:themeColor="accent1" w:themeShade="BF"/>
        <w:sz w:val="16"/>
        <w:szCs w:val="16"/>
      </w:rPr>
      <w:t>/2018</w:t>
    </w:r>
    <w:r w:rsidR="00202492">
      <w:rPr>
        <w:rFonts w:ascii="Arial" w:hAnsi="Arial" w:cs="Arial"/>
        <w:color w:val="2E74B5" w:themeColor="accent1" w:themeShade="BF"/>
        <w:sz w:val="16"/>
        <w:szCs w:val="16"/>
      </w:rPr>
      <w:t>-2</w:t>
    </w:r>
  </w:p>
  <w:p w:rsidR="00020E02" w:rsidRDefault="00AA7491">
    <w:pPr>
      <w:pStyle w:val="Encabezado"/>
    </w:pPr>
    <w:r>
      <w:t xml:space="preserve">       </w:t>
    </w:r>
  </w:p>
  <w:p w:rsidR="00020E02" w:rsidRDefault="00DC28D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3ADF"/>
    <w:multiLevelType w:val="hybridMultilevel"/>
    <w:tmpl w:val="572805B6"/>
    <w:lvl w:ilvl="0" w:tplc="080A0001">
      <w:start w:val="1"/>
      <w:numFmt w:val="bullet"/>
      <w:lvlText w:val=""/>
      <w:lvlJc w:val="left"/>
      <w:pPr>
        <w:ind w:left="1070" w:hanging="360"/>
      </w:pPr>
      <w:rPr>
        <w:rFonts w:ascii="Symbol" w:hAnsi="Symbol" w:hint="default"/>
      </w:rPr>
    </w:lvl>
    <w:lvl w:ilvl="1" w:tplc="080A0003" w:tentative="1">
      <w:start w:val="1"/>
      <w:numFmt w:val="bullet"/>
      <w:lvlText w:val="o"/>
      <w:lvlJc w:val="left"/>
      <w:pPr>
        <w:ind w:left="1790" w:hanging="360"/>
      </w:pPr>
      <w:rPr>
        <w:rFonts w:ascii="Courier New" w:hAnsi="Courier New" w:cs="Courier New" w:hint="default"/>
      </w:rPr>
    </w:lvl>
    <w:lvl w:ilvl="2" w:tplc="080A0005" w:tentative="1">
      <w:start w:val="1"/>
      <w:numFmt w:val="bullet"/>
      <w:lvlText w:val=""/>
      <w:lvlJc w:val="left"/>
      <w:pPr>
        <w:ind w:left="2510" w:hanging="360"/>
      </w:pPr>
      <w:rPr>
        <w:rFonts w:ascii="Wingdings" w:hAnsi="Wingdings" w:hint="default"/>
      </w:rPr>
    </w:lvl>
    <w:lvl w:ilvl="3" w:tplc="080A0001" w:tentative="1">
      <w:start w:val="1"/>
      <w:numFmt w:val="bullet"/>
      <w:lvlText w:val=""/>
      <w:lvlJc w:val="left"/>
      <w:pPr>
        <w:ind w:left="3230" w:hanging="360"/>
      </w:pPr>
      <w:rPr>
        <w:rFonts w:ascii="Symbol" w:hAnsi="Symbol" w:hint="default"/>
      </w:rPr>
    </w:lvl>
    <w:lvl w:ilvl="4" w:tplc="080A0003" w:tentative="1">
      <w:start w:val="1"/>
      <w:numFmt w:val="bullet"/>
      <w:lvlText w:val="o"/>
      <w:lvlJc w:val="left"/>
      <w:pPr>
        <w:ind w:left="3950" w:hanging="360"/>
      </w:pPr>
      <w:rPr>
        <w:rFonts w:ascii="Courier New" w:hAnsi="Courier New" w:cs="Courier New" w:hint="default"/>
      </w:rPr>
    </w:lvl>
    <w:lvl w:ilvl="5" w:tplc="080A0005" w:tentative="1">
      <w:start w:val="1"/>
      <w:numFmt w:val="bullet"/>
      <w:lvlText w:val=""/>
      <w:lvlJc w:val="left"/>
      <w:pPr>
        <w:ind w:left="4670" w:hanging="360"/>
      </w:pPr>
      <w:rPr>
        <w:rFonts w:ascii="Wingdings" w:hAnsi="Wingdings" w:hint="default"/>
      </w:rPr>
    </w:lvl>
    <w:lvl w:ilvl="6" w:tplc="080A0001" w:tentative="1">
      <w:start w:val="1"/>
      <w:numFmt w:val="bullet"/>
      <w:lvlText w:val=""/>
      <w:lvlJc w:val="left"/>
      <w:pPr>
        <w:ind w:left="5390" w:hanging="360"/>
      </w:pPr>
      <w:rPr>
        <w:rFonts w:ascii="Symbol" w:hAnsi="Symbol" w:hint="default"/>
      </w:rPr>
    </w:lvl>
    <w:lvl w:ilvl="7" w:tplc="080A0003" w:tentative="1">
      <w:start w:val="1"/>
      <w:numFmt w:val="bullet"/>
      <w:lvlText w:val="o"/>
      <w:lvlJc w:val="left"/>
      <w:pPr>
        <w:ind w:left="6110" w:hanging="360"/>
      </w:pPr>
      <w:rPr>
        <w:rFonts w:ascii="Courier New" w:hAnsi="Courier New" w:cs="Courier New" w:hint="default"/>
      </w:rPr>
    </w:lvl>
    <w:lvl w:ilvl="8" w:tplc="080A0005" w:tentative="1">
      <w:start w:val="1"/>
      <w:numFmt w:val="bullet"/>
      <w:lvlText w:val=""/>
      <w:lvlJc w:val="left"/>
      <w:pPr>
        <w:ind w:left="6830"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2600028"/>
    <w:multiLevelType w:val="hybridMultilevel"/>
    <w:tmpl w:val="36A82824"/>
    <w:lvl w:ilvl="0" w:tplc="63A65FCE">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F59645E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E982CED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5C70D1D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1E46B5B4">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6D80361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B40831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098ED02C">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9C8AF14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01A5988"/>
    <w:multiLevelType w:val="hybridMultilevel"/>
    <w:tmpl w:val="0A585554"/>
    <w:lvl w:ilvl="0" w:tplc="0798B60C">
      <w:start w:val="1"/>
      <w:numFmt w:val="upperRoman"/>
      <w:lvlText w:val="%1."/>
      <w:lvlJc w:val="left"/>
      <w:pPr>
        <w:ind w:left="281"/>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D88B5E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4F85CD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E52C7E9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EE48C6F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B88663D0">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93989C1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0E88E9A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71657C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96F6A90"/>
    <w:multiLevelType w:val="hybridMultilevel"/>
    <w:tmpl w:val="D8E44578"/>
    <w:lvl w:ilvl="0" w:tplc="7208FCD6">
      <w:start w:val="1"/>
      <w:numFmt w:val="upperRoman"/>
      <w:lvlText w:val="%1."/>
      <w:lvlJc w:val="left"/>
      <w:pPr>
        <w:ind w:left="27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4FD40BB2">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053C4592">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62C48F90">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0D76E6C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0A8CE3DE">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7B69C70">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D9D2C9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D90E57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54D53D26"/>
    <w:multiLevelType w:val="hybridMultilevel"/>
    <w:tmpl w:val="5AA86ECC"/>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9"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7"/>
  </w:num>
  <w:num w:numId="2">
    <w:abstractNumId w:val="4"/>
  </w:num>
  <w:num w:numId="3">
    <w:abstractNumId w:val="9"/>
  </w:num>
  <w:num w:numId="4">
    <w:abstractNumId w:val="1"/>
  </w:num>
  <w:num w:numId="5">
    <w:abstractNumId w:val="2"/>
  </w:num>
  <w:num w:numId="6">
    <w:abstractNumId w:val="5"/>
  </w:num>
  <w:num w:numId="7">
    <w:abstractNumId w:val="6"/>
  </w:num>
  <w:num w:numId="8">
    <w:abstractNumId w:val="3"/>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28"/>
    <w:rsid w:val="000128A4"/>
    <w:rsid w:val="000201F5"/>
    <w:rsid w:val="00037293"/>
    <w:rsid w:val="00042F08"/>
    <w:rsid w:val="00052A15"/>
    <w:rsid w:val="00082D53"/>
    <w:rsid w:val="00087B46"/>
    <w:rsid w:val="00096066"/>
    <w:rsid w:val="000B0B4D"/>
    <w:rsid w:val="000B2ACD"/>
    <w:rsid w:val="000D2656"/>
    <w:rsid w:val="000E2E48"/>
    <w:rsid w:val="000F0EAF"/>
    <w:rsid w:val="0014733D"/>
    <w:rsid w:val="00155DC6"/>
    <w:rsid w:val="00173C3B"/>
    <w:rsid w:val="00174C28"/>
    <w:rsid w:val="001E32C5"/>
    <w:rsid w:val="00202492"/>
    <w:rsid w:val="00204151"/>
    <w:rsid w:val="00240CCE"/>
    <w:rsid w:val="002C5E05"/>
    <w:rsid w:val="002E6A02"/>
    <w:rsid w:val="0030527C"/>
    <w:rsid w:val="00322987"/>
    <w:rsid w:val="00327E60"/>
    <w:rsid w:val="0036459D"/>
    <w:rsid w:val="00380357"/>
    <w:rsid w:val="003A2EC3"/>
    <w:rsid w:val="003A43E8"/>
    <w:rsid w:val="003D0F99"/>
    <w:rsid w:val="003E1CC4"/>
    <w:rsid w:val="00435085"/>
    <w:rsid w:val="00446971"/>
    <w:rsid w:val="00465EC0"/>
    <w:rsid w:val="00493DCB"/>
    <w:rsid w:val="004F04A3"/>
    <w:rsid w:val="005569FB"/>
    <w:rsid w:val="00592B47"/>
    <w:rsid w:val="005B2B8C"/>
    <w:rsid w:val="005E4A21"/>
    <w:rsid w:val="00665077"/>
    <w:rsid w:val="0069204C"/>
    <w:rsid w:val="006A6989"/>
    <w:rsid w:val="006B5101"/>
    <w:rsid w:val="006D099E"/>
    <w:rsid w:val="007116BD"/>
    <w:rsid w:val="00752AE1"/>
    <w:rsid w:val="00781C12"/>
    <w:rsid w:val="007B57B5"/>
    <w:rsid w:val="007F1F13"/>
    <w:rsid w:val="00862750"/>
    <w:rsid w:val="00865FA5"/>
    <w:rsid w:val="008779BF"/>
    <w:rsid w:val="008B0AB9"/>
    <w:rsid w:val="008B241E"/>
    <w:rsid w:val="00912631"/>
    <w:rsid w:val="00917F74"/>
    <w:rsid w:val="009418BF"/>
    <w:rsid w:val="0096037C"/>
    <w:rsid w:val="009726D4"/>
    <w:rsid w:val="009870C0"/>
    <w:rsid w:val="00995B21"/>
    <w:rsid w:val="00997CFC"/>
    <w:rsid w:val="009B5973"/>
    <w:rsid w:val="009D0867"/>
    <w:rsid w:val="00A11569"/>
    <w:rsid w:val="00A20123"/>
    <w:rsid w:val="00A8074F"/>
    <w:rsid w:val="00A91DAE"/>
    <w:rsid w:val="00AA7491"/>
    <w:rsid w:val="00AE22D6"/>
    <w:rsid w:val="00B04F4E"/>
    <w:rsid w:val="00B42EB5"/>
    <w:rsid w:val="00B51536"/>
    <w:rsid w:val="00B61A64"/>
    <w:rsid w:val="00B629EC"/>
    <w:rsid w:val="00BE56F4"/>
    <w:rsid w:val="00C27B43"/>
    <w:rsid w:val="00C44798"/>
    <w:rsid w:val="00CA10C6"/>
    <w:rsid w:val="00CA78B5"/>
    <w:rsid w:val="00CB569C"/>
    <w:rsid w:val="00CB6588"/>
    <w:rsid w:val="00CE75D5"/>
    <w:rsid w:val="00CF460D"/>
    <w:rsid w:val="00D149F5"/>
    <w:rsid w:val="00DB44EE"/>
    <w:rsid w:val="00DC28D1"/>
    <w:rsid w:val="00DC76D4"/>
    <w:rsid w:val="00E615A5"/>
    <w:rsid w:val="00E83C75"/>
    <w:rsid w:val="00E96A8A"/>
    <w:rsid w:val="00EB3864"/>
    <w:rsid w:val="00ED5C9F"/>
    <w:rsid w:val="00F02130"/>
    <w:rsid w:val="00F21954"/>
    <w:rsid w:val="00F26056"/>
    <w:rsid w:val="00F42803"/>
    <w:rsid w:val="00F510B3"/>
    <w:rsid w:val="00F60037"/>
    <w:rsid w:val="00F954A6"/>
    <w:rsid w:val="00FA0ABD"/>
    <w:rsid w:val="00FA37DE"/>
    <w:rsid w:val="00FC50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08123-340A-462C-84B8-9A6F43602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C2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74C28"/>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74C28"/>
    <w:rPr>
      <w:rFonts w:ascii="Calibri" w:eastAsia="Calibri" w:hAnsi="Calibri" w:cs="Times New Roman"/>
      <w:sz w:val="20"/>
      <w:szCs w:val="20"/>
    </w:rPr>
  </w:style>
  <w:style w:type="paragraph" w:styleId="Encabezado">
    <w:name w:val="header"/>
    <w:basedOn w:val="Normal"/>
    <w:link w:val="EncabezadoCar"/>
    <w:unhideWhenUsed/>
    <w:rsid w:val="00174C28"/>
    <w:pPr>
      <w:tabs>
        <w:tab w:val="center" w:pos="4419"/>
        <w:tab w:val="right" w:pos="8838"/>
      </w:tabs>
      <w:spacing w:after="0" w:line="240" w:lineRule="auto"/>
    </w:pPr>
  </w:style>
  <w:style w:type="character" w:customStyle="1" w:styleId="EncabezadoCar">
    <w:name w:val="Encabezado Car"/>
    <w:basedOn w:val="Fuentedeprrafopredeter"/>
    <w:link w:val="Encabezado"/>
    <w:rsid w:val="00174C28"/>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174C28"/>
    <w:rPr>
      <w:vertAlign w:val="superscript"/>
    </w:rPr>
  </w:style>
  <w:style w:type="paragraph" w:customStyle="1" w:styleId="corte4fondo">
    <w:name w:val="corte4 fondo"/>
    <w:basedOn w:val="Normal"/>
    <w:link w:val="corte4fondoCar1"/>
    <w:qFormat/>
    <w:rsid w:val="00174C28"/>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174C28"/>
    <w:rPr>
      <w:rFonts w:ascii="Arial" w:eastAsia="Times New Roman" w:hAnsi="Arial" w:cs="Times New Roman"/>
      <w:sz w:val="30"/>
      <w:szCs w:val="20"/>
      <w:lang w:eastAsia="es-MX"/>
    </w:rPr>
  </w:style>
  <w:style w:type="paragraph" w:styleId="Prrafodelista">
    <w:name w:val="List Paragraph"/>
    <w:basedOn w:val="Normal"/>
    <w:uiPriority w:val="34"/>
    <w:qFormat/>
    <w:rsid w:val="00174C28"/>
    <w:pPr>
      <w:spacing w:after="200" w:line="276" w:lineRule="auto"/>
      <w:ind w:left="708"/>
    </w:pPr>
  </w:style>
  <w:style w:type="character" w:styleId="Hipervnculo">
    <w:name w:val="Hyperlink"/>
    <w:basedOn w:val="Fuentedeprrafopredeter"/>
    <w:uiPriority w:val="99"/>
    <w:unhideWhenUsed/>
    <w:rsid w:val="00174C28"/>
    <w:rPr>
      <w:color w:val="0000FF"/>
      <w:u w:val="single"/>
    </w:rPr>
  </w:style>
  <w:style w:type="paragraph" w:styleId="NormalWeb">
    <w:name w:val="Normal (Web)"/>
    <w:basedOn w:val="Normal"/>
    <w:uiPriority w:val="99"/>
    <w:rsid w:val="00174C28"/>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174C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4C28"/>
    <w:rPr>
      <w:rFonts w:ascii="Calibri" w:eastAsia="Calibri" w:hAnsi="Calibri" w:cs="Times New Roman"/>
    </w:rPr>
  </w:style>
  <w:style w:type="paragraph" w:styleId="Textodeglobo">
    <w:name w:val="Balloon Text"/>
    <w:basedOn w:val="Normal"/>
    <w:link w:val="TextodegloboCar"/>
    <w:uiPriority w:val="99"/>
    <w:semiHidden/>
    <w:unhideWhenUsed/>
    <w:rsid w:val="00E615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15A5"/>
    <w:rPr>
      <w:rFonts w:ascii="Tahoma" w:eastAsia="Calibri" w:hAnsi="Tahoma" w:cs="Tahoma"/>
      <w:sz w:val="16"/>
      <w:szCs w:val="16"/>
    </w:rPr>
  </w:style>
  <w:style w:type="paragraph" w:customStyle="1" w:styleId="Default">
    <w:name w:val="Default"/>
    <w:rsid w:val="00240CCE"/>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xmsonormal">
    <w:name w:val="x_msonormal"/>
    <w:basedOn w:val="Normal"/>
    <w:rsid w:val="0069204C"/>
    <w:pPr>
      <w:spacing w:before="100" w:beforeAutospacing="1" w:after="100" w:afterAutospacing="1" w:line="240" w:lineRule="auto"/>
    </w:pPr>
    <w:rPr>
      <w:rFonts w:ascii="Times New Roman" w:eastAsia="Times New Roman" w:hAnsi="Times New Roman"/>
      <w:sz w:val="24"/>
      <w:szCs w:val="24"/>
      <w:lang w:eastAsia="es-MX"/>
    </w:rPr>
  </w:style>
  <w:style w:type="paragraph" w:styleId="Textoindependiente">
    <w:name w:val="Body Text"/>
    <w:basedOn w:val="Normal"/>
    <w:link w:val="TextoindependienteCar"/>
    <w:uiPriority w:val="99"/>
    <w:semiHidden/>
    <w:unhideWhenUsed/>
    <w:rsid w:val="000B2ACD"/>
    <w:pPr>
      <w:spacing w:after="120"/>
    </w:pPr>
  </w:style>
  <w:style w:type="character" w:customStyle="1" w:styleId="TextoindependienteCar">
    <w:name w:val="Texto independiente Car"/>
    <w:basedOn w:val="Fuentedeprrafopredeter"/>
    <w:link w:val="Textoindependiente"/>
    <w:uiPriority w:val="99"/>
    <w:semiHidden/>
    <w:rsid w:val="000B2ACD"/>
    <w:rPr>
      <w:rFonts w:ascii="Calibri" w:eastAsia="Calibri" w:hAnsi="Calibri" w:cs="Times New Roman"/>
    </w:rPr>
  </w:style>
  <w:style w:type="paragraph" w:styleId="Textoindependienteprimerasangra">
    <w:name w:val="Body Text First Indent"/>
    <w:basedOn w:val="Textoindependiente"/>
    <w:link w:val="TextoindependienteprimerasangraCar"/>
    <w:rsid w:val="000B2ACD"/>
    <w:pPr>
      <w:spacing w:line="360" w:lineRule="auto"/>
      <w:ind w:firstLine="210"/>
      <w:jc w:val="both"/>
    </w:pPr>
    <w:rPr>
      <w:rFonts w:asciiTheme="minorHAnsi" w:eastAsia="Times New Roman" w:hAnsiTheme="minorHAnsi"/>
      <w:sz w:val="26"/>
      <w:szCs w:val="24"/>
      <w:lang w:val="es-ES" w:eastAsia="es-ES"/>
    </w:rPr>
  </w:style>
  <w:style w:type="character" w:customStyle="1" w:styleId="TextoindependienteprimerasangraCar">
    <w:name w:val="Texto independiente primera sangría Car"/>
    <w:basedOn w:val="TextoindependienteCar"/>
    <w:link w:val="Textoindependienteprimerasangra"/>
    <w:rsid w:val="000B2ACD"/>
    <w:rPr>
      <w:rFonts w:ascii="Calibri" w:eastAsia="Times New Roman" w:hAnsi="Calibri" w:cs="Times New Roman"/>
      <w:sz w:val="26"/>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72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1</Pages>
  <Words>4290</Words>
  <Characters>23599</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25</cp:revision>
  <dcterms:created xsi:type="dcterms:W3CDTF">2018-09-04T16:56:00Z</dcterms:created>
  <dcterms:modified xsi:type="dcterms:W3CDTF">2018-10-09T14:14:00Z</dcterms:modified>
</cp:coreProperties>
</file>