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62D" w:rsidRPr="00CA76E0" w:rsidRDefault="009B76FF" w:rsidP="00CA76E0">
      <w:pPr>
        <w:tabs>
          <w:tab w:val="left" w:pos="7275"/>
        </w:tabs>
        <w:spacing w:after="0" w:line="276" w:lineRule="auto"/>
        <w:jc w:val="both"/>
        <w:rPr>
          <w:rFonts w:ascii="Arial" w:eastAsia="Times New Roman" w:hAnsi="Arial" w:cs="Arial"/>
          <w:b/>
          <w:caps/>
          <w:color w:val="2E74B5" w:themeColor="accent1" w:themeShade="BF"/>
          <w:sz w:val="24"/>
          <w:szCs w:val="24"/>
          <w:lang w:eastAsia="es-MX"/>
        </w:rPr>
      </w:pPr>
      <w:r>
        <w:rPr>
          <w:rFonts w:ascii="Arial" w:eastAsia="Times New Roman" w:hAnsi="Arial" w:cs="Arial"/>
          <w:b/>
          <w:caps/>
          <w:color w:val="2E74B5" w:themeColor="accent1" w:themeShade="BF"/>
          <w:sz w:val="24"/>
          <w:szCs w:val="24"/>
          <w:lang w:eastAsia="es-MX"/>
        </w:rPr>
        <w:t xml:space="preserve">                                                                                                                                                    </w:t>
      </w:r>
    </w:p>
    <w:p w:rsidR="0010262D" w:rsidRPr="008E25ED" w:rsidRDefault="0010262D" w:rsidP="00CA76E0">
      <w:pPr>
        <w:pStyle w:val="corte1datos"/>
        <w:tabs>
          <w:tab w:val="left" w:pos="4820"/>
        </w:tabs>
        <w:spacing w:line="276" w:lineRule="auto"/>
        <w:jc w:val="right"/>
        <w:rPr>
          <w:rFonts w:cs="Arial"/>
          <w:color w:val="2E74B5" w:themeColor="accent1" w:themeShade="BF"/>
          <w:sz w:val="24"/>
          <w:szCs w:val="24"/>
        </w:rPr>
      </w:pPr>
      <w:r w:rsidRPr="008E25ED">
        <w:rPr>
          <w:rFonts w:cs="Arial"/>
          <w:color w:val="2E74B5" w:themeColor="accent1" w:themeShade="BF"/>
          <w:sz w:val="24"/>
          <w:szCs w:val="24"/>
        </w:rPr>
        <w:t>RECURSO DE REVISIÓN 317</w:t>
      </w:r>
      <w:r w:rsidRPr="008E25ED">
        <w:rPr>
          <w:rFonts w:cs="Arial"/>
          <w:color w:val="2E74B5" w:themeColor="accent1" w:themeShade="BF"/>
          <w:sz w:val="24"/>
          <w:szCs w:val="24"/>
          <w:lang w:val="es-MX"/>
        </w:rPr>
        <w:t>/</w:t>
      </w:r>
      <w:r w:rsidRPr="008E25ED">
        <w:rPr>
          <w:rFonts w:cs="Arial"/>
          <w:color w:val="2E74B5" w:themeColor="accent1" w:themeShade="BF"/>
          <w:sz w:val="24"/>
          <w:szCs w:val="24"/>
        </w:rPr>
        <w:t>201</w:t>
      </w:r>
      <w:r w:rsidRPr="008E25ED">
        <w:rPr>
          <w:rFonts w:cs="Arial"/>
          <w:color w:val="2E74B5" w:themeColor="accent1" w:themeShade="BF"/>
          <w:sz w:val="24"/>
          <w:szCs w:val="24"/>
          <w:lang w:val="es-MX"/>
        </w:rPr>
        <w:t>8</w:t>
      </w:r>
      <w:r w:rsidR="00C0737C" w:rsidRPr="008E25ED">
        <w:rPr>
          <w:rFonts w:cs="Arial"/>
          <w:color w:val="2E74B5" w:themeColor="accent1" w:themeShade="BF"/>
          <w:sz w:val="24"/>
          <w:szCs w:val="24"/>
          <w:lang w:val="es-MX"/>
        </w:rPr>
        <w:t>-2</w:t>
      </w:r>
      <w:r w:rsidRPr="008E25ED">
        <w:rPr>
          <w:rFonts w:cs="Arial"/>
          <w:color w:val="2E74B5" w:themeColor="accent1" w:themeShade="BF"/>
          <w:sz w:val="24"/>
          <w:szCs w:val="24"/>
        </w:rPr>
        <w:t>.</w:t>
      </w:r>
    </w:p>
    <w:p w:rsidR="0010262D" w:rsidRPr="008E25ED" w:rsidRDefault="00B60D05" w:rsidP="00CA76E0">
      <w:pPr>
        <w:pStyle w:val="corte1datos"/>
        <w:spacing w:line="276" w:lineRule="auto"/>
        <w:jc w:val="right"/>
        <w:rPr>
          <w:rFonts w:cs="Arial"/>
          <w:color w:val="2E74B5" w:themeColor="accent1" w:themeShade="BF"/>
          <w:sz w:val="24"/>
          <w:szCs w:val="24"/>
          <w:lang w:val="es-MX"/>
        </w:rPr>
      </w:pPr>
      <w:r w:rsidRPr="008E25ED">
        <w:rPr>
          <w:rFonts w:cs="Arial"/>
          <w:color w:val="2E74B5" w:themeColor="accent1" w:themeShade="BF"/>
          <w:sz w:val="24"/>
          <w:szCs w:val="24"/>
          <w:lang w:val="es-MX"/>
        </w:rPr>
        <w:t xml:space="preserve"> </w:t>
      </w:r>
    </w:p>
    <w:p w:rsidR="0010262D" w:rsidRPr="008E25ED" w:rsidRDefault="0010262D" w:rsidP="00CA76E0">
      <w:pPr>
        <w:pStyle w:val="corte1datos"/>
        <w:spacing w:line="276" w:lineRule="auto"/>
        <w:jc w:val="right"/>
        <w:rPr>
          <w:rFonts w:cs="Arial"/>
          <w:color w:val="2E74B5" w:themeColor="accent1" w:themeShade="BF"/>
          <w:sz w:val="24"/>
          <w:szCs w:val="24"/>
        </w:rPr>
      </w:pPr>
    </w:p>
    <w:p w:rsidR="0010262D" w:rsidRPr="008E25ED" w:rsidRDefault="0010262D" w:rsidP="00CA76E0">
      <w:pPr>
        <w:pStyle w:val="corte1datos"/>
        <w:spacing w:line="276" w:lineRule="auto"/>
        <w:jc w:val="right"/>
        <w:rPr>
          <w:rFonts w:cs="Arial"/>
          <w:color w:val="2E74B5" w:themeColor="accent1" w:themeShade="BF"/>
          <w:sz w:val="24"/>
          <w:szCs w:val="24"/>
          <w:lang w:val="es-MX"/>
        </w:rPr>
      </w:pPr>
    </w:p>
    <w:p w:rsidR="0010262D" w:rsidRPr="008E25ED" w:rsidRDefault="0010262D" w:rsidP="00CA76E0">
      <w:pPr>
        <w:spacing w:after="0" w:line="276" w:lineRule="auto"/>
        <w:jc w:val="right"/>
        <w:rPr>
          <w:rFonts w:ascii="Arial" w:eastAsia="Times New Roman" w:hAnsi="Arial" w:cs="Arial"/>
          <w:b/>
          <w:caps/>
          <w:color w:val="2E74B5" w:themeColor="accent1" w:themeShade="BF"/>
          <w:sz w:val="24"/>
          <w:szCs w:val="24"/>
          <w:lang w:eastAsia="es-MX"/>
        </w:rPr>
      </w:pPr>
      <w:r w:rsidRPr="008E25ED">
        <w:rPr>
          <w:rFonts w:ascii="Arial" w:eastAsia="Times New Roman" w:hAnsi="Arial" w:cs="Arial"/>
          <w:b/>
          <w:caps/>
          <w:color w:val="2E74B5" w:themeColor="accent1" w:themeShade="BF"/>
          <w:sz w:val="24"/>
          <w:szCs w:val="24"/>
          <w:lang w:eastAsia="es-MX"/>
        </w:rPr>
        <w:t xml:space="preserve">COMISIONADO PONENTE: </w:t>
      </w:r>
    </w:p>
    <w:p w:rsidR="0010262D" w:rsidRPr="008E25ED" w:rsidRDefault="0010262D" w:rsidP="00CA76E0">
      <w:pPr>
        <w:spacing w:after="0" w:line="276" w:lineRule="auto"/>
        <w:jc w:val="right"/>
        <w:rPr>
          <w:rFonts w:ascii="Arial" w:eastAsia="Times New Roman" w:hAnsi="Arial" w:cs="Arial"/>
          <w:b/>
          <w:caps/>
          <w:color w:val="2E74B5" w:themeColor="accent1" w:themeShade="BF"/>
          <w:sz w:val="24"/>
          <w:szCs w:val="24"/>
          <w:lang w:eastAsia="es-MX"/>
        </w:rPr>
      </w:pPr>
      <w:r w:rsidRPr="008E25ED">
        <w:rPr>
          <w:rFonts w:ascii="Arial" w:eastAsia="Times New Roman" w:hAnsi="Arial" w:cs="Arial"/>
          <w:b/>
          <w:caps/>
          <w:color w:val="2E74B5" w:themeColor="accent1" w:themeShade="BF"/>
          <w:sz w:val="24"/>
          <w:szCs w:val="24"/>
          <w:lang w:eastAsia="es-MX"/>
        </w:rPr>
        <w:t xml:space="preserve">Paulina Sánchez PÉREZ DEL POZO </w:t>
      </w:r>
    </w:p>
    <w:p w:rsidR="0010262D" w:rsidRPr="008E25ED" w:rsidRDefault="0010262D" w:rsidP="00CA76E0">
      <w:pPr>
        <w:spacing w:after="0" w:line="276" w:lineRule="auto"/>
        <w:jc w:val="right"/>
        <w:rPr>
          <w:rFonts w:ascii="Arial" w:eastAsia="Times New Roman" w:hAnsi="Arial" w:cs="Arial"/>
          <w:b/>
          <w:caps/>
          <w:color w:val="2E74B5" w:themeColor="accent1" w:themeShade="BF"/>
          <w:sz w:val="24"/>
          <w:szCs w:val="24"/>
          <w:lang w:eastAsia="es-MX"/>
        </w:rPr>
      </w:pPr>
    </w:p>
    <w:p w:rsidR="0010262D" w:rsidRPr="008E25ED" w:rsidRDefault="0010262D" w:rsidP="00CA76E0">
      <w:pPr>
        <w:spacing w:after="0" w:line="276" w:lineRule="auto"/>
        <w:jc w:val="right"/>
        <w:rPr>
          <w:rFonts w:ascii="Arial" w:eastAsia="Times New Roman" w:hAnsi="Arial" w:cs="Arial"/>
          <w:b/>
          <w:caps/>
          <w:color w:val="2E74B5" w:themeColor="accent1" w:themeShade="BF"/>
          <w:sz w:val="24"/>
          <w:szCs w:val="24"/>
          <w:lang w:eastAsia="es-MX"/>
        </w:rPr>
      </w:pPr>
      <w:r w:rsidRPr="008E25ED">
        <w:rPr>
          <w:rFonts w:ascii="Arial" w:eastAsia="Times New Roman" w:hAnsi="Arial" w:cs="Arial"/>
          <w:b/>
          <w:caps/>
          <w:color w:val="2E74B5" w:themeColor="accent1" w:themeShade="BF"/>
          <w:sz w:val="24"/>
          <w:szCs w:val="24"/>
          <w:lang w:eastAsia="es-MX"/>
        </w:rPr>
        <w:t>MATERIA:</w:t>
      </w:r>
    </w:p>
    <w:p w:rsidR="0010262D" w:rsidRPr="008E25ED" w:rsidRDefault="0010262D" w:rsidP="00CA76E0">
      <w:pPr>
        <w:spacing w:after="0" w:line="276" w:lineRule="auto"/>
        <w:jc w:val="right"/>
        <w:rPr>
          <w:rFonts w:ascii="Arial" w:eastAsia="Times New Roman" w:hAnsi="Arial" w:cs="Arial"/>
          <w:b/>
          <w:caps/>
          <w:color w:val="2E74B5" w:themeColor="accent1" w:themeShade="BF"/>
          <w:sz w:val="24"/>
          <w:szCs w:val="24"/>
          <w:lang w:eastAsia="es-MX"/>
        </w:rPr>
      </w:pPr>
      <w:r w:rsidRPr="008E25ED">
        <w:rPr>
          <w:rFonts w:ascii="Arial" w:eastAsia="Times New Roman" w:hAnsi="Arial" w:cs="Arial"/>
          <w:b/>
          <w:caps/>
          <w:color w:val="2E74B5" w:themeColor="accent1" w:themeShade="BF"/>
          <w:sz w:val="24"/>
          <w:szCs w:val="24"/>
          <w:lang w:eastAsia="es-MX"/>
        </w:rPr>
        <w:t>ACCESO A LA INFORMACIÓN PÚBLICA</w:t>
      </w:r>
    </w:p>
    <w:p w:rsidR="0010262D" w:rsidRPr="008E25ED" w:rsidRDefault="0010262D" w:rsidP="00CA76E0">
      <w:pPr>
        <w:spacing w:after="0" w:line="276" w:lineRule="auto"/>
        <w:jc w:val="right"/>
        <w:rPr>
          <w:rFonts w:ascii="Arial" w:eastAsia="Times New Roman" w:hAnsi="Arial" w:cs="Arial"/>
          <w:b/>
          <w:caps/>
          <w:color w:val="2E74B5" w:themeColor="accent1" w:themeShade="BF"/>
          <w:sz w:val="24"/>
          <w:szCs w:val="24"/>
          <w:lang w:eastAsia="es-MX"/>
        </w:rPr>
      </w:pPr>
    </w:p>
    <w:p w:rsidR="0010262D" w:rsidRPr="008E25ED" w:rsidRDefault="0010262D" w:rsidP="00CA76E0">
      <w:pPr>
        <w:spacing w:after="0" w:line="276" w:lineRule="auto"/>
        <w:jc w:val="right"/>
        <w:rPr>
          <w:rFonts w:ascii="Arial" w:eastAsia="Times New Roman" w:hAnsi="Arial" w:cs="Arial"/>
          <w:b/>
          <w:caps/>
          <w:color w:val="2E74B5" w:themeColor="accent1" w:themeShade="BF"/>
          <w:sz w:val="24"/>
          <w:szCs w:val="24"/>
          <w:lang w:eastAsia="es-MX"/>
        </w:rPr>
      </w:pPr>
      <w:r w:rsidRPr="008E25ED">
        <w:rPr>
          <w:rFonts w:ascii="Arial" w:eastAsia="Times New Roman" w:hAnsi="Arial" w:cs="Arial"/>
          <w:b/>
          <w:caps/>
          <w:color w:val="2E74B5" w:themeColor="accent1" w:themeShade="BF"/>
          <w:sz w:val="24"/>
          <w:szCs w:val="24"/>
          <w:lang w:eastAsia="es-MX"/>
        </w:rPr>
        <w:t>SUJETO OBLIGADO:</w:t>
      </w:r>
    </w:p>
    <w:p w:rsidR="0010262D" w:rsidRPr="008E25ED" w:rsidRDefault="0010262D" w:rsidP="00CA76E0">
      <w:pPr>
        <w:pStyle w:val="corte2ponente"/>
        <w:spacing w:line="276" w:lineRule="auto"/>
        <w:jc w:val="both"/>
        <w:rPr>
          <w:rFonts w:cs="Arial"/>
          <w:color w:val="2E74B5" w:themeColor="accent1" w:themeShade="BF"/>
          <w:sz w:val="24"/>
          <w:szCs w:val="24"/>
        </w:rPr>
      </w:pPr>
      <w:r w:rsidRPr="008E25ED">
        <w:rPr>
          <w:rFonts w:cs="Arial"/>
          <w:color w:val="2E74B5" w:themeColor="accent1" w:themeShade="BF"/>
          <w:sz w:val="24"/>
          <w:szCs w:val="24"/>
          <w:lang w:val="es-MX"/>
        </w:rPr>
        <w:t>GOBIERNO DEL ESTADO DE SAN LUIS POTOSÍ, POR CONDUCTO DE LA SECRETARÍA DE FINANZAS.</w:t>
      </w:r>
    </w:p>
    <w:p w:rsidR="0010262D" w:rsidRPr="008E25ED" w:rsidRDefault="0010262D" w:rsidP="00CA76E0">
      <w:pPr>
        <w:spacing w:after="0" w:line="276" w:lineRule="auto"/>
        <w:jc w:val="right"/>
        <w:rPr>
          <w:rFonts w:ascii="Arial" w:eastAsia="Times New Roman" w:hAnsi="Arial" w:cs="Arial"/>
          <w:b/>
          <w:caps/>
          <w:color w:val="2E74B5" w:themeColor="accent1" w:themeShade="BF"/>
          <w:sz w:val="24"/>
          <w:szCs w:val="24"/>
          <w:lang w:eastAsia="es-MX"/>
        </w:rPr>
      </w:pPr>
    </w:p>
    <w:p w:rsidR="0010262D" w:rsidRPr="008E25ED" w:rsidRDefault="0010262D" w:rsidP="00CA76E0">
      <w:pPr>
        <w:pStyle w:val="corte2ponente"/>
        <w:spacing w:line="276" w:lineRule="auto"/>
        <w:rPr>
          <w:rFonts w:cs="Arial"/>
          <w:color w:val="2E74B5" w:themeColor="accent1" w:themeShade="BF"/>
          <w:sz w:val="24"/>
          <w:szCs w:val="24"/>
          <w:lang w:val="es-MX"/>
        </w:rPr>
      </w:pPr>
    </w:p>
    <w:p w:rsidR="0010262D" w:rsidRPr="008E25ED" w:rsidRDefault="0010262D" w:rsidP="00CA76E0">
      <w:pPr>
        <w:pStyle w:val="corte2ponente"/>
        <w:spacing w:line="276" w:lineRule="auto"/>
        <w:rPr>
          <w:rFonts w:cs="Arial"/>
          <w:color w:val="2E74B5" w:themeColor="accent1" w:themeShade="BF"/>
          <w:sz w:val="24"/>
          <w:szCs w:val="24"/>
          <w:lang w:val="es-MX"/>
        </w:rPr>
      </w:pPr>
    </w:p>
    <w:p w:rsidR="0010262D" w:rsidRPr="008E25ED" w:rsidRDefault="0010262D" w:rsidP="00CA76E0">
      <w:pPr>
        <w:pStyle w:val="corte2ponente"/>
        <w:spacing w:line="276" w:lineRule="auto"/>
        <w:rPr>
          <w:rFonts w:cs="Arial"/>
          <w:color w:val="2E74B5" w:themeColor="accent1" w:themeShade="BF"/>
          <w:sz w:val="24"/>
          <w:szCs w:val="24"/>
          <w:lang w:val="es-MX"/>
        </w:rPr>
      </w:pPr>
    </w:p>
    <w:p w:rsidR="0010262D" w:rsidRPr="008E25ED" w:rsidRDefault="0010262D" w:rsidP="00CA76E0">
      <w:pPr>
        <w:pStyle w:val="corte4fondo"/>
        <w:spacing w:line="276" w:lineRule="auto"/>
        <w:ind w:firstLine="0"/>
        <w:rPr>
          <w:rFonts w:cs="Arial"/>
          <w:b/>
          <w:color w:val="2E74B5" w:themeColor="accent1" w:themeShade="BF"/>
          <w:sz w:val="24"/>
          <w:szCs w:val="24"/>
          <w:vertAlign w:val="subscript"/>
        </w:rPr>
      </w:pPr>
      <w:r w:rsidRPr="008E25ED">
        <w:rPr>
          <w:rFonts w:cs="Arial"/>
          <w:color w:val="2E74B5" w:themeColor="accent1" w:themeShade="BF"/>
          <w:sz w:val="24"/>
          <w:szCs w:val="24"/>
        </w:rPr>
        <w:tab/>
        <w:t>San Luis Potosí, San Luis Potosí. Acuerdo del Pleno de la Comisión Estatal de Garantía de Acceso a la Información Pública, correspondiente a la sesión del 11</w:t>
      </w:r>
      <w:r w:rsidR="00762892" w:rsidRPr="008E25ED">
        <w:rPr>
          <w:rFonts w:cs="Arial"/>
          <w:color w:val="2E74B5" w:themeColor="accent1" w:themeShade="BF"/>
          <w:sz w:val="24"/>
          <w:szCs w:val="24"/>
        </w:rPr>
        <w:t xml:space="preserve"> once</w:t>
      </w:r>
      <w:r w:rsidRPr="008E25ED">
        <w:rPr>
          <w:rFonts w:cs="Arial"/>
          <w:color w:val="2E74B5" w:themeColor="accent1" w:themeShade="BF"/>
          <w:sz w:val="24"/>
          <w:szCs w:val="24"/>
        </w:rPr>
        <w:t xml:space="preserve"> de julio de 2018 dos mil dieciocho.</w:t>
      </w:r>
      <w:r w:rsidRPr="008E25ED">
        <w:rPr>
          <w:rFonts w:cs="Arial"/>
          <w:b/>
          <w:color w:val="2E74B5" w:themeColor="accent1" w:themeShade="BF"/>
          <w:sz w:val="24"/>
          <w:szCs w:val="24"/>
          <w:vertAlign w:val="subscript"/>
        </w:rPr>
        <w:t xml:space="preserve"> </w:t>
      </w:r>
    </w:p>
    <w:p w:rsidR="0010262D" w:rsidRPr="008E25ED" w:rsidRDefault="0010262D" w:rsidP="00CA76E0">
      <w:pPr>
        <w:pStyle w:val="corte4fondo"/>
        <w:spacing w:line="276" w:lineRule="auto"/>
        <w:ind w:firstLine="0"/>
        <w:rPr>
          <w:rFonts w:cs="Arial"/>
          <w:b/>
          <w:color w:val="2E74B5" w:themeColor="accent1" w:themeShade="BF"/>
          <w:sz w:val="24"/>
          <w:szCs w:val="24"/>
        </w:rPr>
      </w:pPr>
    </w:p>
    <w:p w:rsidR="0010262D" w:rsidRPr="008E25ED" w:rsidRDefault="0010262D" w:rsidP="00CA76E0">
      <w:pPr>
        <w:pStyle w:val="corte4fondo"/>
        <w:spacing w:line="276" w:lineRule="auto"/>
        <w:rPr>
          <w:rFonts w:cs="Arial"/>
          <w:color w:val="2E74B5" w:themeColor="accent1" w:themeShade="BF"/>
          <w:sz w:val="24"/>
          <w:szCs w:val="24"/>
        </w:rPr>
      </w:pPr>
      <w:r w:rsidRPr="008E25ED">
        <w:rPr>
          <w:rFonts w:cs="Arial"/>
          <w:b/>
          <w:color w:val="2E74B5" w:themeColor="accent1" w:themeShade="BF"/>
          <w:sz w:val="24"/>
          <w:szCs w:val="24"/>
        </w:rPr>
        <w:t>VISTOS</w:t>
      </w:r>
      <w:r w:rsidRPr="008E25ED">
        <w:rPr>
          <w:rFonts w:cs="Arial"/>
          <w:color w:val="2E74B5" w:themeColor="accent1" w:themeShade="BF"/>
          <w:sz w:val="24"/>
          <w:szCs w:val="24"/>
        </w:rPr>
        <w:t>, para resolver, los autos del recurso de revisión identificado al rubro; y</w:t>
      </w:r>
    </w:p>
    <w:p w:rsidR="0010262D" w:rsidRPr="008E25ED" w:rsidRDefault="0010262D" w:rsidP="00CA76E0">
      <w:pPr>
        <w:pStyle w:val="corte4fondo"/>
        <w:spacing w:line="276" w:lineRule="auto"/>
        <w:rPr>
          <w:rFonts w:cs="Arial"/>
          <w:color w:val="2E74B5" w:themeColor="accent1" w:themeShade="BF"/>
          <w:sz w:val="24"/>
          <w:szCs w:val="24"/>
        </w:rPr>
      </w:pPr>
    </w:p>
    <w:p w:rsidR="0010262D" w:rsidRPr="008E25ED" w:rsidRDefault="0010262D" w:rsidP="00CA76E0">
      <w:pPr>
        <w:pStyle w:val="corte4fondo"/>
        <w:spacing w:line="276" w:lineRule="auto"/>
        <w:jc w:val="center"/>
        <w:rPr>
          <w:rFonts w:cs="Arial"/>
          <w:color w:val="2E74B5" w:themeColor="accent1" w:themeShade="BF"/>
          <w:sz w:val="24"/>
          <w:szCs w:val="24"/>
        </w:rPr>
      </w:pPr>
      <w:r w:rsidRPr="008E25ED">
        <w:rPr>
          <w:rFonts w:cs="Arial"/>
          <w:b/>
          <w:color w:val="2E74B5" w:themeColor="accent1" w:themeShade="BF"/>
          <w:sz w:val="24"/>
          <w:szCs w:val="24"/>
        </w:rPr>
        <w:t>RESULTANDO</w:t>
      </w:r>
      <w:r w:rsidRPr="008E25ED">
        <w:rPr>
          <w:rFonts w:cs="Arial"/>
          <w:color w:val="2E74B5" w:themeColor="accent1" w:themeShade="BF"/>
          <w:sz w:val="24"/>
          <w:szCs w:val="24"/>
        </w:rPr>
        <w:t>:</w:t>
      </w:r>
    </w:p>
    <w:p w:rsidR="0010262D" w:rsidRPr="008E25ED" w:rsidRDefault="0010262D" w:rsidP="00CA76E0">
      <w:pPr>
        <w:pStyle w:val="corte4fondo"/>
        <w:spacing w:line="276" w:lineRule="auto"/>
        <w:jc w:val="center"/>
        <w:rPr>
          <w:rFonts w:cs="Arial"/>
          <w:color w:val="2E74B5" w:themeColor="accent1" w:themeShade="BF"/>
          <w:sz w:val="24"/>
          <w:szCs w:val="24"/>
        </w:rPr>
      </w:pPr>
    </w:p>
    <w:p w:rsidR="0010262D" w:rsidRPr="008E25ED" w:rsidRDefault="0010262D" w:rsidP="00CA76E0">
      <w:pPr>
        <w:pStyle w:val="corte4fondo"/>
        <w:spacing w:line="276" w:lineRule="auto"/>
        <w:rPr>
          <w:rFonts w:cs="Arial"/>
          <w:color w:val="2E74B5" w:themeColor="accent1" w:themeShade="BF"/>
          <w:sz w:val="24"/>
          <w:szCs w:val="24"/>
        </w:rPr>
      </w:pPr>
      <w:r w:rsidRPr="008E25ED">
        <w:rPr>
          <w:rFonts w:cs="Arial"/>
          <w:b/>
          <w:color w:val="2E74B5" w:themeColor="accent1" w:themeShade="BF"/>
          <w:sz w:val="24"/>
          <w:szCs w:val="24"/>
        </w:rPr>
        <w:t xml:space="preserve">PRIMERO. Solicitud de acceso a la información pública. </w:t>
      </w:r>
      <w:r w:rsidRPr="008E25ED">
        <w:rPr>
          <w:rFonts w:cs="Arial"/>
          <w:color w:val="2E74B5" w:themeColor="accent1" w:themeShade="BF"/>
          <w:sz w:val="24"/>
          <w:szCs w:val="24"/>
        </w:rPr>
        <w:t xml:space="preserve">Según consta en la Plataforma Nacional de Transparencia con el folio </w:t>
      </w:r>
      <w:r w:rsidR="009B76FF" w:rsidRPr="008E25ED">
        <w:rPr>
          <w:rFonts w:cs="Arial"/>
          <w:b/>
          <w:color w:val="2E74B5" w:themeColor="accent1" w:themeShade="BF"/>
          <w:sz w:val="24"/>
          <w:szCs w:val="24"/>
        </w:rPr>
        <w:t>00241618</w:t>
      </w:r>
      <w:bookmarkStart w:id="0" w:name="_GoBack"/>
      <w:bookmarkEnd w:id="0"/>
      <w:r w:rsidR="009B76FF" w:rsidRPr="008E25ED">
        <w:rPr>
          <w:rFonts w:cs="Arial"/>
          <w:b/>
          <w:color w:val="2E74B5" w:themeColor="accent1" w:themeShade="BF"/>
          <w:sz w:val="24"/>
          <w:szCs w:val="24"/>
        </w:rPr>
        <w:t xml:space="preserve"> </w:t>
      </w:r>
      <w:r w:rsidRPr="008E25ED">
        <w:rPr>
          <w:rFonts w:cs="Arial"/>
          <w:color w:val="2E74B5" w:themeColor="accent1" w:themeShade="BF"/>
          <w:sz w:val="24"/>
          <w:szCs w:val="24"/>
        </w:rPr>
        <w:t xml:space="preserve">cero, cero, doscientos cuarenta y un mil seiscientos dieciocho, el 09 nueve de abril de 2018 dos mil dieciocho la </w:t>
      </w:r>
      <w:r w:rsidRPr="008E25ED">
        <w:rPr>
          <w:rFonts w:cs="Arial"/>
          <w:b/>
          <w:color w:val="2E74B5" w:themeColor="accent1" w:themeShade="BF"/>
          <w:sz w:val="24"/>
          <w:szCs w:val="24"/>
        </w:rPr>
        <w:t>Secretaría de Finanzas</w:t>
      </w:r>
      <w:r w:rsidRPr="008E25ED">
        <w:rPr>
          <w:rFonts w:cs="Arial"/>
          <w:color w:val="2E74B5" w:themeColor="accent1" w:themeShade="BF"/>
          <w:sz w:val="24"/>
          <w:szCs w:val="24"/>
        </w:rPr>
        <w:t xml:space="preserve"> recibió una solicitud de acceso a la información pública en donde se le pidió la información siguiente</w:t>
      </w:r>
      <w:r w:rsidRPr="008E25ED">
        <w:rPr>
          <w:rStyle w:val="Refdenotaalpie"/>
          <w:rFonts w:cs="Arial"/>
          <w:color w:val="2E74B5" w:themeColor="accent1" w:themeShade="BF"/>
          <w:sz w:val="24"/>
          <w:szCs w:val="24"/>
        </w:rPr>
        <w:footnoteReference w:id="1"/>
      </w:r>
      <w:r w:rsidRPr="008E25ED">
        <w:rPr>
          <w:rFonts w:cs="Arial"/>
          <w:color w:val="2E74B5" w:themeColor="accent1" w:themeShade="BF"/>
          <w:sz w:val="24"/>
          <w:szCs w:val="24"/>
        </w:rPr>
        <w:t>:</w:t>
      </w:r>
    </w:p>
    <w:p w:rsidR="0010262D" w:rsidRPr="008E25ED" w:rsidRDefault="0010262D" w:rsidP="00CA76E0">
      <w:pPr>
        <w:pStyle w:val="corte4fondo"/>
        <w:spacing w:line="276" w:lineRule="auto"/>
        <w:rPr>
          <w:rFonts w:cs="Arial"/>
          <w:i/>
          <w:color w:val="2E74B5" w:themeColor="accent1" w:themeShade="BF"/>
          <w:sz w:val="24"/>
          <w:szCs w:val="24"/>
        </w:rPr>
      </w:pPr>
    </w:p>
    <w:p w:rsidR="0010262D" w:rsidRPr="00CA76E0" w:rsidRDefault="0010262D" w:rsidP="00CA76E0">
      <w:pPr>
        <w:spacing w:after="0" w:line="276" w:lineRule="auto"/>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noProof/>
          <w:color w:val="2E74B5" w:themeColor="accent1" w:themeShade="BF"/>
          <w:sz w:val="24"/>
          <w:szCs w:val="24"/>
          <w:lang w:eastAsia="es-MX"/>
        </w:rPr>
        <w:drawing>
          <wp:inline distT="0" distB="0" distL="0" distR="0" wp14:anchorId="1FBC051A" wp14:editId="0B1C67E7">
            <wp:extent cx="5613400" cy="1510665"/>
            <wp:effectExtent l="0" t="0" r="635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3400" cy="1510665"/>
                    </a:xfrm>
                    <a:prstGeom prst="rect">
                      <a:avLst/>
                    </a:prstGeom>
                    <a:noFill/>
                    <a:ln>
                      <a:noFill/>
                    </a:ln>
                  </pic:spPr>
                </pic:pic>
              </a:graphicData>
            </a:graphic>
          </wp:inline>
        </w:drawing>
      </w:r>
    </w:p>
    <w:p w:rsidR="0010262D" w:rsidRPr="00CA76E0" w:rsidRDefault="0010262D" w:rsidP="00CA76E0">
      <w:pPr>
        <w:spacing w:after="0" w:line="276" w:lineRule="auto"/>
        <w:jc w:val="both"/>
        <w:rPr>
          <w:rFonts w:ascii="Arial" w:eastAsia="Times New Roman" w:hAnsi="Arial" w:cs="Arial"/>
          <w:color w:val="2E74B5" w:themeColor="accent1" w:themeShade="BF"/>
          <w:sz w:val="24"/>
          <w:szCs w:val="24"/>
          <w:lang w:eastAsia="es-MX"/>
        </w:rPr>
      </w:pPr>
    </w:p>
    <w:p w:rsidR="0010262D" w:rsidRPr="00CA76E0" w:rsidRDefault="0010262D" w:rsidP="00CA76E0">
      <w:pPr>
        <w:spacing w:after="0" w:line="276" w:lineRule="auto"/>
        <w:jc w:val="both"/>
        <w:rPr>
          <w:rFonts w:ascii="Arial" w:eastAsia="Times New Roman" w:hAnsi="Arial" w:cs="Arial"/>
          <w:i/>
          <w:color w:val="2E74B5" w:themeColor="accent1" w:themeShade="BF"/>
          <w:sz w:val="20"/>
          <w:szCs w:val="20"/>
          <w:lang w:eastAsia="es-MX"/>
        </w:rPr>
      </w:pPr>
      <w:r w:rsidRPr="00CA76E0">
        <w:rPr>
          <w:rFonts w:ascii="Arial" w:eastAsia="Times New Roman" w:hAnsi="Arial" w:cs="Arial"/>
          <w:i/>
          <w:color w:val="2E74B5" w:themeColor="accent1" w:themeShade="BF"/>
          <w:sz w:val="20"/>
          <w:szCs w:val="20"/>
          <w:lang w:eastAsia="es-MX"/>
        </w:rPr>
        <w:t>“…PROPORCIONE LISTADO DE APOYOS QUE CUBREN LA EMISIÓN DEL CHEQUE NUMERO SP0000019505, DE FECHA 10 DE AGOSTO DE 2017 EN FAVOR DEL INSTITUTO DE VIVIENDA DE SAN LUIS POTOSÍ, ASÍ COMO EL NOMBRE DE LOS BENEFICIARIOS DE ESOS APOYOS…” (Sic.)</w:t>
      </w:r>
    </w:p>
    <w:p w:rsidR="0010262D" w:rsidRPr="00CA76E0" w:rsidRDefault="0010262D" w:rsidP="00CA76E0">
      <w:pPr>
        <w:spacing w:after="0" w:line="276" w:lineRule="auto"/>
        <w:jc w:val="center"/>
        <w:rPr>
          <w:rFonts w:ascii="Arial" w:eastAsia="Times New Roman" w:hAnsi="Arial" w:cs="Arial"/>
          <w:color w:val="2E74B5" w:themeColor="accent1" w:themeShade="BF"/>
          <w:sz w:val="24"/>
          <w:szCs w:val="24"/>
          <w:lang w:eastAsia="es-MX"/>
        </w:rPr>
      </w:pPr>
      <w:r w:rsidRPr="00CA76E0">
        <w:rPr>
          <w:rFonts w:ascii="Arial" w:eastAsia="Times New Roman" w:hAnsi="Arial" w:cs="Arial"/>
          <w:noProof/>
          <w:color w:val="2E74B5" w:themeColor="accent1" w:themeShade="BF"/>
          <w:sz w:val="24"/>
          <w:szCs w:val="24"/>
          <w:lang w:eastAsia="es-MX"/>
        </w:rPr>
        <w:t xml:space="preserve"> </w:t>
      </w:r>
    </w:p>
    <w:p w:rsidR="0010262D" w:rsidRPr="00CA76E0" w:rsidRDefault="0010262D" w:rsidP="00CA76E0">
      <w:pPr>
        <w:spacing w:after="0" w:line="276" w:lineRule="auto"/>
        <w:jc w:val="center"/>
        <w:rPr>
          <w:rFonts w:ascii="Arial" w:eastAsia="Times New Roman" w:hAnsi="Arial" w:cs="Arial"/>
          <w:color w:val="2E74B5" w:themeColor="accent1" w:themeShade="BF"/>
          <w:sz w:val="24"/>
          <w:szCs w:val="24"/>
          <w:lang w:eastAsia="es-MX"/>
        </w:rPr>
      </w:pPr>
    </w:p>
    <w:p w:rsidR="0010262D" w:rsidRPr="00CA76E0" w:rsidRDefault="0010262D" w:rsidP="00CA76E0">
      <w:pPr>
        <w:spacing w:after="0" w:line="276" w:lineRule="auto"/>
        <w:ind w:firstLine="709"/>
        <w:jc w:val="both"/>
        <w:rPr>
          <w:rFonts w:ascii="Arial" w:eastAsia="Times New Roman" w:hAnsi="Arial" w:cs="Arial"/>
          <w:b/>
          <w:color w:val="2E74B5" w:themeColor="accent1" w:themeShade="BF"/>
          <w:sz w:val="24"/>
          <w:szCs w:val="24"/>
          <w:lang w:eastAsia="es-MX"/>
        </w:rPr>
      </w:pPr>
    </w:p>
    <w:p w:rsidR="0010262D" w:rsidRPr="00CA76E0" w:rsidRDefault="0010262D" w:rsidP="00CA76E0">
      <w:pPr>
        <w:pStyle w:val="corte4fondo"/>
        <w:spacing w:line="276" w:lineRule="auto"/>
        <w:rPr>
          <w:rFonts w:cs="Arial"/>
          <w:color w:val="2E74B5" w:themeColor="accent1" w:themeShade="BF"/>
          <w:sz w:val="24"/>
          <w:szCs w:val="24"/>
        </w:rPr>
      </w:pPr>
      <w:r w:rsidRPr="00CA76E0">
        <w:rPr>
          <w:rFonts w:cs="Arial"/>
          <w:b/>
          <w:color w:val="2E74B5" w:themeColor="accent1" w:themeShade="BF"/>
          <w:sz w:val="24"/>
          <w:szCs w:val="24"/>
        </w:rPr>
        <w:t xml:space="preserve">SEGUNDO. Respuesta a la solicitud de acceso a la información pública. </w:t>
      </w:r>
      <w:r w:rsidRPr="00CA76E0">
        <w:rPr>
          <w:rFonts w:cs="Arial"/>
          <w:color w:val="2E74B5" w:themeColor="accent1" w:themeShade="BF"/>
          <w:sz w:val="24"/>
          <w:szCs w:val="24"/>
        </w:rPr>
        <w:t>El 20 veinte de abril de 2018 dos mil dieciocho el sujeto obligado</w:t>
      </w:r>
      <w:r w:rsidRPr="00CA76E0">
        <w:rPr>
          <w:rFonts w:cs="Arial"/>
          <w:b/>
          <w:color w:val="2E74B5" w:themeColor="accent1" w:themeShade="BF"/>
          <w:sz w:val="24"/>
          <w:szCs w:val="24"/>
        </w:rPr>
        <w:t xml:space="preserve"> </w:t>
      </w:r>
      <w:r w:rsidRPr="00CA76E0">
        <w:rPr>
          <w:rFonts w:cs="Arial"/>
          <w:color w:val="2E74B5" w:themeColor="accent1" w:themeShade="BF"/>
          <w:sz w:val="24"/>
          <w:szCs w:val="24"/>
        </w:rPr>
        <w:t>notificó al solicitante, por el mismo medio electrónico, la respuesta a la solicitud de acceso a la información pública, misma que es como sigue</w:t>
      </w:r>
      <w:r w:rsidRPr="00CA76E0">
        <w:rPr>
          <w:rFonts w:cs="Arial"/>
          <w:color w:val="2E74B5" w:themeColor="accent1" w:themeShade="BF"/>
          <w:sz w:val="24"/>
          <w:szCs w:val="24"/>
          <w:vertAlign w:val="superscript"/>
        </w:rPr>
        <w:footnoteReference w:id="2"/>
      </w:r>
      <w:r w:rsidRPr="00CA76E0">
        <w:rPr>
          <w:rFonts w:cs="Arial"/>
          <w:color w:val="2E74B5" w:themeColor="accent1" w:themeShade="BF"/>
          <w:sz w:val="24"/>
          <w:szCs w:val="24"/>
        </w:rPr>
        <w:t>:</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p>
    <w:p w:rsidR="0010262D" w:rsidRPr="00CA76E0" w:rsidRDefault="0010262D" w:rsidP="00CA76E0">
      <w:pPr>
        <w:spacing w:after="0" w:line="276" w:lineRule="auto"/>
        <w:jc w:val="center"/>
        <w:rPr>
          <w:rFonts w:ascii="Arial" w:eastAsia="Times New Roman" w:hAnsi="Arial" w:cs="Arial"/>
          <w:color w:val="2E74B5" w:themeColor="accent1" w:themeShade="BF"/>
          <w:sz w:val="20"/>
          <w:szCs w:val="20"/>
          <w:lang w:eastAsia="es-MX"/>
        </w:rPr>
      </w:pPr>
      <w:r w:rsidRPr="00CA76E0">
        <w:rPr>
          <w:rFonts w:ascii="Arial" w:eastAsia="Times New Roman" w:hAnsi="Arial" w:cs="Arial"/>
          <w:noProof/>
          <w:color w:val="2E74B5" w:themeColor="accent1" w:themeShade="BF"/>
          <w:sz w:val="20"/>
          <w:szCs w:val="20"/>
          <w:lang w:eastAsia="es-MX"/>
        </w:rPr>
        <w:drawing>
          <wp:inline distT="0" distB="0" distL="0" distR="0" wp14:anchorId="5BCAB7E6" wp14:editId="0AFDC820">
            <wp:extent cx="5605780" cy="2107096"/>
            <wp:effectExtent l="0" t="0" r="0" b="762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30620" cy="2116433"/>
                    </a:xfrm>
                    <a:prstGeom prst="rect">
                      <a:avLst/>
                    </a:prstGeom>
                    <a:noFill/>
                    <a:ln>
                      <a:noFill/>
                    </a:ln>
                  </pic:spPr>
                </pic:pic>
              </a:graphicData>
            </a:graphic>
          </wp:inline>
        </w:drawing>
      </w:r>
    </w:p>
    <w:p w:rsidR="0010262D" w:rsidRPr="00CA76E0" w:rsidRDefault="0010262D" w:rsidP="00CA76E0">
      <w:pPr>
        <w:spacing w:after="0" w:line="276" w:lineRule="auto"/>
        <w:jc w:val="center"/>
        <w:rPr>
          <w:rFonts w:ascii="Arial" w:eastAsia="Times New Roman" w:hAnsi="Arial" w:cs="Arial"/>
          <w:color w:val="2E74B5" w:themeColor="accent1" w:themeShade="BF"/>
          <w:sz w:val="20"/>
          <w:szCs w:val="20"/>
          <w:lang w:eastAsia="es-MX"/>
        </w:rPr>
      </w:pPr>
    </w:p>
    <w:p w:rsidR="0010262D" w:rsidRPr="00CA76E0" w:rsidRDefault="0010262D" w:rsidP="00CA76E0">
      <w:pPr>
        <w:spacing w:after="0" w:line="276" w:lineRule="auto"/>
        <w:jc w:val="center"/>
        <w:rPr>
          <w:rFonts w:ascii="Arial" w:eastAsia="Times New Roman" w:hAnsi="Arial" w:cs="Arial"/>
          <w:color w:val="2E74B5" w:themeColor="accent1" w:themeShade="BF"/>
          <w:sz w:val="20"/>
          <w:szCs w:val="20"/>
          <w:lang w:eastAsia="es-MX"/>
        </w:rPr>
      </w:pPr>
    </w:p>
    <w:p w:rsidR="0010262D" w:rsidRPr="00CA76E0" w:rsidRDefault="0010262D" w:rsidP="00CA76E0">
      <w:pPr>
        <w:spacing w:after="0" w:line="276" w:lineRule="auto"/>
        <w:jc w:val="center"/>
        <w:rPr>
          <w:rFonts w:ascii="Arial" w:eastAsia="Times New Roman" w:hAnsi="Arial" w:cs="Arial"/>
          <w:color w:val="2E74B5" w:themeColor="accent1" w:themeShade="BF"/>
          <w:sz w:val="20"/>
          <w:szCs w:val="20"/>
          <w:lang w:eastAsia="es-MX"/>
        </w:rPr>
      </w:pPr>
      <w:r w:rsidRPr="00CA76E0">
        <w:rPr>
          <w:rFonts w:ascii="Arial" w:eastAsia="Times New Roman" w:hAnsi="Arial" w:cs="Arial"/>
          <w:noProof/>
          <w:color w:val="2E74B5" w:themeColor="accent1" w:themeShade="BF"/>
          <w:sz w:val="20"/>
          <w:szCs w:val="20"/>
          <w:lang w:eastAsia="es-MX"/>
        </w:rPr>
        <w:drawing>
          <wp:inline distT="0" distB="0" distL="0" distR="0" wp14:anchorId="44F337BC" wp14:editId="41AE0568">
            <wp:extent cx="5577840" cy="2560320"/>
            <wp:effectExtent l="0" t="0" r="381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77840" cy="2560320"/>
                    </a:xfrm>
                    <a:prstGeom prst="rect">
                      <a:avLst/>
                    </a:prstGeom>
                    <a:noFill/>
                    <a:ln>
                      <a:noFill/>
                    </a:ln>
                  </pic:spPr>
                </pic:pic>
              </a:graphicData>
            </a:graphic>
          </wp:inline>
        </w:drawing>
      </w:r>
    </w:p>
    <w:p w:rsidR="0010262D" w:rsidRPr="00CA76E0" w:rsidRDefault="0010262D" w:rsidP="00CA76E0">
      <w:pPr>
        <w:pStyle w:val="corte4fondo"/>
        <w:spacing w:line="276" w:lineRule="auto"/>
        <w:rPr>
          <w:rFonts w:cs="Arial"/>
          <w:color w:val="2E74B5" w:themeColor="accent1" w:themeShade="BF"/>
          <w:sz w:val="24"/>
          <w:szCs w:val="24"/>
        </w:rPr>
      </w:pPr>
      <w:r w:rsidRPr="00CA76E0">
        <w:rPr>
          <w:rFonts w:cs="Arial"/>
          <w:b/>
          <w:color w:val="2E74B5" w:themeColor="accent1" w:themeShade="BF"/>
          <w:sz w:val="24"/>
          <w:szCs w:val="24"/>
        </w:rPr>
        <w:t xml:space="preserve">TERCERO. Interposición del recurso. </w:t>
      </w:r>
      <w:r w:rsidRPr="00CA76E0">
        <w:rPr>
          <w:rFonts w:cs="Arial"/>
          <w:color w:val="2E74B5" w:themeColor="accent1" w:themeShade="BF"/>
          <w:sz w:val="24"/>
          <w:szCs w:val="24"/>
        </w:rPr>
        <w:t xml:space="preserve">El </w:t>
      </w:r>
      <w:r w:rsidR="00543B58" w:rsidRPr="00CA76E0">
        <w:rPr>
          <w:rFonts w:cs="Arial"/>
          <w:color w:val="2E74B5" w:themeColor="accent1" w:themeShade="BF"/>
          <w:sz w:val="24"/>
          <w:szCs w:val="24"/>
        </w:rPr>
        <w:t xml:space="preserve">26 veintiséis </w:t>
      </w:r>
      <w:r w:rsidRPr="00CA76E0">
        <w:rPr>
          <w:rFonts w:cs="Arial"/>
          <w:color w:val="2E74B5" w:themeColor="accent1" w:themeShade="BF"/>
          <w:sz w:val="24"/>
          <w:szCs w:val="24"/>
        </w:rPr>
        <w:t>de 2018 dos mil dieciocho, mediante registro RR000</w:t>
      </w:r>
      <w:r w:rsidR="00543B58" w:rsidRPr="00CA76E0">
        <w:rPr>
          <w:rFonts w:cs="Arial"/>
          <w:color w:val="2E74B5" w:themeColor="accent1" w:themeShade="BF"/>
          <w:sz w:val="24"/>
          <w:szCs w:val="24"/>
        </w:rPr>
        <w:t>170</w:t>
      </w:r>
      <w:r w:rsidRPr="00CA76E0">
        <w:rPr>
          <w:rFonts w:cs="Arial"/>
          <w:color w:val="2E74B5" w:themeColor="accent1" w:themeShade="BF"/>
          <w:sz w:val="24"/>
          <w:szCs w:val="24"/>
        </w:rPr>
        <w:t xml:space="preserve">18 en la Plataforma Nacional de Transparencia, el solicitante de la información </w:t>
      </w:r>
      <w:r w:rsidR="00C0737C">
        <w:rPr>
          <w:rFonts w:cs="Arial"/>
          <w:color w:val="2E74B5" w:themeColor="accent1" w:themeShade="BF"/>
          <w:sz w:val="24"/>
          <w:szCs w:val="24"/>
        </w:rPr>
        <w:t>interpuso recurso de revisión</w:t>
      </w:r>
      <w:r w:rsidRPr="00CA76E0">
        <w:rPr>
          <w:rFonts w:cs="Arial"/>
          <w:color w:val="2E74B5" w:themeColor="accent1" w:themeShade="BF"/>
          <w:sz w:val="24"/>
          <w:szCs w:val="24"/>
        </w:rPr>
        <w:t xml:space="preserve"> contra de la respuesta mencionada en el punto anterior, mismo que quedó presentado ante la Oficialía de Partes de esta Comisión Estatal de Garantía de Acceso a la Información Pública el</w:t>
      </w:r>
      <w:r w:rsidR="00543B58" w:rsidRPr="00CA76E0">
        <w:rPr>
          <w:rFonts w:cs="Arial"/>
          <w:color w:val="2E74B5" w:themeColor="accent1" w:themeShade="BF"/>
          <w:sz w:val="24"/>
          <w:szCs w:val="24"/>
        </w:rPr>
        <w:t xml:space="preserve"> mismo día</w:t>
      </w:r>
      <w:r w:rsidRPr="00CA76E0">
        <w:rPr>
          <w:rFonts w:cs="Arial"/>
          <w:color w:val="2E74B5" w:themeColor="accent1" w:themeShade="BF"/>
          <w:sz w:val="24"/>
          <w:szCs w:val="24"/>
        </w:rPr>
        <w:t xml:space="preserve">. </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 xml:space="preserve"> </w:t>
      </w:r>
    </w:p>
    <w:p w:rsidR="0010262D" w:rsidRPr="00CA76E0" w:rsidRDefault="00B70141" w:rsidP="00CA76E0">
      <w:pPr>
        <w:spacing w:after="0" w:line="276" w:lineRule="auto"/>
        <w:ind w:firstLine="709"/>
        <w:jc w:val="both"/>
        <w:rPr>
          <w:rFonts w:ascii="Arial" w:eastAsia="Times New Roman" w:hAnsi="Arial" w:cs="Arial"/>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CUARTO</w:t>
      </w:r>
      <w:r w:rsidR="0010262D" w:rsidRPr="00CA76E0">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0010262D" w:rsidRPr="00CA76E0">
        <w:rPr>
          <w:rFonts w:ascii="Arial" w:eastAsia="Times New Roman" w:hAnsi="Arial" w:cs="Arial"/>
          <w:color w:val="2E74B5" w:themeColor="accent1" w:themeShade="BF"/>
          <w:sz w:val="24"/>
          <w:szCs w:val="24"/>
          <w:lang w:eastAsia="es-MX"/>
        </w:rPr>
        <w:t xml:space="preserve">Mediante auto del </w:t>
      </w:r>
      <w:r w:rsidR="00762892" w:rsidRPr="00CA76E0">
        <w:rPr>
          <w:rFonts w:ascii="Arial" w:eastAsia="Times New Roman" w:hAnsi="Arial" w:cs="Arial"/>
          <w:color w:val="2E74B5" w:themeColor="accent1" w:themeShade="BF"/>
          <w:sz w:val="24"/>
          <w:szCs w:val="24"/>
          <w:lang w:eastAsia="es-MX"/>
        </w:rPr>
        <w:t xml:space="preserve">27 veintisiete </w:t>
      </w:r>
      <w:r w:rsidR="0010262D" w:rsidRPr="00CA76E0">
        <w:rPr>
          <w:rFonts w:ascii="Arial" w:eastAsia="Times New Roman" w:hAnsi="Arial" w:cs="Arial"/>
          <w:color w:val="2E74B5" w:themeColor="accent1" w:themeShade="BF"/>
          <w:sz w:val="24"/>
          <w:szCs w:val="24"/>
          <w:lang w:eastAsia="es-MX"/>
        </w:rPr>
        <w:t xml:space="preserve">de abril de 2018 dos mil dieciocho la presidencia de esta Comisión de Transparencia tuvo por recibido el recurso de revisión, por lo que, por razón de turno, tocó conocer a la ponencia de la Licenciada Paulina Sánchez Pérez del Pozo por lo que se le </w:t>
      </w:r>
      <w:r w:rsidR="0010262D" w:rsidRPr="00CA76E0">
        <w:rPr>
          <w:rFonts w:ascii="Arial" w:eastAsia="Times New Roman" w:hAnsi="Arial" w:cs="Arial"/>
          <w:color w:val="2E74B5" w:themeColor="accent1" w:themeShade="BF"/>
          <w:sz w:val="24"/>
          <w:szCs w:val="24"/>
          <w:lang w:eastAsia="es-MX"/>
        </w:rPr>
        <w:lastRenderedPageBreak/>
        <w:t>turnó dicho expediente para que procediera, previo su análisis, a su admisión o desechamiento según fuera el caso.</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p>
    <w:p w:rsidR="0010262D" w:rsidRPr="00CA76E0" w:rsidRDefault="00B70141" w:rsidP="00CA76E0">
      <w:pPr>
        <w:spacing w:after="0" w:line="276" w:lineRule="auto"/>
        <w:ind w:firstLine="709"/>
        <w:jc w:val="both"/>
        <w:rPr>
          <w:rFonts w:ascii="Arial" w:eastAsia="Times New Roman" w:hAnsi="Arial" w:cs="Arial"/>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QUINTO</w:t>
      </w:r>
      <w:r w:rsidR="0010262D" w:rsidRPr="00CA76E0">
        <w:rPr>
          <w:rFonts w:ascii="Arial" w:eastAsia="Times New Roman" w:hAnsi="Arial" w:cs="Arial"/>
          <w:b/>
          <w:color w:val="2E74B5" w:themeColor="accent1" w:themeShade="BF"/>
          <w:sz w:val="24"/>
          <w:szCs w:val="24"/>
          <w:lang w:eastAsia="es-MX"/>
        </w:rPr>
        <w:t xml:space="preserve">. Auto de admisión y trámite. </w:t>
      </w:r>
      <w:r w:rsidR="0010262D" w:rsidRPr="00CA76E0">
        <w:rPr>
          <w:rFonts w:ascii="Arial" w:eastAsia="Times New Roman" w:hAnsi="Arial" w:cs="Arial"/>
          <w:color w:val="2E74B5" w:themeColor="accent1" w:themeShade="BF"/>
          <w:sz w:val="24"/>
          <w:szCs w:val="24"/>
          <w:lang w:eastAsia="es-MX"/>
        </w:rPr>
        <w:t xml:space="preserve">Por proveído del </w:t>
      </w:r>
      <w:r w:rsidR="00762892" w:rsidRPr="00CA76E0">
        <w:rPr>
          <w:rFonts w:ascii="Arial" w:eastAsia="Times New Roman" w:hAnsi="Arial" w:cs="Arial"/>
          <w:color w:val="2E74B5" w:themeColor="accent1" w:themeShade="BF"/>
          <w:sz w:val="24"/>
          <w:szCs w:val="24"/>
          <w:lang w:eastAsia="es-MX"/>
        </w:rPr>
        <w:t xml:space="preserve">30 treinta </w:t>
      </w:r>
      <w:r w:rsidR="0010262D" w:rsidRPr="00CA76E0">
        <w:rPr>
          <w:rFonts w:ascii="Arial" w:eastAsia="Times New Roman" w:hAnsi="Arial" w:cs="Arial"/>
          <w:color w:val="2E74B5" w:themeColor="accent1" w:themeShade="BF"/>
          <w:sz w:val="24"/>
          <w:szCs w:val="24"/>
          <w:lang w:eastAsia="es-MX"/>
        </w:rPr>
        <w:t>de abril de 2018 dos mil dieciocho la Comisionado Ponente:</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p>
    <w:p w:rsidR="0010262D" w:rsidRPr="00CA76E0" w:rsidRDefault="0010262D" w:rsidP="00CA76E0">
      <w:pPr>
        <w:numPr>
          <w:ilvl w:val="0"/>
          <w:numId w:val="2"/>
        </w:numPr>
        <w:spacing w:after="0" w:line="276" w:lineRule="auto"/>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Registró en el Libro de Gobierno el presente expediente como RR-</w:t>
      </w:r>
      <w:r w:rsidR="00762892" w:rsidRPr="00CA76E0">
        <w:rPr>
          <w:rFonts w:ascii="Arial" w:eastAsia="Times New Roman" w:hAnsi="Arial" w:cs="Arial"/>
          <w:color w:val="2E74B5" w:themeColor="accent1" w:themeShade="BF"/>
          <w:sz w:val="24"/>
          <w:szCs w:val="24"/>
          <w:lang w:eastAsia="es-MX"/>
        </w:rPr>
        <w:t>317</w:t>
      </w:r>
      <w:r w:rsidRPr="00CA76E0">
        <w:rPr>
          <w:rFonts w:ascii="Arial" w:eastAsia="Times New Roman" w:hAnsi="Arial" w:cs="Arial"/>
          <w:color w:val="2E74B5" w:themeColor="accent1" w:themeShade="BF"/>
          <w:sz w:val="24"/>
          <w:szCs w:val="24"/>
          <w:lang w:eastAsia="es-MX"/>
        </w:rPr>
        <w:t>/2018-2 PLATAFORMA.</w:t>
      </w:r>
    </w:p>
    <w:p w:rsidR="0010262D" w:rsidRPr="00CA76E0" w:rsidRDefault="0010262D" w:rsidP="00CA76E0">
      <w:pPr>
        <w:numPr>
          <w:ilvl w:val="0"/>
          <w:numId w:val="2"/>
        </w:numPr>
        <w:spacing w:after="0" w:line="276" w:lineRule="auto"/>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Admitió a trámite el presente recurso de revisión.</w:t>
      </w:r>
    </w:p>
    <w:p w:rsidR="0010262D" w:rsidRPr="00CA76E0" w:rsidRDefault="00762892" w:rsidP="00CA76E0">
      <w:pPr>
        <w:pStyle w:val="corte4fondo"/>
        <w:numPr>
          <w:ilvl w:val="0"/>
          <w:numId w:val="2"/>
        </w:numPr>
        <w:spacing w:line="276" w:lineRule="auto"/>
        <w:rPr>
          <w:rFonts w:cs="Arial"/>
          <w:b/>
          <w:color w:val="2E74B5" w:themeColor="accent1" w:themeShade="BF"/>
          <w:sz w:val="24"/>
          <w:szCs w:val="24"/>
        </w:rPr>
      </w:pPr>
      <w:r w:rsidRPr="00CA76E0">
        <w:rPr>
          <w:rFonts w:cs="Arial"/>
          <w:color w:val="2E74B5" w:themeColor="accent1" w:themeShade="BF"/>
          <w:sz w:val="24"/>
          <w:szCs w:val="24"/>
        </w:rPr>
        <w:t xml:space="preserve">Tuvo como sujeto obligado a </w:t>
      </w:r>
      <w:r w:rsidRPr="00CA76E0">
        <w:rPr>
          <w:rFonts w:cs="Arial"/>
          <w:b/>
          <w:color w:val="2E74B5" w:themeColor="accent1" w:themeShade="BF"/>
          <w:sz w:val="24"/>
          <w:szCs w:val="24"/>
        </w:rPr>
        <w:t>GOBIERNO DEL ESTADO DE SAN LUIS POTOSÍ, POR CONDUCTO DE LA SECRETARÍA DE FINANZAS A TRAVÉS DE SU SECRETARIO Y DEL TITULAR DE LA UNIDAD DE TRASPARENCIA</w:t>
      </w:r>
      <w:r w:rsidR="0010262D" w:rsidRPr="00CA76E0">
        <w:rPr>
          <w:rFonts w:cs="Arial"/>
          <w:color w:val="2E74B5" w:themeColor="accent1" w:themeShade="BF"/>
          <w:sz w:val="24"/>
          <w:szCs w:val="24"/>
        </w:rPr>
        <w:t>.</w:t>
      </w:r>
    </w:p>
    <w:p w:rsidR="0010262D" w:rsidRPr="00CA76E0" w:rsidRDefault="0010262D" w:rsidP="00CA76E0">
      <w:pPr>
        <w:numPr>
          <w:ilvl w:val="0"/>
          <w:numId w:val="2"/>
        </w:numPr>
        <w:spacing w:after="0" w:line="276" w:lineRule="auto"/>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Se le tuvo al recurrente por señalada dirección electrónica para oír notificaciones.</w:t>
      </w:r>
    </w:p>
    <w:p w:rsidR="0010262D" w:rsidRPr="00CA76E0" w:rsidRDefault="0010262D" w:rsidP="00CA76E0">
      <w:pPr>
        <w:numPr>
          <w:ilvl w:val="0"/>
          <w:numId w:val="2"/>
        </w:numPr>
        <w:spacing w:after="0" w:line="276" w:lineRule="auto"/>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 xml:space="preserve">Se puso a disposición de las partes el expediente para que en un plazo máximo de 7 siete días manifestaran lo que a su derecho conviniera –ofrecer pruebas y alegar–.  </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Asimismo, en ese auto la ponente expresó que el sujeto obligado debería informar a esta Comisión de Transparencia si la información que le fue solicitada:</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p>
    <w:p w:rsidR="0010262D" w:rsidRPr="00CA76E0" w:rsidRDefault="0010262D" w:rsidP="00CA76E0">
      <w:pPr>
        <w:numPr>
          <w:ilvl w:val="0"/>
          <w:numId w:val="1"/>
        </w:numPr>
        <w:spacing w:after="0" w:line="276" w:lineRule="auto"/>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Se encontraba en sus archivos.</w:t>
      </w:r>
    </w:p>
    <w:p w:rsidR="0010262D" w:rsidRPr="00CA76E0" w:rsidRDefault="0010262D" w:rsidP="00CA76E0">
      <w:pPr>
        <w:numPr>
          <w:ilvl w:val="0"/>
          <w:numId w:val="1"/>
        </w:numPr>
        <w:spacing w:after="0" w:line="276" w:lineRule="auto"/>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10262D" w:rsidRPr="00CA76E0" w:rsidRDefault="0010262D" w:rsidP="00CA76E0">
      <w:pPr>
        <w:numPr>
          <w:ilvl w:val="0"/>
          <w:numId w:val="1"/>
        </w:numPr>
        <w:spacing w:after="0" w:line="276" w:lineRule="auto"/>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 xml:space="preserve">Se encontraba en una de las excepciones del derecho de acceso a la información como impedimento legal para su entrega –cuando se trate de información reservada o confidencial–. </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p>
    <w:p w:rsidR="0010262D" w:rsidRPr="00CA76E0" w:rsidRDefault="0010262D" w:rsidP="00CA76E0">
      <w:pPr>
        <w:pStyle w:val="corte4fondo"/>
        <w:tabs>
          <w:tab w:val="left" w:pos="0"/>
        </w:tabs>
        <w:spacing w:line="276" w:lineRule="auto"/>
        <w:ind w:firstLine="0"/>
        <w:rPr>
          <w:rFonts w:cs="Arial"/>
          <w:color w:val="2E74B5" w:themeColor="accent1" w:themeShade="BF"/>
          <w:sz w:val="24"/>
          <w:szCs w:val="24"/>
        </w:rPr>
      </w:pPr>
      <w:r w:rsidRPr="00CA76E0">
        <w:rPr>
          <w:rFonts w:cs="Arial"/>
          <w:color w:val="2E74B5" w:themeColor="accent1" w:themeShade="BF"/>
          <w:sz w:val="24"/>
          <w:szCs w:val="24"/>
        </w:rPr>
        <w:tab/>
      </w:r>
      <w:r w:rsidR="00B70141">
        <w:rPr>
          <w:rFonts w:cs="Arial"/>
          <w:b/>
          <w:color w:val="2E74B5" w:themeColor="accent1" w:themeShade="BF"/>
          <w:sz w:val="24"/>
          <w:szCs w:val="24"/>
        </w:rPr>
        <w:t>SEXTO</w:t>
      </w:r>
      <w:r w:rsidRPr="00CA76E0">
        <w:rPr>
          <w:rFonts w:cs="Arial"/>
          <w:b/>
          <w:color w:val="2E74B5" w:themeColor="accent1" w:themeShade="BF"/>
          <w:sz w:val="24"/>
          <w:szCs w:val="24"/>
        </w:rPr>
        <w:t>. Omisión del sujeto obligado de rendir el informe</w:t>
      </w:r>
      <w:r w:rsidRPr="00CA76E0">
        <w:rPr>
          <w:rFonts w:cs="Arial"/>
          <w:color w:val="2E74B5" w:themeColor="accent1" w:themeShade="BF"/>
          <w:sz w:val="24"/>
          <w:szCs w:val="24"/>
        </w:rPr>
        <w:t xml:space="preserve">. Por proveído del </w:t>
      </w:r>
      <w:r w:rsidR="00C1126D" w:rsidRPr="00CA76E0">
        <w:rPr>
          <w:rFonts w:cs="Arial"/>
          <w:color w:val="2E74B5" w:themeColor="accent1" w:themeShade="BF"/>
          <w:sz w:val="24"/>
          <w:szCs w:val="24"/>
        </w:rPr>
        <w:t xml:space="preserve">16 dieciséis de mayo </w:t>
      </w:r>
      <w:r w:rsidRPr="00CA76E0">
        <w:rPr>
          <w:rFonts w:cs="Arial"/>
          <w:color w:val="2E74B5" w:themeColor="accent1" w:themeShade="BF"/>
          <w:sz w:val="24"/>
          <w:szCs w:val="24"/>
        </w:rPr>
        <w:t>de 2018 dos mil dieciocho la ponente del presente asunto tuvo por omisos a los sujetos obligados en virtud de a la fecha del citado proveído había fenecido el plazo para que manifestaran lo que a su derecho conviniera y para ofrecer pruebas y alegatos correspondientes, ello aunado a que de una búsqueda exhaustiva al libro de registro que se lleva en la Oficialía de Partes de esta Comisión no obraba registro de promoción alguna en la que en efecto hubiesen comparecido al respecto.</w:t>
      </w:r>
    </w:p>
    <w:p w:rsidR="0010262D" w:rsidRPr="00CA76E0" w:rsidRDefault="0010262D" w:rsidP="00CA76E0">
      <w:pPr>
        <w:pStyle w:val="corte4fondo"/>
        <w:spacing w:line="276" w:lineRule="auto"/>
        <w:rPr>
          <w:rFonts w:cs="Arial"/>
          <w:b/>
          <w:color w:val="2E74B5" w:themeColor="accent1" w:themeShade="BF"/>
          <w:sz w:val="24"/>
          <w:szCs w:val="24"/>
        </w:rPr>
      </w:pPr>
    </w:p>
    <w:p w:rsidR="0010262D" w:rsidRPr="00CA76E0" w:rsidRDefault="0010262D" w:rsidP="00CA76E0">
      <w:pPr>
        <w:pStyle w:val="corte4fondo"/>
        <w:tabs>
          <w:tab w:val="left" w:pos="0"/>
        </w:tabs>
        <w:spacing w:line="276" w:lineRule="auto"/>
        <w:ind w:firstLine="0"/>
        <w:rPr>
          <w:rFonts w:cs="Arial"/>
          <w:color w:val="2E74B5" w:themeColor="accent1" w:themeShade="BF"/>
          <w:sz w:val="24"/>
          <w:szCs w:val="24"/>
        </w:rPr>
      </w:pPr>
      <w:r w:rsidRPr="00CA76E0">
        <w:rPr>
          <w:rFonts w:cs="Arial"/>
          <w:color w:val="2E74B5" w:themeColor="accent1" w:themeShade="BF"/>
          <w:sz w:val="24"/>
          <w:szCs w:val="24"/>
        </w:rPr>
        <w:tab/>
        <w:t>Respecto de la parte recurrente, se advirtió que no compareció a realizar las manifestaciones que a su derecho conviniera – ofrecer pruebas y alegar.</w:t>
      </w:r>
    </w:p>
    <w:p w:rsidR="005C1CE0" w:rsidRDefault="005C1CE0" w:rsidP="005C1CE0">
      <w:pPr>
        <w:pStyle w:val="corte4fondo"/>
        <w:spacing w:line="276" w:lineRule="auto"/>
        <w:ind w:firstLine="708"/>
        <w:rPr>
          <w:rFonts w:cs="Arial"/>
          <w:color w:val="2E74B5" w:themeColor="accent1" w:themeShade="BF"/>
          <w:sz w:val="24"/>
          <w:szCs w:val="24"/>
        </w:rPr>
      </w:pPr>
    </w:p>
    <w:p w:rsidR="005C1CE0" w:rsidRPr="00CA76E0" w:rsidRDefault="005C1CE0" w:rsidP="005C1CE0">
      <w:pPr>
        <w:pStyle w:val="corte4fondo"/>
        <w:spacing w:line="276" w:lineRule="auto"/>
        <w:ind w:firstLine="708"/>
        <w:rPr>
          <w:rFonts w:cs="Arial"/>
          <w:color w:val="2E74B5" w:themeColor="accent1" w:themeShade="BF"/>
          <w:sz w:val="24"/>
          <w:szCs w:val="24"/>
          <w:lang w:val="es-ES"/>
        </w:rPr>
      </w:pPr>
      <w:r>
        <w:rPr>
          <w:rFonts w:cs="Arial"/>
          <w:b/>
          <w:color w:val="2E74B5" w:themeColor="accent1" w:themeShade="BF"/>
          <w:sz w:val="24"/>
          <w:szCs w:val="24"/>
        </w:rPr>
        <w:t>SÉ</w:t>
      </w:r>
      <w:r w:rsidRPr="00CA76E0">
        <w:rPr>
          <w:rFonts w:cs="Arial"/>
          <w:b/>
          <w:color w:val="2E74B5" w:themeColor="accent1" w:themeShade="BF"/>
          <w:sz w:val="24"/>
          <w:szCs w:val="24"/>
        </w:rPr>
        <w:t>PTIMO. Ampliación del plazo para resolver.</w:t>
      </w:r>
      <w:r w:rsidRPr="00CA76E0">
        <w:rPr>
          <w:rFonts w:cs="Arial"/>
          <w:color w:val="2E74B5" w:themeColor="accent1" w:themeShade="BF"/>
          <w:sz w:val="24"/>
          <w:szCs w:val="24"/>
        </w:rPr>
        <w:t xml:space="preserve"> Por auto de 12 doce de junio de 2018 dos mil dieciocho, la ponente decretó la ampliación del plazo para resolver el presente asunto, ello de conformidad con el Lineamiento Décimo Noveno de los Lineamientos para la Recepción, Sustanciación, Resolución</w:t>
      </w:r>
      <w:r w:rsidRPr="00CA76E0">
        <w:rPr>
          <w:rFonts w:cs="Arial"/>
          <w:color w:val="2E74B5" w:themeColor="accent1" w:themeShade="BF"/>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w:t>
      </w:r>
      <w:r w:rsidRPr="00CA76E0">
        <w:rPr>
          <w:rFonts w:cs="Arial"/>
          <w:color w:val="2E74B5" w:themeColor="accent1" w:themeShade="BF"/>
          <w:sz w:val="24"/>
          <w:szCs w:val="24"/>
          <w:lang w:val="es-ES"/>
        </w:rPr>
        <w:t>.</w:t>
      </w:r>
    </w:p>
    <w:p w:rsidR="005C1CE0" w:rsidRPr="00CA76E0" w:rsidRDefault="005C1CE0" w:rsidP="005C1CE0">
      <w:pPr>
        <w:pStyle w:val="corte4fondo"/>
        <w:spacing w:line="276" w:lineRule="auto"/>
        <w:rPr>
          <w:rFonts w:cs="Arial"/>
          <w:color w:val="2E74B5" w:themeColor="accent1" w:themeShade="BF"/>
          <w:sz w:val="24"/>
          <w:szCs w:val="24"/>
        </w:rPr>
      </w:pPr>
    </w:p>
    <w:p w:rsidR="0010262D" w:rsidRPr="00CA76E0" w:rsidRDefault="0010262D" w:rsidP="00CA76E0">
      <w:pPr>
        <w:pStyle w:val="corte4fondo"/>
        <w:spacing w:line="276" w:lineRule="auto"/>
        <w:rPr>
          <w:rFonts w:cs="Arial"/>
          <w:color w:val="2E74B5" w:themeColor="accent1" w:themeShade="BF"/>
          <w:sz w:val="24"/>
          <w:szCs w:val="24"/>
        </w:rPr>
      </w:pPr>
      <w:r w:rsidRPr="00CA76E0">
        <w:rPr>
          <w:rFonts w:cs="Arial"/>
          <w:color w:val="2E74B5" w:themeColor="accent1" w:themeShade="BF"/>
          <w:sz w:val="24"/>
          <w:szCs w:val="24"/>
        </w:rPr>
        <w:t>Para concluir, la ponente declaró cerrado el periodo de instrucción y procedió a elaborar el proyecto de resolución respectivo.</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p>
    <w:p w:rsidR="0010262D" w:rsidRPr="00CA76E0" w:rsidRDefault="0010262D" w:rsidP="00CA76E0">
      <w:pPr>
        <w:spacing w:after="0" w:line="276" w:lineRule="auto"/>
        <w:ind w:firstLine="709"/>
        <w:jc w:val="center"/>
        <w:rPr>
          <w:rFonts w:ascii="Arial" w:eastAsia="Times New Roman" w:hAnsi="Arial" w:cs="Arial"/>
          <w:b/>
          <w:color w:val="2E74B5" w:themeColor="accent1" w:themeShade="BF"/>
          <w:sz w:val="24"/>
          <w:szCs w:val="24"/>
          <w:lang w:eastAsia="es-MX"/>
        </w:rPr>
      </w:pPr>
      <w:r w:rsidRPr="00CA76E0">
        <w:rPr>
          <w:rFonts w:ascii="Arial" w:eastAsia="Times New Roman" w:hAnsi="Arial" w:cs="Arial"/>
          <w:b/>
          <w:color w:val="2E74B5" w:themeColor="accent1" w:themeShade="BF"/>
          <w:sz w:val="24"/>
          <w:szCs w:val="24"/>
          <w:lang w:eastAsia="es-MX"/>
        </w:rPr>
        <w:t>CONSIDERANDO</w:t>
      </w:r>
    </w:p>
    <w:p w:rsidR="0010262D" w:rsidRPr="00CA76E0" w:rsidRDefault="0010262D" w:rsidP="00CA76E0">
      <w:pPr>
        <w:spacing w:after="0" w:line="276" w:lineRule="auto"/>
        <w:ind w:firstLine="709"/>
        <w:jc w:val="center"/>
        <w:rPr>
          <w:rFonts w:ascii="Arial" w:eastAsia="Times New Roman" w:hAnsi="Arial" w:cs="Arial"/>
          <w:b/>
          <w:color w:val="2E74B5" w:themeColor="accent1" w:themeShade="BF"/>
          <w:sz w:val="24"/>
          <w:szCs w:val="24"/>
          <w:lang w:eastAsia="es-MX"/>
        </w:rPr>
      </w:pP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b/>
          <w:color w:val="2E74B5" w:themeColor="accent1" w:themeShade="BF"/>
          <w:sz w:val="24"/>
          <w:szCs w:val="24"/>
          <w:lang w:eastAsia="es-MX"/>
        </w:rPr>
        <w:t xml:space="preserve">PRIMERO. Competencia. </w:t>
      </w:r>
      <w:r w:rsidRPr="00CA76E0">
        <w:rPr>
          <w:rFonts w:ascii="Arial" w:eastAsia="Times New Roman" w:hAnsi="Arial" w:cs="Arial"/>
          <w:color w:val="2E74B5" w:themeColor="accent1" w:themeShade="BF"/>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b/>
          <w:color w:val="2E74B5" w:themeColor="accent1" w:themeShade="BF"/>
          <w:sz w:val="24"/>
          <w:szCs w:val="24"/>
          <w:lang w:eastAsia="es-MX"/>
        </w:rPr>
        <w:t xml:space="preserve">SEGUNDO. Procedencia. </w:t>
      </w:r>
      <w:r w:rsidRPr="00CA76E0">
        <w:rPr>
          <w:rFonts w:ascii="Arial" w:eastAsia="Times New Roman" w:hAnsi="Arial" w:cs="Arial"/>
          <w:color w:val="2E74B5" w:themeColor="accent1" w:themeShade="BF"/>
          <w:sz w:val="24"/>
          <w:szCs w:val="24"/>
          <w:lang w:eastAsia="es-MX"/>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por parte del sujeto obligado. </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b/>
          <w:color w:val="2E74B5" w:themeColor="accent1" w:themeShade="BF"/>
          <w:sz w:val="24"/>
          <w:szCs w:val="24"/>
          <w:lang w:eastAsia="es-MX"/>
        </w:rPr>
        <w:t xml:space="preserve">TERCERO. Legitimación. </w:t>
      </w:r>
      <w:r w:rsidRPr="00CA76E0">
        <w:rPr>
          <w:rFonts w:ascii="Arial" w:eastAsia="Times New Roman" w:hAnsi="Arial" w:cs="Arial"/>
          <w:color w:val="2E74B5" w:themeColor="accent1" w:themeShade="BF"/>
          <w:sz w:val="24"/>
          <w:szCs w:val="24"/>
          <w:lang w:eastAsia="es-MX"/>
        </w:rPr>
        <w:t>El recurrente se encuentra legitimado para interponer el recurso de revisión, ya que fue él quien presentó la solicitud de acceso a la información pública y la respuesta a ésta es precisamente a aquél quien le pudiera deparar perjuicio.</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b/>
          <w:color w:val="2E74B5" w:themeColor="accent1" w:themeShade="BF"/>
          <w:sz w:val="24"/>
          <w:szCs w:val="24"/>
          <w:lang w:eastAsia="es-MX"/>
        </w:rPr>
        <w:t>CUARTO. Oportunidad del recurso</w:t>
      </w:r>
      <w:r w:rsidRPr="00CA76E0">
        <w:rPr>
          <w:rFonts w:ascii="Arial" w:eastAsia="Times New Roman" w:hAnsi="Arial" w:cs="Arial"/>
          <w:color w:val="2E74B5" w:themeColor="accent1" w:themeShade="BF"/>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10262D" w:rsidRPr="00CA76E0" w:rsidRDefault="0010262D" w:rsidP="00CA76E0">
      <w:pPr>
        <w:spacing w:after="0" w:line="276" w:lineRule="auto"/>
        <w:ind w:firstLine="709"/>
        <w:jc w:val="both"/>
        <w:rPr>
          <w:rFonts w:ascii="Arial" w:eastAsia="Times New Roman" w:hAnsi="Arial" w:cs="Arial"/>
          <w:color w:val="2E74B5" w:themeColor="accent1" w:themeShade="BF"/>
          <w:sz w:val="24"/>
          <w:szCs w:val="24"/>
          <w:lang w:eastAsia="es-MX"/>
        </w:rPr>
      </w:pPr>
    </w:p>
    <w:p w:rsidR="0010262D" w:rsidRPr="00CA76E0" w:rsidRDefault="0010262D" w:rsidP="00CA76E0">
      <w:pPr>
        <w:numPr>
          <w:ilvl w:val="0"/>
          <w:numId w:val="3"/>
        </w:numPr>
        <w:spacing w:after="0" w:line="276" w:lineRule="auto"/>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 xml:space="preserve">El </w:t>
      </w:r>
      <w:r w:rsidR="00C1126D" w:rsidRPr="00CA76E0">
        <w:rPr>
          <w:rFonts w:ascii="Arial" w:eastAsia="Times New Roman" w:hAnsi="Arial" w:cs="Arial"/>
          <w:color w:val="2E74B5" w:themeColor="accent1" w:themeShade="BF"/>
          <w:sz w:val="24"/>
          <w:szCs w:val="24"/>
          <w:lang w:eastAsia="es-MX"/>
        </w:rPr>
        <w:t xml:space="preserve">20 veinte de abril </w:t>
      </w:r>
      <w:r w:rsidRPr="00CA76E0">
        <w:rPr>
          <w:rFonts w:ascii="Arial" w:eastAsia="Times New Roman" w:hAnsi="Arial" w:cs="Arial"/>
          <w:color w:val="2E74B5" w:themeColor="accent1" w:themeShade="BF"/>
          <w:sz w:val="24"/>
          <w:szCs w:val="24"/>
          <w:lang w:eastAsia="es-MX"/>
        </w:rPr>
        <w:t>de 2018 dos mil dieciocho el solicitante de la información fue notificado de la respuesta a su solicitud.</w:t>
      </w:r>
    </w:p>
    <w:p w:rsidR="0010262D" w:rsidRPr="00CA76E0" w:rsidRDefault="0010262D" w:rsidP="00CA76E0">
      <w:pPr>
        <w:numPr>
          <w:ilvl w:val="0"/>
          <w:numId w:val="3"/>
        </w:numPr>
        <w:spacing w:after="0" w:line="276" w:lineRule="auto"/>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 xml:space="preserve">Por lo tanto, el plazo de los quince días hábiles para interponer el recurso de revisión transcurrió del día </w:t>
      </w:r>
      <w:r w:rsidR="00C1126D" w:rsidRPr="00CA76E0">
        <w:rPr>
          <w:rFonts w:ascii="Arial" w:eastAsia="Times New Roman" w:hAnsi="Arial" w:cs="Arial"/>
          <w:color w:val="2E74B5" w:themeColor="accent1" w:themeShade="BF"/>
          <w:sz w:val="24"/>
          <w:szCs w:val="24"/>
          <w:lang w:eastAsia="es-MX"/>
        </w:rPr>
        <w:t xml:space="preserve">23 veintitrés de abril </w:t>
      </w:r>
      <w:r w:rsidRPr="00CA76E0">
        <w:rPr>
          <w:rFonts w:ascii="Arial" w:eastAsia="Times New Roman" w:hAnsi="Arial" w:cs="Arial"/>
          <w:color w:val="2E74B5" w:themeColor="accent1" w:themeShade="BF"/>
          <w:sz w:val="24"/>
          <w:szCs w:val="24"/>
          <w:lang w:eastAsia="es-MX"/>
        </w:rPr>
        <w:t>al</w:t>
      </w:r>
      <w:r w:rsidR="00C1126D" w:rsidRPr="00CA76E0">
        <w:rPr>
          <w:rFonts w:ascii="Arial" w:eastAsia="Times New Roman" w:hAnsi="Arial" w:cs="Arial"/>
          <w:color w:val="2E74B5" w:themeColor="accent1" w:themeShade="BF"/>
          <w:sz w:val="24"/>
          <w:szCs w:val="24"/>
          <w:lang w:eastAsia="es-MX"/>
        </w:rPr>
        <w:t xml:space="preserve"> 15 quince de mayo </w:t>
      </w:r>
      <w:r w:rsidRPr="00CA76E0">
        <w:rPr>
          <w:rFonts w:ascii="Arial" w:eastAsia="Times New Roman" w:hAnsi="Arial" w:cs="Arial"/>
          <w:color w:val="2E74B5" w:themeColor="accent1" w:themeShade="BF"/>
          <w:sz w:val="24"/>
          <w:szCs w:val="24"/>
          <w:lang w:eastAsia="es-MX"/>
        </w:rPr>
        <w:t xml:space="preserve">del año en curso. </w:t>
      </w:r>
    </w:p>
    <w:p w:rsidR="0010262D" w:rsidRPr="00CA76E0" w:rsidRDefault="0010262D" w:rsidP="00CA76E0">
      <w:pPr>
        <w:numPr>
          <w:ilvl w:val="0"/>
          <w:numId w:val="3"/>
        </w:numPr>
        <w:spacing w:after="0" w:line="276" w:lineRule="auto"/>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lastRenderedPageBreak/>
        <w:t xml:space="preserve">Se deben de descontar de dicho cómputo por ser inhábiles los días </w:t>
      </w:r>
      <w:r w:rsidR="00C1126D" w:rsidRPr="00CA76E0">
        <w:rPr>
          <w:rFonts w:ascii="Arial" w:eastAsia="Times New Roman" w:hAnsi="Arial" w:cs="Arial"/>
          <w:color w:val="2E74B5" w:themeColor="accent1" w:themeShade="BF"/>
          <w:sz w:val="24"/>
          <w:szCs w:val="24"/>
          <w:lang w:eastAsia="es-MX"/>
        </w:rPr>
        <w:t xml:space="preserve">28 veintiocho, 29 veintinueve </w:t>
      </w:r>
      <w:r w:rsidRPr="00CA76E0">
        <w:rPr>
          <w:rFonts w:ascii="Arial" w:eastAsia="Times New Roman" w:hAnsi="Arial" w:cs="Arial"/>
          <w:color w:val="2E74B5" w:themeColor="accent1" w:themeShade="BF"/>
          <w:sz w:val="24"/>
          <w:szCs w:val="24"/>
          <w:lang w:eastAsia="es-MX"/>
        </w:rPr>
        <w:t>de abril</w:t>
      </w:r>
      <w:r w:rsidR="00C1126D" w:rsidRPr="00CA76E0">
        <w:rPr>
          <w:rFonts w:ascii="Arial" w:eastAsia="Times New Roman" w:hAnsi="Arial" w:cs="Arial"/>
          <w:color w:val="2E74B5" w:themeColor="accent1" w:themeShade="BF"/>
          <w:sz w:val="24"/>
          <w:szCs w:val="24"/>
          <w:lang w:eastAsia="es-MX"/>
        </w:rPr>
        <w:t>, 01 uno, 05 cinco, 06 seis, 10 diez, 12 doce y 13 trece de mayo</w:t>
      </w:r>
      <w:r w:rsidRPr="00CA76E0">
        <w:rPr>
          <w:rFonts w:ascii="Arial" w:eastAsia="Times New Roman" w:hAnsi="Arial" w:cs="Arial"/>
          <w:color w:val="2E74B5" w:themeColor="accent1" w:themeShade="BF"/>
          <w:sz w:val="24"/>
          <w:szCs w:val="24"/>
          <w:lang w:eastAsia="es-MX"/>
        </w:rPr>
        <w:t xml:space="preserve">.  </w:t>
      </w:r>
    </w:p>
    <w:p w:rsidR="0010262D" w:rsidRPr="00CA76E0" w:rsidRDefault="0010262D" w:rsidP="00CA76E0">
      <w:pPr>
        <w:numPr>
          <w:ilvl w:val="0"/>
          <w:numId w:val="3"/>
        </w:numPr>
        <w:spacing w:after="0" w:line="276" w:lineRule="auto"/>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 xml:space="preserve">Consecuentemente si el </w:t>
      </w:r>
      <w:r w:rsidR="00027AAF" w:rsidRPr="00CA76E0">
        <w:rPr>
          <w:rFonts w:ascii="Arial" w:eastAsia="Times New Roman" w:hAnsi="Arial" w:cs="Arial"/>
          <w:color w:val="2E74B5" w:themeColor="accent1" w:themeShade="BF"/>
          <w:sz w:val="24"/>
          <w:szCs w:val="24"/>
          <w:lang w:eastAsia="es-MX"/>
        </w:rPr>
        <w:t xml:space="preserve">26 veintiséis </w:t>
      </w:r>
      <w:r w:rsidRPr="00CA76E0">
        <w:rPr>
          <w:rFonts w:ascii="Arial" w:eastAsia="Times New Roman" w:hAnsi="Arial" w:cs="Arial"/>
          <w:color w:val="2E74B5" w:themeColor="accent1" w:themeShade="BF"/>
          <w:sz w:val="24"/>
          <w:szCs w:val="24"/>
          <w:lang w:eastAsia="es-MX"/>
        </w:rPr>
        <w:t xml:space="preserve">de abril de este año el recurrente interpuso el citado medio de impugnación ante esta Comisión de Transparencia, resulta claro que es oportuna su presentación.  </w:t>
      </w:r>
    </w:p>
    <w:p w:rsidR="0010262D" w:rsidRPr="00CA76E0" w:rsidRDefault="0010262D" w:rsidP="00CA76E0">
      <w:pPr>
        <w:pStyle w:val="corte4fondo"/>
        <w:spacing w:line="276" w:lineRule="auto"/>
        <w:rPr>
          <w:rFonts w:cs="Arial"/>
          <w:color w:val="2E74B5" w:themeColor="accent1" w:themeShade="BF"/>
          <w:sz w:val="24"/>
          <w:szCs w:val="24"/>
        </w:rPr>
      </w:pPr>
    </w:p>
    <w:p w:rsidR="0010262D" w:rsidRPr="00CA76E0" w:rsidRDefault="0010262D" w:rsidP="00CA76E0">
      <w:pPr>
        <w:pStyle w:val="corte4fondo"/>
        <w:spacing w:line="276" w:lineRule="auto"/>
        <w:rPr>
          <w:rFonts w:cs="Arial"/>
          <w:color w:val="2E74B5" w:themeColor="accent1" w:themeShade="BF"/>
          <w:sz w:val="24"/>
          <w:szCs w:val="24"/>
        </w:rPr>
      </w:pPr>
      <w:r w:rsidRPr="00CA76E0">
        <w:rPr>
          <w:rFonts w:cs="Arial"/>
          <w:b/>
          <w:color w:val="2E74B5" w:themeColor="accent1" w:themeShade="BF"/>
          <w:sz w:val="24"/>
          <w:szCs w:val="24"/>
        </w:rPr>
        <w:t>QUINTO. Certeza del acto reclamado</w:t>
      </w:r>
      <w:r w:rsidRPr="00CA76E0">
        <w:rPr>
          <w:rFonts w:cs="Arial"/>
          <w:color w:val="2E74B5" w:themeColor="accent1" w:themeShade="BF"/>
          <w:sz w:val="24"/>
          <w:szCs w:val="24"/>
        </w:rPr>
        <w:t xml:space="preserve">. Es cierto lo que se le reclama al sujeto obligado en virtud de que la solicitud de acceso a la información pública fue </w:t>
      </w:r>
      <w:r w:rsidR="00983C2F">
        <w:rPr>
          <w:rFonts w:cs="Arial"/>
          <w:color w:val="2E74B5" w:themeColor="accent1" w:themeShade="BF"/>
          <w:sz w:val="24"/>
          <w:szCs w:val="24"/>
        </w:rPr>
        <w:t>dirigida a la secretaría</w:t>
      </w:r>
      <w:r w:rsidRPr="00CA76E0">
        <w:rPr>
          <w:rFonts w:cs="Arial"/>
          <w:color w:val="2E74B5" w:themeColor="accent1" w:themeShade="BF"/>
          <w:sz w:val="24"/>
          <w:szCs w:val="24"/>
        </w:rPr>
        <w:t xml:space="preserve"> de que se trata como sujeto obligado de acuerdo al registro de la Plataforma Nacional de Transparencia.</w:t>
      </w:r>
    </w:p>
    <w:p w:rsidR="0010262D" w:rsidRPr="00CA76E0" w:rsidRDefault="0010262D" w:rsidP="00CA76E0">
      <w:pPr>
        <w:spacing w:after="0" w:line="276" w:lineRule="auto"/>
        <w:jc w:val="both"/>
        <w:rPr>
          <w:rFonts w:ascii="Arial" w:eastAsia="Times New Roman" w:hAnsi="Arial" w:cs="Arial"/>
          <w:color w:val="2E74B5" w:themeColor="accent1" w:themeShade="BF"/>
          <w:sz w:val="24"/>
          <w:szCs w:val="24"/>
          <w:lang w:eastAsia="es-MX"/>
        </w:rPr>
      </w:pPr>
    </w:p>
    <w:p w:rsidR="0010262D" w:rsidRPr="00CA76E0" w:rsidRDefault="0010262D" w:rsidP="00CA76E0">
      <w:pPr>
        <w:pStyle w:val="corte4fondo"/>
        <w:spacing w:line="276" w:lineRule="auto"/>
        <w:ind w:firstLine="0"/>
        <w:rPr>
          <w:rFonts w:cs="Arial"/>
          <w:color w:val="2E74B5" w:themeColor="accent1" w:themeShade="BF"/>
          <w:sz w:val="24"/>
          <w:szCs w:val="24"/>
        </w:rPr>
      </w:pPr>
      <w:r w:rsidRPr="00CA76E0">
        <w:rPr>
          <w:rFonts w:cs="Arial"/>
          <w:b/>
          <w:color w:val="2E74B5" w:themeColor="accent1" w:themeShade="BF"/>
          <w:sz w:val="24"/>
          <w:szCs w:val="24"/>
        </w:rPr>
        <w:tab/>
        <w:t>SEXTO</w:t>
      </w:r>
      <w:r w:rsidRPr="00CA76E0">
        <w:rPr>
          <w:rFonts w:cs="Arial"/>
          <w:color w:val="2E74B5" w:themeColor="accent1" w:themeShade="BF"/>
          <w:sz w:val="24"/>
          <w:szCs w:val="24"/>
        </w:rPr>
        <w:t xml:space="preserve">. </w:t>
      </w:r>
      <w:r w:rsidRPr="00CA76E0">
        <w:rPr>
          <w:rFonts w:cs="Arial"/>
          <w:b/>
          <w:color w:val="2E74B5" w:themeColor="accent1" w:themeShade="BF"/>
          <w:sz w:val="24"/>
          <w:szCs w:val="24"/>
        </w:rPr>
        <w:t xml:space="preserve">Causales de improcedencia. </w:t>
      </w:r>
      <w:r w:rsidRPr="00CA76E0">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10262D" w:rsidRPr="00CA76E0" w:rsidRDefault="0010262D" w:rsidP="00CA76E0">
      <w:pPr>
        <w:spacing w:after="0" w:line="276" w:lineRule="auto"/>
        <w:jc w:val="both"/>
        <w:rPr>
          <w:rFonts w:ascii="Arial" w:eastAsia="Times New Roman" w:hAnsi="Arial" w:cs="Arial"/>
          <w:b/>
          <w:color w:val="2E74B5" w:themeColor="accent1" w:themeShade="BF"/>
          <w:sz w:val="24"/>
          <w:szCs w:val="24"/>
          <w:lang w:eastAsia="es-MX"/>
        </w:rPr>
      </w:pPr>
    </w:p>
    <w:p w:rsidR="00027AAF" w:rsidRPr="00CA76E0" w:rsidRDefault="0010262D" w:rsidP="00CA76E0">
      <w:pPr>
        <w:pStyle w:val="corte4fondo"/>
        <w:spacing w:line="276" w:lineRule="auto"/>
        <w:ind w:firstLine="708"/>
        <w:rPr>
          <w:rFonts w:cs="Arial"/>
          <w:color w:val="2E74B5" w:themeColor="accent1" w:themeShade="BF"/>
          <w:sz w:val="24"/>
          <w:szCs w:val="24"/>
          <w:lang w:val="es-ES"/>
        </w:rPr>
      </w:pPr>
      <w:r w:rsidRPr="00CA76E0">
        <w:rPr>
          <w:rFonts w:cs="Arial"/>
          <w:b/>
          <w:color w:val="2E74B5" w:themeColor="accent1" w:themeShade="BF"/>
          <w:sz w:val="24"/>
          <w:szCs w:val="24"/>
        </w:rPr>
        <w:t>SEPTIMO.</w:t>
      </w:r>
      <w:r w:rsidR="00027AAF" w:rsidRPr="00CA76E0">
        <w:rPr>
          <w:rFonts w:cs="Arial"/>
          <w:b/>
          <w:color w:val="2E74B5" w:themeColor="accent1" w:themeShade="BF"/>
          <w:sz w:val="24"/>
          <w:szCs w:val="24"/>
        </w:rPr>
        <w:t xml:space="preserve"> Ampliación del plazo para resolver.</w:t>
      </w:r>
      <w:r w:rsidR="00027AAF" w:rsidRPr="00CA76E0">
        <w:rPr>
          <w:rFonts w:cs="Arial"/>
          <w:color w:val="2E74B5" w:themeColor="accent1" w:themeShade="BF"/>
          <w:sz w:val="24"/>
          <w:szCs w:val="24"/>
        </w:rPr>
        <w:t xml:space="preserve"> Por auto de 12 doce de junio de 2018 dos mil dieciocho, la ponente decretó la ampliación del plazo para resolver el presente asunto, ello de conformidad con el Lineamiento Décimo Noveno de los Lineamientos para la Recepción, Sustanciación, Resolución</w:t>
      </w:r>
      <w:r w:rsidR="00027AAF" w:rsidRPr="00CA76E0">
        <w:rPr>
          <w:rFonts w:cs="Arial"/>
          <w:color w:val="2E74B5" w:themeColor="accent1" w:themeShade="BF"/>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w:t>
      </w:r>
      <w:r w:rsidR="00027AAF" w:rsidRPr="00CA76E0">
        <w:rPr>
          <w:rFonts w:cs="Arial"/>
          <w:color w:val="2E74B5" w:themeColor="accent1" w:themeShade="BF"/>
          <w:sz w:val="24"/>
          <w:szCs w:val="24"/>
          <w:lang w:val="es-ES"/>
        </w:rPr>
        <w:t>.</w:t>
      </w:r>
    </w:p>
    <w:p w:rsidR="00027AAF" w:rsidRPr="00CA76E0" w:rsidRDefault="00027AAF" w:rsidP="00CA76E0">
      <w:pPr>
        <w:pStyle w:val="corte4fondo"/>
        <w:spacing w:line="276" w:lineRule="auto"/>
        <w:rPr>
          <w:rFonts w:cs="Arial"/>
          <w:color w:val="2E74B5" w:themeColor="accent1" w:themeShade="BF"/>
          <w:sz w:val="24"/>
          <w:szCs w:val="24"/>
        </w:rPr>
      </w:pPr>
    </w:p>
    <w:p w:rsidR="00027AAF" w:rsidRPr="00CA76E0" w:rsidRDefault="00027AAF" w:rsidP="00CA76E0">
      <w:pPr>
        <w:pStyle w:val="corte4fondo"/>
        <w:spacing w:line="276" w:lineRule="auto"/>
        <w:rPr>
          <w:rFonts w:cs="Arial"/>
          <w:color w:val="2E74B5" w:themeColor="accent1" w:themeShade="BF"/>
          <w:sz w:val="24"/>
          <w:szCs w:val="24"/>
        </w:rPr>
      </w:pPr>
      <w:r w:rsidRPr="00CA76E0">
        <w:rPr>
          <w:rFonts w:cs="Arial"/>
          <w:color w:val="2E74B5" w:themeColor="accent1" w:themeShade="BF"/>
          <w:sz w:val="24"/>
          <w:szCs w:val="24"/>
        </w:rPr>
        <w:t>Para concluir, la ponente declaró cerrado el periodo de instrucción y procedió a elaborar el proyecto de resolución respectivo.</w:t>
      </w:r>
    </w:p>
    <w:p w:rsidR="00027AAF" w:rsidRPr="00CA76E0" w:rsidRDefault="00027AAF" w:rsidP="00CA76E0">
      <w:pPr>
        <w:pStyle w:val="corte4fondo"/>
        <w:spacing w:line="276" w:lineRule="auto"/>
        <w:rPr>
          <w:rFonts w:cs="Arial"/>
          <w:b/>
          <w:color w:val="2E74B5" w:themeColor="accent1" w:themeShade="BF"/>
          <w:sz w:val="24"/>
          <w:szCs w:val="24"/>
        </w:rPr>
      </w:pPr>
    </w:p>
    <w:p w:rsidR="0010262D" w:rsidRPr="00CA76E0" w:rsidRDefault="008E25ED" w:rsidP="00CA76E0">
      <w:pPr>
        <w:pStyle w:val="corte4fondo"/>
        <w:spacing w:line="276" w:lineRule="auto"/>
        <w:rPr>
          <w:rFonts w:cs="Arial"/>
          <w:color w:val="2E74B5" w:themeColor="accent1" w:themeShade="BF"/>
          <w:sz w:val="24"/>
          <w:szCs w:val="24"/>
        </w:rPr>
      </w:pPr>
      <w:r w:rsidRPr="00CA76E0">
        <w:rPr>
          <w:rFonts w:cs="Arial"/>
          <w:b/>
          <w:color w:val="2E74B5" w:themeColor="accent1" w:themeShade="BF"/>
          <w:sz w:val="24"/>
          <w:szCs w:val="24"/>
        </w:rPr>
        <w:t xml:space="preserve">OCTAVO. </w:t>
      </w:r>
      <w:r w:rsidR="0010262D" w:rsidRPr="00CA76E0">
        <w:rPr>
          <w:rFonts w:cs="Arial"/>
          <w:b/>
          <w:color w:val="2E74B5" w:themeColor="accent1" w:themeShade="BF"/>
          <w:sz w:val="24"/>
          <w:szCs w:val="24"/>
        </w:rPr>
        <w:t>Estudio de los agravios</w:t>
      </w:r>
      <w:r w:rsidR="0010262D" w:rsidRPr="00CA76E0">
        <w:rPr>
          <w:rFonts w:cs="Arial"/>
          <w:color w:val="2E74B5" w:themeColor="accent1" w:themeShade="BF"/>
          <w:sz w:val="24"/>
          <w:szCs w:val="24"/>
        </w:rPr>
        <w:t xml:space="preserve">.  </w:t>
      </w:r>
    </w:p>
    <w:p w:rsidR="0010262D" w:rsidRPr="00CA76E0" w:rsidRDefault="0010262D" w:rsidP="00CA76E0">
      <w:pPr>
        <w:pStyle w:val="corte4fondo"/>
        <w:spacing w:line="276" w:lineRule="auto"/>
        <w:rPr>
          <w:rFonts w:cs="Arial"/>
          <w:color w:val="2E74B5" w:themeColor="accent1" w:themeShade="BF"/>
          <w:sz w:val="24"/>
          <w:szCs w:val="24"/>
        </w:rPr>
      </w:pPr>
    </w:p>
    <w:p w:rsidR="0010262D" w:rsidRPr="00CA76E0" w:rsidRDefault="0010262D" w:rsidP="00CA76E0">
      <w:pPr>
        <w:pStyle w:val="corte4fondo"/>
        <w:spacing w:line="276" w:lineRule="auto"/>
        <w:ind w:firstLine="0"/>
        <w:rPr>
          <w:rFonts w:cs="Arial"/>
          <w:color w:val="2E74B5" w:themeColor="accent1" w:themeShade="BF"/>
          <w:sz w:val="24"/>
          <w:szCs w:val="24"/>
        </w:rPr>
      </w:pPr>
      <w:r w:rsidRPr="00CA76E0">
        <w:rPr>
          <w:rFonts w:cs="Arial"/>
          <w:color w:val="2E74B5" w:themeColor="accent1" w:themeShade="BF"/>
          <w:sz w:val="24"/>
          <w:szCs w:val="24"/>
        </w:rPr>
        <w:tab/>
      </w:r>
      <w:r w:rsidR="005631BF" w:rsidRPr="005C1CE0">
        <w:rPr>
          <w:rFonts w:cs="Arial"/>
          <w:b/>
          <w:color w:val="2E74B5" w:themeColor="accent1" w:themeShade="BF"/>
          <w:sz w:val="24"/>
          <w:szCs w:val="24"/>
        </w:rPr>
        <w:t>8</w:t>
      </w:r>
      <w:r w:rsidRPr="005C1CE0">
        <w:rPr>
          <w:rFonts w:cs="Arial"/>
          <w:b/>
          <w:color w:val="2E74B5" w:themeColor="accent1" w:themeShade="BF"/>
          <w:sz w:val="24"/>
          <w:szCs w:val="24"/>
        </w:rPr>
        <w:t>.</w:t>
      </w:r>
      <w:r w:rsidRPr="00CA76E0">
        <w:rPr>
          <w:rFonts w:cs="Arial"/>
          <w:b/>
          <w:color w:val="2E74B5" w:themeColor="accent1" w:themeShade="BF"/>
          <w:sz w:val="24"/>
          <w:szCs w:val="24"/>
        </w:rPr>
        <w:t>1. Agravios.</w:t>
      </w:r>
      <w:r w:rsidRPr="00CA76E0">
        <w:rPr>
          <w:rFonts w:cs="Arial"/>
          <w:color w:val="2E74B5" w:themeColor="accent1" w:themeShade="BF"/>
          <w:sz w:val="24"/>
          <w:szCs w:val="24"/>
        </w:rPr>
        <w:t xml:space="preserve"> El recurrente expresó como agravios:</w:t>
      </w:r>
    </w:p>
    <w:p w:rsidR="0010262D" w:rsidRPr="00CA76E0" w:rsidRDefault="0010262D" w:rsidP="00CA76E0">
      <w:pPr>
        <w:pStyle w:val="corte4fondo"/>
        <w:spacing w:line="276" w:lineRule="auto"/>
        <w:rPr>
          <w:rFonts w:cs="Arial"/>
          <w:color w:val="2E74B5" w:themeColor="accent1" w:themeShade="BF"/>
          <w:sz w:val="24"/>
          <w:szCs w:val="24"/>
        </w:rPr>
      </w:pPr>
    </w:p>
    <w:p w:rsidR="0010262D" w:rsidRPr="00CA76E0" w:rsidRDefault="0010262D" w:rsidP="00CA76E0">
      <w:pPr>
        <w:pStyle w:val="corte4fondo"/>
        <w:spacing w:line="276" w:lineRule="auto"/>
        <w:ind w:left="851"/>
        <w:rPr>
          <w:rFonts w:cs="Arial"/>
          <w:i/>
          <w:color w:val="2E74B5" w:themeColor="accent1" w:themeShade="BF"/>
          <w:sz w:val="20"/>
        </w:rPr>
      </w:pPr>
      <w:r w:rsidRPr="00CA76E0">
        <w:rPr>
          <w:rFonts w:cs="Arial"/>
          <w:i/>
          <w:color w:val="2E74B5" w:themeColor="accent1" w:themeShade="BF"/>
          <w:sz w:val="20"/>
        </w:rPr>
        <w:t>“…</w:t>
      </w:r>
      <w:r w:rsidR="00027AAF" w:rsidRPr="00CA76E0">
        <w:rPr>
          <w:rFonts w:cs="Arial"/>
          <w:i/>
          <w:color w:val="2E74B5" w:themeColor="accent1" w:themeShade="BF"/>
          <w:sz w:val="20"/>
        </w:rPr>
        <w:t>EL ENTE OBLIGADO NO PROPORCIONA LA INFORMACIÓN EN LOS TÉRMINOS SOLICITADOS</w:t>
      </w:r>
      <w:r w:rsidRPr="00CA76E0">
        <w:rPr>
          <w:rFonts w:cs="Arial"/>
          <w:i/>
          <w:color w:val="2E74B5" w:themeColor="accent1" w:themeShade="BF"/>
          <w:sz w:val="20"/>
        </w:rPr>
        <w:t>…</w:t>
      </w:r>
      <w:r w:rsidR="00027AAF" w:rsidRPr="00CA76E0">
        <w:rPr>
          <w:rFonts w:cs="Arial"/>
          <w:i/>
          <w:color w:val="2E74B5" w:themeColor="accent1" w:themeShade="BF"/>
          <w:sz w:val="20"/>
        </w:rPr>
        <w:t>”</w:t>
      </w:r>
    </w:p>
    <w:p w:rsidR="0010262D" w:rsidRPr="00CA76E0" w:rsidRDefault="0010262D" w:rsidP="00CA76E0">
      <w:pPr>
        <w:pStyle w:val="corte4fondo"/>
        <w:spacing w:line="276" w:lineRule="auto"/>
        <w:ind w:left="851" w:firstLine="0"/>
        <w:rPr>
          <w:rFonts w:cs="Arial"/>
          <w:b/>
          <w:color w:val="2E74B5" w:themeColor="accent1" w:themeShade="BF"/>
          <w:sz w:val="24"/>
          <w:szCs w:val="24"/>
        </w:rPr>
      </w:pPr>
    </w:p>
    <w:p w:rsidR="005631BF" w:rsidRPr="00CA76E0" w:rsidRDefault="005631BF" w:rsidP="00CA76E0">
      <w:pPr>
        <w:pStyle w:val="corte4fondo"/>
        <w:spacing w:line="276" w:lineRule="auto"/>
        <w:ind w:left="851" w:firstLine="0"/>
        <w:rPr>
          <w:rFonts w:cs="Arial"/>
          <w:color w:val="2E74B5" w:themeColor="accent1" w:themeShade="BF"/>
          <w:sz w:val="24"/>
          <w:szCs w:val="24"/>
        </w:rPr>
      </w:pPr>
      <w:r w:rsidRPr="00CA76E0">
        <w:rPr>
          <w:rFonts w:cs="Arial"/>
          <w:b/>
          <w:color w:val="2E74B5" w:themeColor="accent1" w:themeShade="BF"/>
          <w:sz w:val="24"/>
          <w:szCs w:val="24"/>
        </w:rPr>
        <w:t>8.1.1. Agravio fundado</w:t>
      </w:r>
      <w:r w:rsidRPr="00CA76E0">
        <w:rPr>
          <w:rFonts w:cs="Arial"/>
          <w:color w:val="2E74B5" w:themeColor="accent1" w:themeShade="BF"/>
          <w:sz w:val="24"/>
          <w:szCs w:val="24"/>
        </w:rPr>
        <w:t>.</w:t>
      </w:r>
    </w:p>
    <w:p w:rsidR="005631BF" w:rsidRPr="00CA76E0" w:rsidRDefault="005631BF" w:rsidP="00CA76E0">
      <w:pPr>
        <w:pStyle w:val="corte4fondo"/>
        <w:tabs>
          <w:tab w:val="left" w:pos="567"/>
        </w:tabs>
        <w:spacing w:line="276" w:lineRule="auto"/>
        <w:rPr>
          <w:rFonts w:cs="Arial"/>
          <w:color w:val="2E74B5" w:themeColor="accent1" w:themeShade="BF"/>
          <w:sz w:val="24"/>
          <w:szCs w:val="24"/>
        </w:rPr>
      </w:pPr>
    </w:p>
    <w:p w:rsidR="005631BF" w:rsidRPr="008E25ED" w:rsidRDefault="005631BF" w:rsidP="00CA76E0">
      <w:pPr>
        <w:pStyle w:val="corte4fondo"/>
        <w:spacing w:line="276" w:lineRule="auto"/>
        <w:ind w:firstLine="0"/>
        <w:rPr>
          <w:rFonts w:cs="Arial"/>
          <w:color w:val="2E74B5" w:themeColor="accent1" w:themeShade="BF"/>
          <w:sz w:val="24"/>
          <w:szCs w:val="24"/>
        </w:rPr>
      </w:pPr>
      <w:r w:rsidRPr="00CA76E0">
        <w:rPr>
          <w:rFonts w:cs="Arial"/>
          <w:color w:val="2E74B5" w:themeColor="accent1" w:themeShade="BF"/>
          <w:sz w:val="23"/>
          <w:szCs w:val="23"/>
        </w:rPr>
        <w:tab/>
      </w:r>
      <w:r w:rsidRPr="008E25ED">
        <w:rPr>
          <w:rFonts w:cs="Arial"/>
          <w:color w:val="2E74B5" w:themeColor="accent1" w:themeShade="BF"/>
          <w:sz w:val="24"/>
          <w:szCs w:val="24"/>
        </w:rPr>
        <w:t>El artículo 11, de la Ley de Transparencia refiere que:</w:t>
      </w:r>
    </w:p>
    <w:p w:rsidR="005631BF" w:rsidRPr="00CA76E0" w:rsidRDefault="005631BF" w:rsidP="00CA76E0">
      <w:pPr>
        <w:pStyle w:val="corte4fondo"/>
        <w:spacing w:line="276" w:lineRule="auto"/>
        <w:ind w:firstLine="0"/>
        <w:rPr>
          <w:rFonts w:cs="Arial"/>
          <w:color w:val="2E74B5" w:themeColor="accent1" w:themeShade="BF"/>
          <w:sz w:val="23"/>
          <w:szCs w:val="23"/>
        </w:rPr>
      </w:pPr>
    </w:p>
    <w:p w:rsidR="005631BF" w:rsidRPr="008E25ED" w:rsidRDefault="005631BF" w:rsidP="00CA76E0">
      <w:pPr>
        <w:pStyle w:val="corte4fondo"/>
        <w:spacing w:line="276" w:lineRule="auto"/>
        <w:ind w:left="708" w:firstLine="0"/>
        <w:rPr>
          <w:rFonts w:cs="Arial"/>
          <w:i/>
          <w:color w:val="2E74B5" w:themeColor="accent1" w:themeShade="BF"/>
          <w:sz w:val="20"/>
        </w:rPr>
      </w:pPr>
      <w:r w:rsidRPr="008E25ED">
        <w:rPr>
          <w:rFonts w:cs="Arial"/>
          <w:b/>
          <w:i/>
          <w:color w:val="2E74B5" w:themeColor="accent1" w:themeShade="BF"/>
          <w:sz w:val="20"/>
        </w:rPr>
        <w:t>ARTÍCULO 11</w:t>
      </w:r>
      <w:r w:rsidRPr="008E25ED">
        <w:rPr>
          <w:rFonts w:cs="Arial"/>
          <w:i/>
          <w:color w:val="2E74B5" w:themeColor="accent1" w:themeShade="BF"/>
          <w:sz w:val="20"/>
        </w:rPr>
        <w:t>. Toda la información en posesión de los sujetos obligados será pública, completa, oportuna y accesible, sujeta a un claro régimen de excepciones que deberán estar definidas y ser además legítimas y estrictamente necesarias en una sociedad democrática.</w:t>
      </w:r>
    </w:p>
    <w:p w:rsidR="005631BF" w:rsidRPr="00CA76E0" w:rsidRDefault="005631BF" w:rsidP="00CA76E0">
      <w:pPr>
        <w:pStyle w:val="corte4fondo"/>
        <w:spacing w:line="276" w:lineRule="auto"/>
        <w:ind w:firstLine="0"/>
        <w:rPr>
          <w:rFonts w:cs="Arial"/>
          <w:color w:val="2E74B5" w:themeColor="accent1" w:themeShade="BF"/>
          <w:sz w:val="23"/>
          <w:szCs w:val="23"/>
        </w:rPr>
      </w:pPr>
    </w:p>
    <w:p w:rsidR="005631BF" w:rsidRPr="008E25ED" w:rsidRDefault="005631BF" w:rsidP="00CA76E0">
      <w:pPr>
        <w:pStyle w:val="corte4fondo"/>
        <w:spacing w:line="276" w:lineRule="auto"/>
        <w:ind w:firstLine="0"/>
        <w:rPr>
          <w:rFonts w:cs="Arial"/>
          <w:color w:val="2E74B5" w:themeColor="accent1" w:themeShade="BF"/>
          <w:sz w:val="24"/>
          <w:szCs w:val="24"/>
        </w:rPr>
      </w:pPr>
      <w:r w:rsidRPr="00CA76E0">
        <w:rPr>
          <w:rFonts w:cs="Arial"/>
          <w:color w:val="2E74B5" w:themeColor="accent1" w:themeShade="BF"/>
          <w:sz w:val="23"/>
          <w:szCs w:val="23"/>
        </w:rPr>
        <w:tab/>
      </w:r>
      <w:r w:rsidRPr="008E25ED">
        <w:rPr>
          <w:rFonts w:cs="Arial"/>
          <w:color w:val="2E74B5" w:themeColor="accent1" w:themeShade="BF"/>
          <w:sz w:val="24"/>
          <w:szCs w:val="24"/>
        </w:rPr>
        <w:t>Así, toda la información –con sus excepciones– en posesión de los sujetos obligados, aparte de ser pública, debe de ser completa.</w:t>
      </w:r>
    </w:p>
    <w:p w:rsidR="005631BF" w:rsidRPr="008E25ED" w:rsidRDefault="005631BF" w:rsidP="00CA76E0">
      <w:pPr>
        <w:pStyle w:val="corte4fondo"/>
        <w:spacing w:line="276" w:lineRule="auto"/>
        <w:ind w:firstLine="0"/>
        <w:rPr>
          <w:rFonts w:cs="Arial"/>
          <w:color w:val="2E74B5" w:themeColor="accent1" w:themeShade="BF"/>
          <w:sz w:val="24"/>
          <w:szCs w:val="24"/>
        </w:rPr>
      </w:pPr>
    </w:p>
    <w:p w:rsidR="008E25ED" w:rsidRPr="008E25ED" w:rsidRDefault="005631BF" w:rsidP="008E25ED">
      <w:pPr>
        <w:pStyle w:val="corte4fondo"/>
        <w:spacing w:line="276" w:lineRule="auto"/>
        <w:ind w:firstLine="0"/>
        <w:rPr>
          <w:rFonts w:cs="Arial"/>
          <w:color w:val="2E74B5" w:themeColor="accent1" w:themeShade="BF"/>
          <w:sz w:val="24"/>
          <w:szCs w:val="24"/>
        </w:rPr>
      </w:pPr>
      <w:r w:rsidRPr="008E25ED">
        <w:rPr>
          <w:rFonts w:cs="Arial"/>
          <w:color w:val="2E74B5" w:themeColor="accent1" w:themeShade="BF"/>
          <w:sz w:val="24"/>
          <w:szCs w:val="24"/>
        </w:rPr>
        <w:lastRenderedPageBreak/>
        <w:tab/>
        <w:t xml:space="preserve">En el caso, el análisis a la solicitud de acceso a la información pública por parte del sujeto obligado no fue de forma exhaustiva, es decir, la autoridad </w:t>
      </w:r>
      <w:r w:rsidR="00A51F36" w:rsidRPr="008E25ED">
        <w:rPr>
          <w:rFonts w:cs="Arial"/>
          <w:color w:val="2E74B5" w:themeColor="accent1" w:themeShade="BF"/>
          <w:sz w:val="24"/>
          <w:szCs w:val="24"/>
        </w:rPr>
        <w:t>no atendió</w:t>
      </w:r>
      <w:r w:rsidR="008E25ED" w:rsidRPr="008E25ED">
        <w:rPr>
          <w:rFonts w:cs="Arial"/>
          <w:color w:val="2E74B5" w:themeColor="accent1" w:themeShade="BF"/>
          <w:sz w:val="24"/>
          <w:szCs w:val="24"/>
        </w:rPr>
        <w:t xml:space="preserve"> a cabalidad los puntos que le fueron requeridos, ya que no se pronunció sobre el nombre de los beneficiarios.</w:t>
      </w:r>
    </w:p>
    <w:p w:rsidR="005631BF" w:rsidRPr="008E25ED" w:rsidRDefault="005631BF" w:rsidP="00CA76E0">
      <w:pPr>
        <w:pStyle w:val="corte4fondo"/>
        <w:spacing w:line="276" w:lineRule="auto"/>
        <w:ind w:firstLine="0"/>
        <w:rPr>
          <w:rFonts w:cs="Arial"/>
          <w:color w:val="2E74B5" w:themeColor="accent1" w:themeShade="BF"/>
          <w:sz w:val="24"/>
          <w:szCs w:val="24"/>
        </w:rPr>
      </w:pPr>
    </w:p>
    <w:p w:rsidR="005631BF" w:rsidRPr="008E25ED" w:rsidRDefault="005631BF" w:rsidP="00CA76E0">
      <w:pPr>
        <w:pStyle w:val="corte4fondo"/>
        <w:spacing w:line="276" w:lineRule="auto"/>
        <w:ind w:firstLine="0"/>
        <w:rPr>
          <w:rFonts w:cs="Arial"/>
          <w:color w:val="2E74B5" w:themeColor="accent1" w:themeShade="BF"/>
          <w:sz w:val="24"/>
          <w:szCs w:val="24"/>
        </w:rPr>
      </w:pPr>
      <w:r w:rsidRPr="008E25ED">
        <w:rPr>
          <w:rFonts w:cs="Arial"/>
          <w:color w:val="2E74B5" w:themeColor="accent1" w:themeShade="BF"/>
          <w:sz w:val="24"/>
          <w:szCs w:val="24"/>
        </w:rPr>
        <w:tab/>
        <w:t>En efecto, recordemos que el solicitante pidió:</w:t>
      </w:r>
    </w:p>
    <w:p w:rsidR="005631BF" w:rsidRPr="008E25ED" w:rsidRDefault="005631BF" w:rsidP="00CA76E0">
      <w:pPr>
        <w:pStyle w:val="corte4fondo"/>
        <w:spacing w:line="276" w:lineRule="auto"/>
        <w:ind w:firstLine="0"/>
        <w:rPr>
          <w:rFonts w:cs="Arial"/>
          <w:color w:val="2E74B5" w:themeColor="accent1" w:themeShade="BF"/>
          <w:sz w:val="24"/>
          <w:szCs w:val="24"/>
        </w:rPr>
      </w:pPr>
    </w:p>
    <w:p w:rsidR="005631BF" w:rsidRPr="00CA76E0" w:rsidRDefault="005631BF" w:rsidP="00CA76E0">
      <w:pPr>
        <w:pStyle w:val="corte4fondo"/>
        <w:spacing w:line="276" w:lineRule="auto"/>
        <w:ind w:firstLine="0"/>
        <w:rPr>
          <w:rFonts w:cs="Arial"/>
          <w:i/>
          <w:color w:val="2E74B5" w:themeColor="accent1" w:themeShade="BF"/>
          <w:sz w:val="20"/>
        </w:rPr>
      </w:pPr>
      <w:r w:rsidRPr="00DC0FE0">
        <w:rPr>
          <w:rFonts w:cs="Arial"/>
          <w:i/>
          <w:color w:val="2E74B5" w:themeColor="accent1" w:themeShade="BF"/>
          <w:sz w:val="20"/>
        </w:rPr>
        <w:t>“…PROPORCIONE LISTADO DE APOYOS QUE CUBREN LA EMISIÓN DEL CHEQUE NUMERO SP0000019505, DE FECHA 10 DE AGOSTO DE 2017 EN FAVOR DEL INSTITUTO DE VIVIENDA DE SAN LUIS POTOSÍ, ASÍ COMO EL NOMBRE DE LOS BENEFICIARIOS DE ESOS APOYOS…”</w:t>
      </w:r>
    </w:p>
    <w:p w:rsidR="005631BF" w:rsidRPr="00CA76E0" w:rsidRDefault="005631BF" w:rsidP="00CA76E0">
      <w:pPr>
        <w:pStyle w:val="corte4fondo"/>
        <w:spacing w:line="276" w:lineRule="auto"/>
        <w:ind w:firstLine="0"/>
        <w:rPr>
          <w:rFonts w:cs="Arial"/>
          <w:color w:val="2E74B5" w:themeColor="accent1" w:themeShade="BF"/>
          <w:sz w:val="23"/>
          <w:szCs w:val="23"/>
        </w:rPr>
      </w:pPr>
    </w:p>
    <w:p w:rsidR="005631BF" w:rsidRPr="008E25ED" w:rsidRDefault="005631BF" w:rsidP="00CA76E0">
      <w:pPr>
        <w:pStyle w:val="corte4fondo"/>
        <w:spacing w:line="276" w:lineRule="auto"/>
        <w:ind w:firstLine="0"/>
        <w:rPr>
          <w:rFonts w:cs="Arial"/>
          <w:color w:val="2E74B5" w:themeColor="accent1" w:themeShade="BF"/>
          <w:sz w:val="24"/>
          <w:szCs w:val="24"/>
        </w:rPr>
      </w:pPr>
      <w:r w:rsidRPr="00CA76E0">
        <w:rPr>
          <w:rFonts w:cs="Arial"/>
          <w:color w:val="2E74B5" w:themeColor="accent1" w:themeShade="BF"/>
          <w:sz w:val="23"/>
          <w:szCs w:val="23"/>
        </w:rPr>
        <w:tab/>
      </w:r>
      <w:r w:rsidRPr="008E25ED">
        <w:rPr>
          <w:rFonts w:cs="Arial"/>
          <w:color w:val="2E74B5" w:themeColor="accent1" w:themeShade="BF"/>
          <w:sz w:val="24"/>
          <w:szCs w:val="24"/>
        </w:rPr>
        <w:t xml:space="preserve">Y si en la respuesta a la solicitud de acceso a la información pública el sujeto obligado puso a disposición cierta información, en el sentido de que </w:t>
      </w:r>
      <w:r w:rsidR="003D720F" w:rsidRPr="008E25ED">
        <w:rPr>
          <w:rFonts w:cs="Arial"/>
          <w:color w:val="2E74B5" w:themeColor="accent1" w:themeShade="BF"/>
          <w:sz w:val="24"/>
          <w:szCs w:val="24"/>
        </w:rPr>
        <w:t>expresó por</w:t>
      </w:r>
      <w:r w:rsidR="00AB359A" w:rsidRPr="008E25ED">
        <w:rPr>
          <w:rFonts w:cs="Arial"/>
          <w:color w:val="2E74B5" w:themeColor="accent1" w:themeShade="BF"/>
          <w:sz w:val="24"/>
          <w:szCs w:val="24"/>
        </w:rPr>
        <w:t xml:space="preserve"> este conducto adjunto el documento que ampara la transferencia y desglose del pago solicitado </w:t>
      </w:r>
      <w:r w:rsidR="003D720F" w:rsidRPr="008E25ED">
        <w:rPr>
          <w:rFonts w:cs="Arial"/>
          <w:color w:val="2E74B5" w:themeColor="accent1" w:themeShade="BF"/>
          <w:sz w:val="24"/>
          <w:szCs w:val="24"/>
        </w:rPr>
        <w:t>para consulta del peticionario según informe emitido por la Dirección de Caja General</w:t>
      </w:r>
      <w:r w:rsidRPr="008E25ED">
        <w:rPr>
          <w:rFonts w:cs="Arial"/>
          <w:color w:val="2E74B5" w:themeColor="accent1" w:themeShade="BF"/>
          <w:sz w:val="24"/>
          <w:szCs w:val="24"/>
        </w:rPr>
        <w:t>, empero en el caso no entregó o adjuntó la información referente</w:t>
      </w:r>
      <w:r w:rsidR="003D720F" w:rsidRPr="008E25ED">
        <w:rPr>
          <w:rFonts w:cs="Arial"/>
          <w:color w:val="2E74B5" w:themeColor="accent1" w:themeShade="BF"/>
          <w:sz w:val="24"/>
          <w:szCs w:val="24"/>
        </w:rPr>
        <w:t xml:space="preserve"> a el nombre de los beneficiarios de esos apoyos</w:t>
      </w:r>
      <w:r w:rsidRPr="008E25ED">
        <w:rPr>
          <w:rFonts w:cs="Arial"/>
          <w:color w:val="2E74B5" w:themeColor="accent1" w:themeShade="BF"/>
          <w:sz w:val="24"/>
          <w:szCs w:val="24"/>
        </w:rPr>
        <w:t>.</w:t>
      </w:r>
    </w:p>
    <w:p w:rsidR="005631BF" w:rsidRPr="008E25ED" w:rsidRDefault="005631BF" w:rsidP="00CA76E0">
      <w:pPr>
        <w:pStyle w:val="corte4fondo"/>
        <w:spacing w:line="276" w:lineRule="auto"/>
        <w:ind w:firstLine="0"/>
        <w:rPr>
          <w:rFonts w:cs="Arial"/>
          <w:color w:val="2E74B5" w:themeColor="accent1" w:themeShade="BF"/>
          <w:sz w:val="24"/>
          <w:szCs w:val="24"/>
        </w:rPr>
      </w:pPr>
    </w:p>
    <w:p w:rsidR="005631BF" w:rsidRPr="008E25ED" w:rsidRDefault="005631BF" w:rsidP="00CA76E0">
      <w:pPr>
        <w:pStyle w:val="corte4fondo"/>
        <w:spacing w:line="276" w:lineRule="auto"/>
        <w:ind w:firstLine="0"/>
        <w:rPr>
          <w:rFonts w:cs="Arial"/>
          <w:color w:val="2E74B5" w:themeColor="accent1" w:themeShade="BF"/>
          <w:sz w:val="24"/>
          <w:szCs w:val="24"/>
        </w:rPr>
      </w:pPr>
      <w:r w:rsidRPr="008E25ED">
        <w:rPr>
          <w:rFonts w:cs="Arial"/>
          <w:color w:val="2E74B5" w:themeColor="accent1" w:themeShade="BF"/>
          <w:sz w:val="24"/>
          <w:szCs w:val="24"/>
        </w:rPr>
        <w:tab/>
      </w:r>
      <w:r w:rsidR="0007293B" w:rsidRPr="008E25ED">
        <w:rPr>
          <w:rFonts w:cs="Arial"/>
          <w:color w:val="2E74B5" w:themeColor="accent1" w:themeShade="BF"/>
          <w:sz w:val="24"/>
          <w:szCs w:val="24"/>
        </w:rPr>
        <w:t xml:space="preserve">Así, esa respuesta es incompleta en virtud de que </w:t>
      </w:r>
      <w:r w:rsidR="005618CF" w:rsidRPr="008E25ED">
        <w:rPr>
          <w:rFonts w:cs="Arial"/>
          <w:color w:val="2E74B5" w:themeColor="accent1" w:themeShade="BF"/>
          <w:sz w:val="24"/>
          <w:szCs w:val="24"/>
        </w:rPr>
        <w:t>d</w:t>
      </w:r>
      <w:r w:rsidRPr="008E25ED">
        <w:rPr>
          <w:rFonts w:cs="Arial"/>
          <w:color w:val="2E74B5" w:themeColor="accent1" w:themeShade="BF"/>
          <w:sz w:val="24"/>
          <w:szCs w:val="24"/>
        </w:rPr>
        <w:t>e la respuesta se puede apreciar</w:t>
      </w:r>
      <w:r w:rsidR="005618CF" w:rsidRPr="008E25ED">
        <w:rPr>
          <w:rFonts w:cs="Arial"/>
          <w:color w:val="2E74B5" w:themeColor="accent1" w:themeShade="BF"/>
          <w:sz w:val="24"/>
          <w:szCs w:val="24"/>
        </w:rPr>
        <w:t xml:space="preserve"> la existencia de un único </w:t>
      </w:r>
      <w:r w:rsidRPr="008E25ED">
        <w:rPr>
          <w:rFonts w:cs="Arial"/>
          <w:color w:val="2E74B5" w:themeColor="accent1" w:themeShade="BF"/>
          <w:sz w:val="24"/>
          <w:szCs w:val="24"/>
        </w:rPr>
        <w:t xml:space="preserve">archivo adjunto, es decir, que por más que el </w:t>
      </w:r>
      <w:r w:rsidR="005618CF" w:rsidRPr="008E25ED">
        <w:rPr>
          <w:rFonts w:cs="Arial"/>
          <w:color w:val="2E74B5" w:themeColor="accent1" w:themeShade="BF"/>
          <w:sz w:val="24"/>
          <w:szCs w:val="24"/>
        </w:rPr>
        <w:t>sujeto obligado h</w:t>
      </w:r>
      <w:r w:rsidR="00EF73A2" w:rsidRPr="008E25ED">
        <w:rPr>
          <w:rFonts w:cs="Arial"/>
          <w:color w:val="2E74B5" w:themeColor="accent1" w:themeShade="BF"/>
          <w:sz w:val="24"/>
          <w:szCs w:val="24"/>
        </w:rPr>
        <w:t>aya dicho que adjuntaba el documento que ampara la transferencia y desglose del pago solicitado,</w:t>
      </w:r>
      <w:r w:rsidRPr="008E25ED">
        <w:rPr>
          <w:rFonts w:cs="Arial"/>
          <w:color w:val="2E74B5" w:themeColor="accent1" w:themeShade="BF"/>
          <w:sz w:val="24"/>
          <w:szCs w:val="24"/>
        </w:rPr>
        <w:t xml:space="preserve"> lo cierto es que </w:t>
      </w:r>
      <w:r w:rsidR="00EF73A2" w:rsidRPr="008E25ED">
        <w:rPr>
          <w:rFonts w:cs="Arial"/>
          <w:color w:val="2E74B5" w:themeColor="accent1" w:themeShade="BF"/>
          <w:sz w:val="24"/>
          <w:szCs w:val="24"/>
        </w:rPr>
        <w:t>en ningún momento refirió lo relativo al nombre de los beneficiarios de esos apoyos</w:t>
      </w:r>
      <w:r w:rsidRPr="008E25ED">
        <w:rPr>
          <w:rFonts w:cs="Arial"/>
          <w:color w:val="2E74B5" w:themeColor="accent1" w:themeShade="BF"/>
          <w:sz w:val="24"/>
          <w:szCs w:val="24"/>
        </w:rPr>
        <w:t>, o dicho de un modo más sencillo no hay información adjunta sobre el</w:t>
      </w:r>
      <w:r w:rsidR="00EF73A2" w:rsidRPr="008E25ED">
        <w:rPr>
          <w:rFonts w:cs="Arial"/>
          <w:color w:val="2E74B5" w:themeColor="accent1" w:themeShade="BF"/>
          <w:sz w:val="24"/>
          <w:szCs w:val="24"/>
        </w:rPr>
        <w:t xml:space="preserve"> nombre de los beneficiarios</w:t>
      </w:r>
      <w:r w:rsidRPr="008E25ED">
        <w:rPr>
          <w:rFonts w:cs="Arial"/>
          <w:color w:val="2E74B5" w:themeColor="accent1" w:themeShade="BF"/>
          <w:sz w:val="24"/>
          <w:szCs w:val="24"/>
        </w:rPr>
        <w:t>.</w:t>
      </w:r>
    </w:p>
    <w:p w:rsidR="00EF73A2" w:rsidRPr="00CA76E0" w:rsidRDefault="00EF73A2" w:rsidP="00CA76E0">
      <w:pPr>
        <w:pStyle w:val="corte4fondo"/>
        <w:spacing w:line="276" w:lineRule="auto"/>
        <w:ind w:firstLine="0"/>
        <w:rPr>
          <w:rFonts w:cs="Arial"/>
          <w:b/>
          <w:color w:val="2E74B5" w:themeColor="accent1" w:themeShade="BF"/>
          <w:sz w:val="23"/>
          <w:szCs w:val="23"/>
          <w:highlight w:val="red"/>
        </w:rPr>
      </w:pPr>
    </w:p>
    <w:p w:rsidR="005631BF" w:rsidRPr="008E25ED" w:rsidRDefault="005631BF" w:rsidP="00CA76E0">
      <w:pPr>
        <w:pStyle w:val="corte4fondo"/>
        <w:spacing w:line="276" w:lineRule="auto"/>
        <w:ind w:firstLine="0"/>
        <w:rPr>
          <w:rFonts w:cs="Arial"/>
          <w:color w:val="2E74B5" w:themeColor="accent1" w:themeShade="BF"/>
          <w:sz w:val="24"/>
          <w:szCs w:val="24"/>
        </w:rPr>
      </w:pPr>
      <w:r w:rsidRPr="00CA76E0">
        <w:rPr>
          <w:rFonts w:cs="Arial"/>
          <w:color w:val="2E74B5" w:themeColor="accent1" w:themeShade="BF"/>
          <w:sz w:val="23"/>
          <w:szCs w:val="23"/>
        </w:rPr>
        <w:tab/>
      </w:r>
      <w:r w:rsidRPr="008E25ED">
        <w:rPr>
          <w:rFonts w:cs="Arial"/>
          <w:b/>
          <w:color w:val="2E74B5" w:themeColor="accent1" w:themeShade="BF"/>
          <w:sz w:val="24"/>
          <w:szCs w:val="24"/>
        </w:rPr>
        <w:t>8.2. Modalidad de entrega</w:t>
      </w:r>
      <w:r w:rsidRPr="008E25ED">
        <w:rPr>
          <w:rFonts w:cs="Arial"/>
          <w:color w:val="2E74B5" w:themeColor="accent1" w:themeShade="BF"/>
          <w:sz w:val="24"/>
          <w:szCs w:val="24"/>
        </w:rPr>
        <w:t>.</w:t>
      </w:r>
    </w:p>
    <w:p w:rsidR="005631BF" w:rsidRPr="008E25ED" w:rsidRDefault="005631BF" w:rsidP="00CA76E0">
      <w:pPr>
        <w:pStyle w:val="corte4fondo"/>
        <w:spacing w:line="276" w:lineRule="auto"/>
        <w:ind w:firstLine="0"/>
        <w:rPr>
          <w:rFonts w:cs="Arial"/>
          <w:color w:val="2E74B5" w:themeColor="accent1" w:themeShade="BF"/>
          <w:sz w:val="24"/>
          <w:szCs w:val="24"/>
        </w:rPr>
      </w:pPr>
    </w:p>
    <w:p w:rsidR="005631BF" w:rsidRPr="008E25ED" w:rsidRDefault="005631BF" w:rsidP="00CA76E0">
      <w:pPr>
        <w:pStyle w:val="Prrafodelista"/>
        <w:spacing w:after="0"/>
        <w:ind w:left="0"/>
        <w:jc w:val="both"/>
        <w:rPr>
          <w:rFonts w:ascii="Arial" w:hAnsi="Arial" w:cs="Arial"/>
          <w:color w:val="2E74B5" w:themeColor="accent1" w:themeShade="BF"/>
          <w:sz w:val="24"/>
          <w:szCs w:val="24"/>
        </w:rPr>
      </w:pPr>
      <w:r w:rsidRPr="008E25ED">
        <w:rPr>
          <w:rFonts w:ascii="Arial" w:hAnsi="Arial" w:cs="Arial"/>
          <w:color w:val="2E74B5" w:themeColor="accent1" w:themeShade="BF"/>
          <w:sz w:val="24"/>
          <w:szCs w:val="24"/>
        </w:rPr>
        <w:tab/>
        <w:t>Sobre este tópico los artículos 17, 146, fracción V, primer párrafo y 155, de la Ley de Transparencia establecen que:</w:t>
      </w:r>
    </w:p>
    <w:p w:rsidR="005631BF" w:rsidRPr="008E25ED" w:rsidRDefault="005631BF" w:rsidP="00CA76E0">
      <w:pPr>
        <w:pStyle w:val="Prrafodelista"/>
        <w:spacing w:after="0"/>
        <w:ind w:left="0"/>
        <w:jc w:val="both"/>
        <w:rPr>
          <w:rFonts w:ascii="Arial" w:hAnsi="Arial" w:cs="Arial"/>
          <w:color w:val="2E74B5" w:themeColor="accent1" w:themeShade="BF"/>
          <w:sz w:val="24"/>
          <w:szCs w:val="24"/>
        </w:rPr>
      </w:pPr>
    </w:p>
    <w:p w:rsidR="005631BF" w:rsidRPr="008E25ED" w:rsidRDefault="005631BF" w:rsidP="00CA76E0">
      <w:pPr>
        <w:pStyle w:val="corte4fondo"/>
        <w:tabs>
          <w:tab w:val="left" w:pos="567"/>
        </w:tabs>
        <w:spacing w:line="276" w:lineRule="auto"/>
        <w:ind w:left="567" w:firstLine="0"/>
        <w:rPr>
          <w:rFonts w:cs="Arial"/>
          <w:i/>
          <w:color w:val="2E74B5" w:themeColor="accent1" w:themeShade="BF"/>
          <w:sz w:val="24"/>
          <w:szCs w:val="24"/>
        </w:rPr>
      </w:pPr>
      <w:r w:rsidRPr="008E25ED">
        <w:rPr>
          <w:b/>
          <w:bCs/>
          <w:i/>
          <w:color w:val="2E74B5" w:themeColor="accent1" w:themeShade="BF"/>
          <w:sz w:val="20"/>
        </w:rPr>
        <w:t xml:space="preserve">ARTÍCULO 17. </w:t>
      </w:r>
      <w:r w:rsidRPr="008E25ED">
        <w:rPr>
          <w:i/>
          <w:color w:val="2E74B5" w:themeColor="accent1" w:themeShade="BF"/>
          <w:sz w:val="20"/>
        </w:rPr>
        <w:t xml:space="preserve">El ejercicio del derecho de acceso a la información es gratuito y sólo podrá requerirse el cobro correspondiente a la modalidad de reproducción y entrega solicitada. </w:t>
      </w:r>
    </w:p>
    <w:p w:rsidR="005631BF" w:rsidRPr="008E25ED" w:rsidRDefault="005631BF" w:rsidP="00CA76E0">
      <w:pPr>
        <w:pStyle w:val="corte4fondo"/>
        <w:tabs>
          <w:tab w:val="left" w:pos="567"/>
        </w:tabs>
        <w:spacing w:line="276" w:lineRule="auto"/>
        <w:ind w:left="567" w:firstLine="0"/>
        <w:rPr>
          <w:i/>
          <w:color w:val="2E74B5" w:themeColor="accent1" w:themeShade="BF"/>
          <w:sz w:val="20"/>
        </w:rPr>
      </w:pPr>
      <w:r w:rsidRPr="008E25ED">
        <w:rPr>
          <w:i/>
          <w:color w:val="2E74B5" w:themeColor="accent1" w:themeShade="BF"/>
          <w:sz w:val="20"/>
        </w:rPr>
        <w:t>En ningún caso los ajustes razonables que se realicen para el acceso de la información de solicitantes con discapacidad, será con costo a los mismos.</w:t>
      </w:r>
    </w:p>
    <w:p w:rsidR="005631BF" w:rsidRPr="008E25ED" w:rsidRDefault="005631BF" w:rsidP="00CA76E0">
      <w:pPr>
        <w:pStyle w:val="corte4fondo"/>
        <w:tabs>
          <w:tab w:val="left" w:pos="567"/>
        </w:tabs>
        <w:spacing w:line="276" w:lineRule="auto"/>
        <w:ind w:left="567" w:firstLine="0"/>
        <w:rPr>
          <w:i/>
          <w:color w:val="2E74B5" w:themeColor="accent1" w:themeShade="BF"/>
          <w:sz w:val="20"/>
        </w:rPr>
      </w:pPr>
    </w:p>
    <w:p w:rsidR="005631BF" w:rsidRPr="008E25ED" w:rsidRDefault="005631BF" w:rsidP="00CA76E0">
      <w:pPr>
        <w:pStyle w:val="corte4fondo"/>
        <w:tabs>
          <w:tab w:val="left" w:pos="567"/>
        </w:tabs>
        <w:spacing w:line="276" w:lineRule="auto"/>
        <w:ind w:left="567" w:firstLine="0"/>
        <w:rPr>
          <w:i/>
          <w:color w:val="2E74B5" w:themeColor="accent1" w:themeShade="BF"/>
          <w:sz w:val="20"/>
        </w:rPr>
      </w:pPr>
      <w:r w:rsidRPr="008E25ED">
        <w:rPr>
          <w:b/>
          <w:bCs/>
          <w:i/>
          <w:color w:val="2E74B5" w:themeColor="accent1" w:themeShade="BF"/>
          <w:sz w:val="20"/>
        </w:rPr>
        <w:t xml:space="preserve">ARTÍCULO 146. </w:t>
      </w:r>
      <w:r w:rsidRPr="008E25ED">
        <w:rPr>
          <w:i/>
          <w:color w:val="2E74B5" w:themeColor="accent1" w:themeShade="BF"/>
          <w:sz w:val="20"/>
        </w:rPr>
        <w:t xml:space="preserve">Para presentar una solicitud no se podrán exigir mayores requisitos que los siguientes: </w:t>
      </w:r>
    </w:p>
    <w:p w:rsidR="005631BF" w:rsidRPr="008E25ED" w:rsidRDefault="005631BF" w:rsidP="00CA76E0">
      <w:pPr>
        <w:pStyle w:val="corte4fondo"/>
        <w:tabs>
          <w:tab w:val="left" w:pos="567"/>
        </w:tabs>
        <w:spacing w:line="276" w:lineRule="auto"/>
        <w:ind w:left="567" w:firstLine="0"/>
        <w:rPr>
          <w:i/>
          <w:color w:val="2E74B5" w:themeColor="accent1" w:themeShade="BF"/>
          <w:sz w:val="20"/>
        </w:rPr>
      </w:pPr>
      <w:r w:rsidRPr="008E25ED">
        <w:rPr>
          <w:bCs/>
          <w:i/>
          <w:color w:val="2E74B5" w:themeColor="accent1" w:themeShade="BF"/>
          <w:sz w:val="20"/>
        </w:rPr>
        <w:t>[…]</w:t>
      </w:r>
    </w:p>
    <w:p w:rsidR="005631BF" w:rsidRPr="008E25ED" w:rsidRDefault="005631BF" w:rsidP="00CA76E0">
      <w:pPr>
        <w:pStyle w:val="corte4fondo"/>
        <w:tabs>
          <w:tab w:val="left" w:pos="567"/>
        </w:tabs>
        <w:spacing w:line="276" w:lineRule="auto"/>
        <w:ind w:left="567" w:firstLine="0"/>
        <w:rPr>
          <w:i/>
          <w:color w:val="2E74B5" w:themeColor="accent1" w:themeShade="BF"/>
          <w:sz w:val="20"/>
        </w:rPr>
      </w:pPr>
      <w:r w:rsidRPr="008E25ED">
        <w:rPr>
          <w:b/>
          <w:bCs/>
          <w:i/>
          <w:color w:val="2E74B5" w:themeColor="accent1" w:themeShade="BF"/>
          <w:sz w:val="20"/>
        </w:rPr>
        <w:t xml:space="preserve">V. </w:t>
      </w:r>
      <w:r w:rsidRPr="008E25ED">
        <w:rPr>
          <w:i/>
          <w:color w:val="2E74B5" w:themeColor="accent1" w:themeShade="BF"/>
          <w:sz w:val="20"/>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5631BF" w:rsidRPr="008E25ED" w:rsidRDefault="005631BF" w:rsidP="00CA76E0">
      <w:pPr>
        <w:pStyle w:val="corte4fondo"/>
        <w:tabs>
          <w:tab w:val="left" w:pos="567"/>
        </w:tabs>
        <w:spacing w:line="276" w:lineRule="auto"/>
        <w:ind w:left="567" w:firstLine="0"/>
        <w:rPr>
          <w:i/>
          <w:color w:val="2E74B5" w:themeColor="accent1" w:themeShade="BF"/>
          <w:sz w:val="20"/>
        </w:rPr>
      </w:pPr>
    </w:p>
    <w:p w:rsidR="005631BF" w:rsidRPr="008E25ED" w:rsidRDefault="005631BF" w:rsidP="00CA76E0">
      <w:pPr>
        <w:pStyle w:val="corte4fondo"/>
        <w:tabs>
          <w:tab w:val="left" w:pos="567"/>
        </w:tabs>
        <w:spacing w:line="276" w:lineRule="auto"/>
        <w:ind w:left="567" w:firstLine="0"/>
        <w:rPr>
          <w:i/>
          <w:color w:val="2E74B5" w:themeColor="accent1" w:themeShade="BF"/>
          <w:sz w:val="20"/>
        </w:rPr>
      </w:pPr>
      <w:r w:rsidRPr="008E25ED">
        <w:rPr>
          <w:b/>
          <w:i/>
          <w:color w:val="2E74B5" w:themeColor="accent1" w:themeShade="BF"/>
          <w:sz w:val="20"/>
        </w:rPr>
        <w:t>ARTÍCULO 155.</w:t>
      </w:r>
      <w:r w:rsidRPr="008E25ED">
        <w:rPr>
          <w:i/>
          <w:color w:val="2E74B5" w:themeColor="accent1" w:themeShade="BF"/>
          <w:sz w:val="20"/>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5631BF" w:rsidRPr="008E25ED" w:rsidRDefault="005631BF" w:rsidP="00CA76E0">
      <w:pPr>
        <w:pStyle w:val="corte4fondo"/>
        <w:tabs>
          <w:tab w:val="left" w:pos="567"/>
        </w:tabs>
        <w:spacing w:line="276" w:lineRule="auto"/>
        <w:ind w:left="567" w:firstLine="0"/>
        <w:rPr>
          <w:i/>
          <w:color w:val="2E74B5" w:themeColor="accent1" w:themeShade="BF"/>
          <w:sz w:val="20"/>
        </w:rPr>
      </w:pPr>
      <w:r w:rsidRPr="008E25ED">
        <w:rPr>
          <w:i/>
          <w:color w:val="2E74B5" w:themeColor="accent1" w:themeShade="BF"/>
          <w:sz w:val="20"/>
        </w:rPr>
        <w:t>En cualquier caso, se deberá fundar y motivar la necesidad de ofrecer otras modalidades.</w:t>
      </w:r>
    </w:p>
    <w:p w:rsidR="005631BF" w:rsidRPr="008E25ED" w:rsidRDefault="005631BF" w:rsidP="00CA76E0">
      <w:pPr>
        <w:pStyle w:val="corte4fondo"/>
        <w:tabs>
          <w:tab w:val="left" w:pos="567"/>
        </w:tabs>
        <w:spacing w:line="276" w:lineRule="auto"/>
        <w:ind w:left="567" w:firstLine="0"/>
        <w:rPr>
          <w:i/>
          <w:color w:val="2E74B5" w:themeColor="accent1" w:themeShade="BF"/>
          <w:sz w:val="20"/>
        </w:rPr>
      </w:pPr>
    </w:p>
    <w:p w:rsidR="005631BF" w:rsidRPr="008E25ED" w:rsidRDefault="005631BF" w:rsidP="00CA76E0">
      <w:pPr>
        <w:pStyle w:val="corte4fondo"/>
        <w:spacing w:line="276" w:lineRule="auto"/>
        <w:ind w:firstLine="0"/>
        <w:rPr>
          <w:color w:val="2E74B5" w:themeColor="accent1" w:themeShade="BF"/>
          <w:sz w:val="24"/>
          <w:szCs w:val="24"/>
        </w:rPr>
      </w:pPr>
      <w:r w:rsidRPr="00CA76E0">
        <w:rPr>
          <w:color w:val="2E74B5" w:themeColor="accent1" w:themeShade="BF"/>
          <w:sz w:val="24"/>
          <w:szCs w:val="24"/>
        </w:rPr>
        <w:tab/>
      </w:r>
      <w:r w:rsidRPr="008E25ED">
        <w:rPr>
          <w:color w:val="2E74B5" w:themeColor="accent1" w:themeShade="BF"/>
          <w:sz w:val="24"/>
          <w:szCs w:val="24"/>
        </w:rPr>
        <w:t xml:space="preserve">Por eso, el acceso se dará en la modalidad de entrega elegido por el solicitante y que cuando la información no pueda entregarse o enviarse en la modalidad elegida, el sujeto obligado deberá ofrecer otra u otras modalidades de </w:t>
      </w:r>
      <w:r w:rsidRPr="008E25ED">
        <w:rPr>
          <w:color w:val="2E74B5" w:themeColor="accent1" w:themeShade="BF"/>
          <w:sz w:val="24"/>
          <w:szCs w:val="24"/>
        </w:rPr>
        <w:lastRenderedPageBreak/>
        <w:t xml:space="preserve">entrega </w:t>
      </w:r>
      <w:r w:rsidR="00A51F36" w:rsidRPr="008E25ED">
        <w:rPr>
          <w:color w:val="2E74B5" w:themeColor="accent1" w:themeShade="BF"/>
          <w:sz w:val="24"/>
          <w:szCs w:val="24"/>
        </w:rPr>
        <w:t>ya que,</w:t>
      </w:r>
      <w:r w:rsidRPr="008E25ED">
        <w:rPr>
          <w:color w:val="2E74B5" w:themeColor="accent1" w:themeShade="BF"/>
          <w:sz w:val="24"/>
          <w:szCs w:val="24"/>
        </w:rPr>
        <w:t xml:space="preserve"> de no ser así, en cualquier caso, se deberá fundar y motivar la necesidad de ofrecer otras modalidades.</w:t>
      </w:r>
    </w:p>
    <w:p w:rsidR="005631BF" w:rsidRPr="008E25ED" w:rsidRDefault="005631BF" w:rsidP="00CA76E0">
      <w:pPr>
        <w:pStyle w:val="corte4fondo"/>
        <w:spacing w:line="276" w:lineRule="auto"/>
        <w:ind w:firstLine="0"/>
        <w:rPr>
          <w:color w:val="2E74B5" w:themeColor="accent1" w:themeShade="BF"/>
          <w:sz w:val="24"/>
          <w:szCs w:val="24"/>
        </w:rPr>
      </w:pPr>
    </w:p>
    <w:p w:rsidR="005631BF" w:rsidRPr="008E25ED" w:rsidRDefault="005631BF" w:rsidP="00CA76E0">
      <w:pPr>
        <w:pStyle w:val="corte4fondo"/>
        <w:spacing w:line="276" w:lineRule="auto"/>
        <w:ind w:firstLine="0"/>
        <w:rPr>
          <w:color w:val="2E74B5" w:themeColor="accent1" w:themeShade="BF"/>
          <w:sz w:val="24"/>
          <w:szCs w:val="24"/>
        </w:rPr>
      </w:pPr>
      <w:r w:rsidRPr="008E25ED">
        <w:rPr>
          <w:color w:val="2E74B5" w:themeColor="accent1" w:themeShade="BF"/>
          <w:sz w:val="24"/>
          <w:szCs w:val="24"/>
        </w:rPr>
        <w:tab/>
        <w:t xml:space="preserve">Y </w:t>
      </w:r>
      <w:r w:rsidR="00CA76E0" w:rsidRPr="008E25ED">
        <w:rPr>
          <w:color w:val="2E74B5" w:themeColor="accent1" w:themeShade="BF"/>
          <w:sz w:val="24"/>
          <w:szCs w:val="24"/>
        </w:rPr>
        <w:t>que,</w:t>
      </w:r>
      <w:r w:rsidRPr="008E25ED">
        <w:rPr>
          <w:color w:val="2E74B5" w:themeColor="accent1" w:themeShade="BF"/>
          <w:sz w:val="24"/>
          <w:szCs w:val="24"/>
        </w:rPr>
        <w:t xml:space="preserve"> por lo tanto, el ejercicio del derecho de acceso a la información es gratuito y sólo podrá requerirse el cobro correspondiente a la modalidad de reproducción y entrega solicitada.</w:t>
      </w:r>
    </w:p>
    <w:p w:rsidR="005631BF" w:rsidRPr="008E25ED" w:rsidRDefault="005631BF" w:rsidP="00CA76E0">
      <w:pPr>
        <w:pStyle w:val="corte4fondo"/>
        <w:spacing w:line="276" w:lineRule="auto"/>
        <w:ind w:firstLine="0"/>
        <w:rPr>
          <w:rFonts w:cs="Arial"/>
          <w:color w:val="2E74B5" w:themeColor="accent1" w:themeShade="BF"/>
          <w:sz w:val="24"/>
          <w:szCs w:val="24"/>
        </w:rPr>
      </w:pPr>
      <w:r w:rsidRPr="008E25ED">
        <w:rPr>
          <w:color w:val="2E74B5" w:themeColor="accent1" w:themeShade="BF"/>
          <w:sz w:val="24"/>
          <w:szCs w:val="24"/>
        </w:rPr>
        <w:t xml:space="preserve"> </w:t>
      </w:r>
    </w:p>
    <w:p w:rsidR="005631BF" w:rsidRPr="008E25ED" w:rsidRDefault="005631BF" w:rsidP="00CA76E0">
      <w:pPr>
        <w:pStyle w:val="corte4fondo"/>
        <w:tabs>
          <w:tab w:val="left" w:pos="0"/>
        </w:tabs>
        <w:spacing w:line="276" w:lineRule="auto"/>
        <w:ind w:firstLine="0"/>
        <w:rPr>
          <w:color w:val="2E74B5" w:themeColor="accent1" w:themeShade="BF"/>
          <w:sz w:val="24"/>
          <w:szCs w:val="24"/>
        </w:rPr>
      </w:pPr>
      <w:r w:rsidRPr="008E25ED">
        <w:rPr>
          <w:color w:val="2E74B5" w:themeColor="accent1" w:themeShade="BF"/>
          <w:sz w:val="24"/>
          <w:szCs w:val="24"/>
        </w:rPr>
        <w:tab/>
        <w:t xml:space="preserve">De ahí que para presentar una solicitud no se podrán exigir mayores requisitos, entre lo que se encuentra el de la modalidad en la que prefiere se otorgue el acceso a la información, por ello, </w:t>
      </w:r>
      <w:r w:rsidRPr="008E25ED">
        <w:rPr>
          <w:color w:val="2E74B5" w:themeColor="accent1" w:themeShade="BF"/>
          <w:sz w:val="24"/>
          <w:szCs w:val="24"/>
          <w:u w:val="single"/>
        </w:rPr>
        <w:t xml:space="preserve">la regla es que el acceso se dará en la modalidad de solicitada </w:t>
      </w:r>
      <w:r w:rsidRPr="008E25ED">
        <w:rPr>
          <w:color w:val="2E74B5" w:themeColor="accent1" w:themeShade="BF"/>
          <w:sz w:val="24"/>
          <w:szCs w:val="24"/>
        </w:rPr>
        <w:t xml:space="preserve">y, en su caso, de envío elegidos por el solicitante y, la excepción es cuando la información no pueda entregarse o enviarse en la modalidad elegida, el sujeto obligado deberá ofrecer otra u otras modalidades de entrega. </w:t>
      </w:r>
    </w:p>
    <w:p w:rsidR="005631BF" w:rsidRPr="008E25ED" w:rsidRDefault="005631BF" w:rsidP="00CA76E0">
      <w:pPr>
        <w:pStyle w:val="corte4fondo"/>
        <w:tabs>
          <w:tab w:val="left" w:pos="0"/>
        </w:tabs>
        <w:spacing w:line="276" w:lineRule="auto"/>
        <w:ind w:firstLine="0"/>
        <w:rPr>
          <w:color w:val="2E74B5" w:themeColor="accent1" w:themeShade="BF"/>
          <w:sz w:val="24"/>
          <w:szCs w:val="24"/>
        </w:rPr>
      </w:pPr>
    </w:p>
    <w:p w:rsidR="005631BF" w:rsidRPr="008E25ED" w:rsidRDefault="005631BF" w:rsidP="00CA76E0">
      <w:pPr>
        <w:pStyle w:val="corte4fondo"/>
        <w:tabs>
          <w:tab w:val="left" w:pos="0"/>
        </w:tabs>
        <w:spacing w:line="276" w:lineRule="auto"/>
        <w:ind w:firstLine="0"/>
        <w:rPr>
          <w:rFonts w:cs="Arial"/>
          <w:color w:val="2E74B5" w:themeColor="accent1" w:themeShade="BF"/>
          <w:sz w:val="24"/>
          <w:szCs w:val="24"/>
        </w:rPr>
      </w:pPr>
      <w:r w:rsidRPr="008E25ED">
        <w:rPr>
          <w:color w:val="2E74B5" w:themeColor="accent1" w:themeShade="BF"/>
          <w:sz w:val="24"/>
          <w:szCs w:val="24"/>
        </w:rPr>
        <w:tab/>
      </w:r>
      <w:r w:rsidRPr="008E25ED">
        <w:rPr>
          <w:rFonts w:cs="Arial"/>
          <w:color w:val="2E74B5" w:themeColor="accent1" w:themeShade="BF"/>
          <w:sz w:val="24"/>
          <w:szCs w:val="24"/>
        </w:rPr>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5631BF" w:rsidRPr="008E25ED" w:rsidRDefault="005631BF" w:rsidP="00CA76E0">
      <w:pPr>
        <w:pStyle w:val="corte4fondo"/>
        <w:tabs>
          <w:tab w:val="left" w:pos="0"/>
        </w:tabs>
        <w:spacing w:line="276" w:lineRule="auto"/>
        <w:ind w:firstLine="0"/>
        <w:rPr>
          <w:rFonts w:cs="Arial"/>
          <w:color w:val="2E74B5" w:themeColor="accent1" w:themeShade="BF"/>
          <w:sz w:val="24"/>
          <w:szCs w:val="24"/>
        </w:rPr>
      </w:pPr>
    </w:p>
    <w:p w:rsidR="005631BF" w:rsidRPr="008E25ED" w:rsidRDefault="005631BF" w:rsidP="00CA76E0">
      <w:pPr>
        <w:spacing w:after="0" w:line="276" w:lineRule="auto"/>
        <w:jc w:val="both"/>
        <w:rPr>
          <w:rFonts w:ascii="Arial" w:eastAsia="Times New Roman" w:hAnsi="Arial" w:cs="Arial"/>
          <w:color w:val="2E74B5" w:themeColor="accent1" w:themeShade="BF"/>
          <w:sz w:val="24"/>
          <w:szCs w:val="24"/>
        </w:rPr>
      </w:pPr>
      <w:r w:rsidRPr="008E25ED">
        <w:rPr>
          <w:rFonts w:ascii="Arial" w:hAnsi="Arial" w:cs="Arial"/>
          <w:color w:val="2E74B5" w:themeColor="accent1" w:themeShade="BF"/>
          <w:sz w:val="24"/>
          <w:szCs w:val="24"/>
        </w:rPr>
        <w:tab/>
        <w:t xml:space="preserve">Lo anterior, incluso encuentra sustento en </w:t>
      </w:r>
      <w:r w:rsidRPr="008E25ED">
        <w:rPr>
          <w:rFonts w:ascii="Arial" w:eastAsia="Times New Roman" w:hAnsi="Arial" w:cs="Arial"/>
          <w:color w:val="2E74B5" w:themeColor="accent1" w:themeShade="BF"/>
          <w:sz w:val="24"/>
          <w:szCs w:val="24"/>
        </w:rPr>
        <w:t>el criterio</w:t>
      </w:r>
      <w:r w:rsidRPr="008E25ED">
        <w:rPr>
          <w:rFonts w:ascii="Arial Unicode MS" w:eastAsia="Times New Roman" w:hAnsi="Arial Unicode MS" w:cs="Arial Unicode MS"/>
          <w:color w:val="2E74B5" w:themeColor="accent1" w:themeShade="BF"/>
          <w:sz w:val="24"/>
          <w:szCs w:val="24"/>
        </w:rPr>
        <w:t xml:space="preserve"> </w:t>
      </w:r>
      <w:r w:rsidRPr="008E25ED">
        <w:rPr>
          <w:rFonts w:ascii="Arial" w:eastAsia="Times New Roman" w:hAnsi="Arial" w:cs="Arial"/>
          <w:color w:val="2E74B5" w:themeColor="accent1" w:themeShade="BF"/>
          <w:sz w:val="24"/>
          <w:szCs w:val="24"/>
        </w:rPr>
        <w:t>0</w:t>
      </w:r>
      <w:r w:rsidR="006667E5" w:rsidRPr="008E25ED">
        <w:rPr>
          <w:rFonts w:ascii="Arial" w:eastAsia="Times New Roman" w:hAnsi="Arial" w:cs="Arial"/>
          <w:color w:val="2E74B5" w:themeColor="accent1" w:themeShade="BF"/>
          <w:sz w:val="24"/>
          <w:szCs w:val="24"/>
        </w:rPr>
        <w:t>8</w:t>
      </w:r>
      <w:r w:rsidRPr="008E25ED">
        <w:rPr>
          <w:rFonts w:ascii="Arial" w:eastAsia="Times New Roman" w:hAnsi="Arial" w:cs="Arial"/>
          <w:color w:val="2E74B5" w:themeColor="accent1" w:themeShade="BF"/>
          <w:sz w:val="24"/>
          <w:szCs w:val="24"/>
        </w:rPr>
        <w:t>/20</w:t>
      </w:r>
      <w:r w:rsidR="006667E5" w:rsidRPr="008E25ED">
        <w:rPr>
          <w:rFonts w:ascii="Arial" w:eastAsia="Times New Roman" w:hAnsi="Arial" w:cs="Arial"/>
          <w:color w:val="2E74B5" w:themeColor="accent1" w:themeShade="BF"/>
          <w:sz w:val="24"/>
          <w:szCs w:val="24"/>
        </w:rPr>
        <w:t>17</w:t>
      </w:r>
      <w:r w:rsidRPr="008E25ED">
        <w:rPr>
          <w:rFonts w:ascii="Arial" w:eastAsia="Times New Roman" w:hAnsi="Arial" w:cs="Arial"/>
          <w:color w:val="2E74B5" w:themeColor="accent1" w:themeShade="BF"/>
          <w:sz w:val="24"/>
          <w:szCs w:val="24"/>
        </w:rPr>
        <w:t xml:space="preserve">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5631BF" w:rsidRPr="00CA76E0" w:rsidRDefault="005631BF" w:rsidP="00CA76E0">
      <w:pPr>
        <w:spacing w:after="0" w:line="276" w:lineRule="auto"/>
        <w:jc w:val="both"/>
        <w:rPr>
          <w:rFonts w:ascii="Arial" w:eastAsia="Times New Roman" w:hAnsi="Arial" w:cs="Arial"/>
          <w:color w:val="2E74B5" w:themeColor="accent1" w:themeShade="BF"/>
          <w:sz w:val="24"/>
          <w:szCs w:val="24"/>
        </w:rPr>
      </w:pPr>
    </w:p>
    <w:p w:rsidR="005631BF" w:rsidRPr="008E25ED" w:rsidRDefault="005631BF" w:rsidP="00E12B1A">
      <w:pPr>
        <w:autoSpaceDE w:val="0"/>
        <w:autoSpaceDN w:val="0"/>
        <w:adjustRightInd w:val="0"/>
        <w:spacing w:after="0" w:line="276" w:lineRule="auto"/>
        <w:ind w:left="708"/>
        <w:jc w:val="both"/>
        <w:rPr>
          <w:rFonts w:ascii="Arial" w:eastAsia="Times New Roman" w:hAnsi="Arial" w:cs="Arial"/>
          <w:i/>
          <w:color w:val="2E74B5" w:themeColor="accent1" w:themeShade="BF"/>
          <w:sz w:val="20"/>
          <w:szCs w:val="20"/>
          <w:lang w:eastAsia="es-MX"/>
        </w:rPr>
      </w:pPr>
      <w:r w:rsidRPr="008E25ED">
        <w:rPr>
          <w:rFonts w:ascii="Arial" w:eastAsia="Times New Roman" w:hAnsi="Arial" w:cs="Arial"/>
          <w:b/>
          <w:bCs/>
          <w:i/>
          <w:color w:val="2E74B5" w:themeColor="accent1" w:themeShade="BF"/>
          <w:sz w:val="20"/>
          <w:szCs w:val="20"/>
          <w:lang w:eastAsia="es-MX"/>
        </w:rPr>
        <w:t xml:space="preserve">MODALIDAD ELECTRÓNICA DE ACCESO A LA INFORMACIÓN. SI SE RECIBE UNA SOLICITUD POR MEDIOS ELECTRÓNICOS SIN PRECISAR LA MODALIDAD DE PREFERENCIA DEBE PRESUMIRSE QUE SE REQUIRIÓ EL ACCESO POR ESA MISMA VÍA. </w:t>
      </w:r>
      <w:r w:rsidRPr="008E25ED">
        <w:rPr>
          <w:rFonts w:ascii="Arial" w:eastAsia="Times New Roman" w:hAnsi="Arial" w:cs="Arial"/>
          <w:i/>
          <w:color w:val="2E74B5" w:themeColor="accent1" w:themeShade="BF"/>
          <w:sz w:val="20"/>
          <w:szCs w:val="20"/>
          <w:lang w:eastAsia="es-MX"/>
        </w:rPr>
        <w:t>El ejercicio del derecho</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de acceso a la información gubernamental no se entiende</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de forma abstracta y desvinculada a la forma en que los</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gobernados pueden allegarse de aquélla; destacándose que</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la modalidad de entrega de la información resulta de especial</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interés para hacer efectivo este derecho. En este sentido,</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la Comisión para la Transparencia y Acceso a la Información</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de la Suprema Corte de Justicia de la Nación (recurso de</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revisión 1/2005) determinó que el acceso a la información</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no se cumple de forma íntegra cuando se entrega la información al peticionario en una modalidad diversa a la solicitada,</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cuando esta fue la remisión por medios electrónicos,</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toda vez que el otorgamiento en una diversa puede constituir</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un obstáculo material para el ejercicio del derecho</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de acceso a la información tutelado en el artículo 6° constitucional.</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Por lo tanto, si el peticionario solicita por vía</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electrónica determinada información sin precisar la modalidad</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de su preferencia debe presumirse que la requiere</w:t>
      </w:r>
      <w:r w:rsidRPr="008E25ED">
        <w:rPr>
          <w:rFonts w:ascii="Arial" w:eastAsia="Times New Roman" w:hAnsi="Arial" w:cs="Arial"/>
          <w:b/>
          <w:bCs/>
          <w:i/>
          <w:color w:val="2E74B5" w:themeColor="accent1" w:themeShade="BF"/>
          <w:sz w:val="20"/>
          <w:szCs w:val="20"/>
          <w:lang w:eastAsia="es-MX"/>
        </w:rPr>
        <w:t xml:space="preserve"> </w:t>
      </w:r>
      <w:r w:rsidRPr="008E25ED">
        <w:rPr>
          <w:rFonts w:ascii="Arial" w:eastAsia="Times New Roman" w:hAnsi="Arial" w:cs="Arial"/>
          <w:i/>
          <w:color w:val="2E74B5" w:themeColor="accent1" w:themeShade="BF"/>
          <w:sz w:val="20"/>
          <w:szCs w:val="20"/>
          <w:lang w:eastAsia="es-MX"/>
        </w:rPr>
        <w:t>por esa misma vía.</w:t>
      </w:r>
    </w:p>
    <w:p w:rsidR="005631BF" w:rsidRPr="00CA76E0" w:rsidRDefault="005631BF" w:rsidP="00CA76E0">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p>
    <w:p w:rsidR="005631BF" w:rsidRPr="00CA76E0" w:rsidRDefault="005631BF" w:rsidP="00CA76E0">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r w:rsidRPr="00CA76E0">
        <w:rPr>
          <w:rFonts w:ascii="Arial" w:eastAsia="Times New Roman" w:hAnsi="Arial" w:cs="Arial"/>
          <w:bCs/>
          <w:color w:val="2E74B5" w:themeColor="accent1" w:themeShade="BF"/>
          <w:sz w:val="24"/>
          <w:szCs w:val="24"/>
          <w:lang w:eastAsia="es-MX"/>
        </w:rPr>
        <w:tab/>
        <w:t>Criterio que de conformidad con el artículo 7°</w:t>
      </w:r>
      <w:r w:rsidRPr="00CA76E0">
        <w:rPr>
          <w:rFonts w:ascii="Arial" w:eastAsia="Times New Roman" w:hAnsi="Arial" w:cs="Arial"/>
          <w:bCs/>
          <w:color w:val="2E74B5" w:themeColor="accent1" w:themeShade="BF"/>
          <w:sz w:val="24"/>
          <w:szCs w:val="24"/>
          <w:vertAlign w:val="superscript"/>
          <w:lang w:eastAsia="es-MX"/>
        </w:rPr>
        <w:footnoteReference w:id="3"/>
      </w:r>
      <w:r w:rsidRPr="00CA76E0">
        <w:rPr>
          <w:rFonts w:ascii="Arial" w:eastAsia="Times New Roman" w:hAnsi="Arial" w:cs="Arial"/>
          <w:bCs/>
          <w:color w:val="2E74B5" w:themeColor="accent1" w:themeShade="BF"/>
          <w:sz w:val="24"/>
          <w:szCs w:val="24"/>
          <w:lang w:eastAsia="es-MX"/>
        </w:rPr>
        <w:t xml:space="preserve"> de la Ley de Transparencia resulta aplicable al caso concreto, pues el mismo es para hacer efectivo el derecho </w:t>
      </w:r>
      <w:r w:rsidRPr="00CA76E0">
        <w:rPr>
          <w:rFonts w:ascii="Arial" w:eastAsia="Times New Roman" w:hAnsi="Arial" w:cs="Arial"/>
          <w:bCs/>
          <w:color w:val="2E74B5" w:themeColor="accent1" w:themeShade="BF"/>
          <w:sz w:val="24"/>
          <w:szCs w:val="24"/>
          <w:lang w:eastAsia="es-MX"/>
        </w:rPr>
        <w:lastRenderedPageBreak/>
        <w:t>de acceso a la información pública, ya que orienta a esta Comisión de Transparencia para favorecer el principio de máxima publicidad y disponibilidad de la información en posesión del sujeto obligado.</w:t>
      </w:r>
    </w:p>
    <w:p w:rsidR="005631BF" w:rsidRPr="00CA76E0" w:rsidRDefault="005631BF" w:rsidP="00CA76E0">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p>
    <w:p w:rsidR="005631BF" w:rsidRPr="00CA76E0" w:rsidRDefault="005631BF" w:rsidP="00CA76E0">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r w:rsidRPr="00CA76E0">
        <w:rPr>
          <w:rFonts w:ascii="Arial" w:eastAsia="Times New Roman" w:hAnsi="Arial" w:cs="Arial"/>
          <w:bCs/>
          <w:color w:val="2E74B5" w:themeColor="accent1" w:themeShade="BF"/>
          <w:sz w:val="24"/>
          <w:szCs w:val="24"/>
          <w:lang w:eastAsia="es-MX"/>
        </w:rPr>
        <w:tab/>
        <w:t xml:space="preserve">Por ende, si la solicitud de acceso a la información pública el recurrente la presentó ante el sujeto obligado mediante la Plataforma Nacional de Transparencia, resulta claro que el sujeto obligado debió de dar preferencia en proporcionar el documento por esa vía de conformidad con el criterio citado, toda vez que el otorgamiento en una diversa, como es el caso, puede constituir un obstáculo material para el ejercicio del derecho de acceso a la información tutelado en el artículo 6° constitucional y, por ende, lo que se pretende es que el solicitante se allegue de la información lo que en el caso no ha sucedido, ya que, por tratarse de un documento que contiene la información, </w:t>
      </w:r>
      <w:proofErr w:type="spellStart"/>
      <w:r w:rsidRPr="00CA76E0">
        <w:rPr>
          <w:rFonts w:ascii="Arial" w:eastAsia="Times New Roman" w:hAnsi="Arial" w:cs="Arial"/>
          <w:bCs/>
          <w:color w:val="2E74B5" w:themeColor="accent1" w:themeShade="BF"/>
          <w:sz w:val="24"/>
          <w:szCs w:val="24"/>
          <w:lang w:eastAsia="es-MX"/>
        </w:rPr>
        <w:t>el</w:t>
      </w:r>
      <w:proofErr w:type="spellEnd"/>
      <w:r w:rsidRPr="00CA76E0">
        <w:rPr>
          <w:rFonts w:ascii="Arial" w:eastAsia="Times New Roman" w:hAnsi="Arial" w:cs="Arial"/>
          <w:bCs/>
          <w:color w:val="2E74B5" w:themeColor="accent1" w:themeShade="BF"/>
          <w:sz w:val="24"/>
          <w:szCs w:val="24"/>
          <w:lang w:eastAsia="es-MX"/>
        </w:rPr>
        <w:t xml:space="preserve"> envió de manera electrónica al solicitante no implica al sujeto obligado una ca</w:t>
      </w:r>
      <w:r w:rsidR="006667E5" w:rsidRPr="00CA76E0">
        <w:rPr>
          <w:rFonts w:ascii="Arial" w:eastAsia="Times New Roman" w:hAnsi="Arial" w:cs="Arial"/>
          <w:bCs/>
          <w:color w:val="2E74B5" w:themeColor="accent1" w:themeShade="BF"/>
          <w:sz w:val="24"/>
          <w:szCs w:val="24"/>
          <w:lang w:eastAsia="es-MX"/>
        </w:rPr>
        <w:t>rga adicional o desproporcional</w:t>
      </w:r>
      <w:r w:rsidRPr="00CA76E0">
        <w:rPr>
          <w:rFonts w:ascii="Arial" w:eastAsia="Times New Roman" w:hAnsi="Arial" w:cs="Arial"/>
          <w:bCs/>
          <w:color w:val="2E74B5" w:themeColor="accent1" w:themeShade="BF"/>
          <w:sz w:val="24"/>
          <w:szCs w:val="24"/>
          <w:lang w:eastAsia="es-MX"/>
        </w:rPr>
        <w:t>.</w:t>
      </w:r>
    </w:p>
    <w:p w:rsidR="005631BF" w:rsidRDefault="005631BF" w:rsidP="00CA76E0">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p>
    <w:p w:rsidR="00E12B1A" w:rsidRPr="00A51F36" w:rsidRDefault="00E12B1A" w:rsidP="00A51F36">
      <w:pPr>
        <w:pStyle w:val="corte4fondo"/>
        <w:spacing w:line="276" w:lineRule="auto"/>
        <w:ind w:firstLine="708"/>
        <w:rPr>
          <w:rFonts w:cs="Arial"/>
          <w:b/>
          <w:color w:val="2E74B5" w:themeColor="accent1" w:themeShade="BF"/>
          <w:sz w:val="24"/>
          <w:szCs w:val="24"/>
        </w:rPr>
      </w:pPr>
      <w:r w:rsidRPr="00A51F36">
        <w:rPr>
          <w:rFonts w:cs="Arial"/>
          <w:b/>
          <w:color w:val="2E74B5" w:themeColor="accent1" w:themeShade="BF"/>
          <w:sz w:val="24"/>
          <w:szCs w:val="24"/>
        </w:rPr>
        <w:t xml:space="preserve">8.3. Recomendación. </w:t>
      </w:r>
    </w:p>
    <w:p w:rsidR="00E12B1A" w:rsidRPr="00A51F36" w:rsidRDefault="00E12B1A" w:rsidP="00E12B1A">
      <w:pPr>
        <w:pStyle w:val="corte4fondo"/>
        <w:spacing w:line="276" w:lineRule="auto"/>
        <w:ind w:firstLine="0"/>
        <w:rPr>
          <w:rFonts w:cs="Arial"/>
          <w:color w:val="2E74B5" w:themeColor="accent1" w:themeShade="BF"/>
          <w:sz w:val="24"/>
          <w:szCs w:val="24"/>
        </w:rPr>
      </w:pPr>
    </w:p>
    <w:p w:rsidR="00E12B1A" w:rsidRPr="00A51F36" w:rsidRDefault="00E12B1A" w:rsidP="00E12B1A">
      <w:pPr>
        <w:pStyle w:val="xmsonormal"/>
        <w:shd w:val="clear" w:color="auto" w:fill="FFFFFF"/>
        <w:spacing w:before="0" w:beforeAutospacing="0" w:after="0" w:afterAutospacing="0"/>
        <w:ind w:firstLine="708"/>
        <w:jc w:val="both"/>
        <w:rPr>
          <w:rFonts w:ascii="Calibri" w:hAnsi="Calibri" w:cs="Calibri"/>
          <w:color w:val="2E74B5" w:themeColor="accent1" w:themeShade="BF"/>
        </w:rPr>
      </w:pPr>
      <w:r w:rsidRPr="00A51F36">
        <w:rPr>
          <w:rFonts w:ascii="Arial" w:hAnsi="Arial" w:cs="Arial"/>
          <w:color w:val="2E74B5" w:themeColor="accent1" w:themeShade="BF"/>
        </w:rPr>
        <w:t xml:space="preserve">Asimismo, en virtud de que en el presente caso se tuvo al sujeto obligado que en este caso lo es la </w:t>
      </w:r>
      <w:r w:rsidRPr="00A51F36">
        <w:rPr>
          <w:rFonts w:ascii="Arial" w:hAnsi="Arial" w:cs="Arial"/>
          <w:b/>
          <w:color w:val="2E74B5" w:themeColor="accent1" w:themeShade="BF"/>
        </w:rPr>
        <w:t>Secretaría de Finanzas</w:t>
      </w:r>
      <w:r w:rsidRPr="00A51F36">
        <w:rPr>
          <w:rFonts w:ascii="Arial" w:hAnsi="Arial" w:cs="Arial"/>
          <w:color w:val="2E74B5" w:themeColor="accent1" w:themeShade="BF"/>
        </w:rPr>
        <w:t>,  por omiso en rendir su escrito de manifestaciones ante esta Comisión previsto en la fracción II del artículo 174 de la Ley de la materia, es procedente que la suscrita Comisionada Ponente emita </w:t>
      </w:r>
      <w:r w:rsidRPr="00A51F36">
        <w:rPr>
          <w:rFonts w:ascii="Arial" w:hAnsi="Arial" w:cs="Arial"/>
          <w:b/>
          <w:bCs/>
          <w:color w:val="2E74B5" w:themeColor="accent1" w:themeShade="BF"/>
        </w:rPr>
        <w:t>RECOMENDACIÓN </w:t>
      </w:r>
      <w:r w:rsidRPr="00A51F36">
        <w:rPr>
          <w:rFonts w:ascii="Arial" w:hAnsi="Arial" w:cs="Arial"/>
          <w:color w:val="2E74B5" w:themeColor="accent1" w:themeShade="BF"/>
        </w:rPr>
        <w:t>al sujeto obligado para que, en el trámite de futuros recursos de revisión, se apegue estrictamente a los plazos establecidos en el artículo antes citado, el cual venció el 14 catorce de mayo de 2018 dos mil dieciocho. </w:t>
      </w:r>
    </w:p>
    <w:p w:rsidR="00E12B1A" w:rsidRPr="00A51F36" w:rsidRDefault="00E12B1A" w:rsidP="00CA76E0">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p>
    <w:p w:rsidR="005631BF" w:rsidRPr="00A51F36" w:rsidRDefault="005631BF" w:rsidP="00A51F36">
      <w:pPr>
        <w:autoSpaceDE w:val="0"/>
        <w:autoSpaceDN w:val="0"/>
        <w:adjustRightInd w:val="0"/>
        <w:spacing w:after="0" w:line="276" w:lineRule="auto"/>
        <w:ind w:firstLine="708"/>
        <w:jc w:val="both"/>
        <w:rPr>
          <w:rFonts w:ascii="Arial" w:hAnsi="Arial" w:cs="Arial"/>
          <w:color w:val="2E74B5" w:themeColor="accent1" w:themeShade="BF"/>
          <w:sz w:val="24"/>
          <w:szCs w:val="24"/>
        </w:rPr>
      </w:pPr>
      <w:r w:rsidRPr="00A51F36">
        <w:rPr>
          <w:rFonts w:ascii="Arial" w:hAnsi="Arial" w:cs="Arial"/>
          <w:b/>
          <w:color w:val="2E74B5" w:themeColor="accent1" w:themeShade="BF"/>
          <w:sz w:val="24"/>
          <w:szCs w:val="24"/>
        </w:rPr>
        <w:t>8.</w:t>
      </w:r>
      <w:r w:rsidR="00E12B1A" w:rsidRPr="00A51F36">
        <w:rPr>
          <w:rFonts w:ascii="Arial" w:hAnsi="Arial" w:cs="Arial"/>
          <w:b/>
          <w:color w:val="2E74B5" w:themeColor="accent1" w:themeShade="BF"/>
          <w:sz w:val="24"/>
          <w:szCs w:val="24"/>
        </w:rPr>
        <w:t>4</w:t>
      </w:r>
      <w:r w:rsidRPr="00A51F36">
        <w:rPr>
          <w:rFonts w:ascii="Arial" w:hAnsi="Arial" w:cs="Arial"/>
          <w:b/>
          <w:color w:val="2E74B5" w:themeColor="accent1" w:themeShade="BF"/>
          <w:sz w:val="24"/>
          <w:szCs w:val="24"/>
        </w:rPr>
        <w:t>. Sentido y efectos de la resolución.</w:t>
      </w:r>
    </w:p>
    <w:p w:rsidR="005631BF" w:rsidRPr="00A51F36" w:rsidRDefault="005631BF" w:rsidP="00CA76E0">
      <w:pPr>
        <w:pStyle w:val="corte4fondo"/>
        <w:spacing w:line="276" w:lineRule="auto"/>
        <w:ind w:firstLine="0"/>
        <w:rPr>
          <w:rFonts w:cs="Arial"/>
          <w:color w:val="2E74B5" w:themeColor="accent1" w:themeShade="BF"/>
          <w:sz w:val="24"/>
          <w:szCs w:val="24"/>
        </w:rPr>
      </w:pPr>
    </w:p>
    <w:p w:rsidR="005631BF" w:rsidRPr="00A51F36" w:rsidRDefault="005631BF" w:rsidP="00CA76E0">
      <w:pPr>
        <w:pStyle w:val="corte4fondo"/>
        <w:tabs>
          <w:tab w:val="left" w:pos="567"/>
        </w:tabs>
        <w:spacing w:line="276" w:lineRule="auto"/>
        <w:rPr>
          <w:bCs/>
          <w:color w:val="2E74B5" w:themeColor="accent1" w:themeShade="BF"/>
          <w:sz w:val="24"/>
          <w:szCs w:val="24"/>
        </w:rPr>
      </w:pPr>
      <w:r w:rsidRPr="00A51F36">
        <w:rPr>
          <w:rFonts w:cs="Arial"/>
          <w:color w:val="2E74B5" w:themeColor="accent1" w:themeShade="BF"/>
          <w:sz w:val="24"/>
          <w:szCs w:val="24"/>
        </w:rPr>
        <w:t xml:space="preserve">En las condiciones anotadas y, al haber resultado fundado el agravio que hizo valer el recurrente, lo procedente es que este órgano colegiado de conformidad con el artículo 175, fracción III, de la Ley de Transparencia y Acceso a la Información Pública del Estado </w:t>
      </w:r>
      <w:r w:rsidRPr="00A51F36">
        <w:rPr>
          <w:rFonts w:cs="Arial"/>
          <w:b/>
          <w:color w:val="2E74B5" w:themeColor="accent1" w:themeShade="BF"/>
          <w:sz w:val="24"/>
          <w:szCs w:val="24"/>
        </w:rPr>
        <w:t xml:space="preserve">modifica </w:t>
      </w:r>
      <w:r w:rsidRPr="00A51F36">
        <w:rPr>
          <w:rFonts w:cs="Arial"/>
          <w:color w:val="2E74B5" w:themeColor="accent1" w:themeShade="BF"/>
          <w:sz w:val="24"/>
          <w:szCs w:val="24"/>
        </w:rPr>
        <w:t xml:space="preserve">la respuesta proporcionada por los entes obligados y, por lo </w:t>
      </w:r>
      <w:r w:rsidR="00556CC3" w:rsidRPr="00A51F36">
        <w:rPr>
          <w:rFonts w:cs="Arial"/>
          <w:color w:val="2E74B5" w:themeColor="accent1" w:themeShade="BF"/>
          <w:sz w:val="24"/>
          <w:szCs w:val="24"/>
        </w:rPr>
        <w:t>tanto,</w:t>
      </w:r>
      <w:r w:rsidRPr="00A51F36">
        <w:rPr>
          <w:rFonts w:cs="Arial"/>
          <w:color w:val="2E74B5" w:themeColor="accent1" w:themeShade="BF"/>
          <w:sz w:val="24"/>
          <w:szCs w:val="24"/>
        </w:rPr>
        <w:t xml:space="preserve"> lo </w:t>
      </w:r>
      <w:r w:rsidRPr="00A51F36">
        <w:rPr>
          <w:rFonts w:cs="Arial"/>
          <w:b/>
          <w:color w:val="2E74B5" w:themeColor="accent1" w:themeShade="BF"/>
          <w:sz w:val="24"/>
          <w:szCs w:val="24"/>
        </w:rPr>
        <w:t>conmina</w:t>
      </w:r>
      <w:r w:rsidRPr="00A51F36">
        <w:rPr>
          <w:rFonts w:cs="Arial"/>
          <w:color w:val="2E74B5" w:themeColor="accent1" w:themeShade="BF"/>
          <w:sz w:val="24"/>
          <w:szCs w:val="24"/>
        </w:rPr>
        <w:t xml:space="preserve"> a que emita otra respuesta en la que </w:t>
      </w:r>
      <w:r w:rsidRPr="00A51F36">
        <w:rPr>
          <w:bCs/>
          <w:color w:val="2E74B5" w:themeColor="accent1" w:themeShade="BF"/>
          <w:sz w:val="24"/>
          <w:szCs w:val="24"/>
        </w:rPr>
        <w:t>permita el acceso y entregue la información</w:t>
      </w:r>
      <w:r w:rsidRPr="00A51F36">
        <w:rPr>
          <w:color w:val="2E74B5" w:themeColor="accent1" w:themeShade="BF"/>
          <w:sz w:val="24"/>
          <w:szCs w:val="24"/>
        </w:rPr>
        <w:t xml:space="preserve"> </w:t>
      </w:r>
      <w:r w:rsidRPr="00A51F36">
        <w:rPr>
          <w:bCs/>
          <w:color w:val="2E74B5" w:themeColor="accent1" w:themeShade="BF"/>
          <w:sz w:val="24"/>
          <w:szCs w:val="24"/>
        </w:rPr>
        <w:t>sobre:</w:t>
      </w:r>
    </w:p>
    <w:p w:rsidR="005631BF" w:rsidRPr="00A51F36" w:rsidRDefault="005631BF" w:rsidP="00CA76E0">
      <w:pPr>
        <w:pStyle w:val="corte4fondo"/>
        <w:tabs>
          <w:tab w:val="left" w:pos="567"/>
        </w:tabs>
        <w:spacing w:line="276" w:lineRule="auto"/>
        <w:rPr>
          <w:bCs/>
          <w:color w:val="2E74B5" w:themeColor="accent1" w:themeShade="BF"/>
          <w:sz w:val="24"/>
          <w:szCs w:val="24"/>
        </w:rPr>
      </w:pPr>
    </w:p>
    <w:p w:rsidR="005631BF" w:rsidRPr="00A51F36" w:rsidRDefault="001A0FA8" w:rsidP="00CA76E0">
      <w:pPr>
        <w:pStyle w:val="corte4fondo"/>
        <w:numPr>
          <w:ilvl w:val="0"/>
          <w:numId w:val="6"/>
        </w:numPr>
        <w:spacing w:line="276" w:lineRule="auto"/>
        <w:ind w:left="1287"/>
        <w:rPr>
          <w:rFonts w:eastAsia="Arial Unicode MS"/>
          <w:color w:val="2E74B5" w:themeColor="accent1" w:themeShade="BF"/>
          <w:sz w:val="24"/>
          <w:szCs w:val="24"/>
        </w:rPr>
      </w:pPr>
      <w:r w:rsidRPr="00A51F36">
        <w:rPr>
          <w:rFonts w:cs="Arial"/>
          <w:color w:val="2E74B5" w:themeColor="accent1" w:themeShade="BF"/>
          <w:sz w:val="24"/>
          <w:szCs w:val="24"/>
        </w:rPr>
        <w:t>Nombre de los beneficiarios en relación a la emisión del cheque número SP0000019505 de fecha 10 diez de agosto de 2017 dos mil diecisiete</w:t>
      </w:r>
      <w:r w:rsidR="005631BF" w:rsidRPr="00A51F36">
        <w:rPr>
          <w:rFonts w:cs="Arial"/>
          <w:color w:val="2E74B5" w:themeColor="accent1" w:themeShade="BF"/>
          <w:sz w:val="24"/>
          <w:szCs w:val="24"/>
        </w:rPr>
        <w:t>.</w:t>
      </w:r>
    </w:p>
    <w:p w:rsidR="0010262D" w:rsidRPr="00A51F36" w:rsidRDefault="0010262D" w:rsidP="00CA76E0">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p>
    <w:p w:rsidR="0010262D" w:rsidRPr="00A51F36" w:rsidRDefault="00A51F36" w:rsidP="00CA76E0">
      <w:pPr>
        <w:pStyle w:val="corte4fondo"/>
        <w:tabs>
          <w:tab w:val="left" w:pos="567"/>
        </w:tabs>
        <w:spacing w:line="276" w:lineRule="auto"/>
        <w:ind w:firstLine="0"/>
        <w:rPr>
          <w:rFonts w:cs="Arial"/>
          <w:b/>
          <w:color w:val="2E74B5" w:themeColor="accent1" w:themeShade="BF"/>
          <w:sz w:val="24"/>
          <w:szCs w:val="24"/>
        </w:rPr>
      </w:pPr>
      <w:r>
        <w:rPr>
          <w:rFonts w:eastAsia="Calibri" w:cs="Arial"/>
          <w:b/>
          <w:color w:val="2E74B5" w:themeColor="accent1" w:themeShade="BF"/>
          <w:sz w:val="24"/>
          <w:szCs w:val="24"/>
          <w:lang w:eastAsia="en-US"/>
        </w:rPr>
        <w:tab/>
      </w:r>
      <w:r w:rsidR="00E12B1A" w:rsidRPr="00A51F36">
        <w:rPr>
          <w:rFonts w:eastAsia="Calibri" w:cs="Arial"/>
          <w:b/>
          <w:color w:val="2E74B5" w:themeColor="accent1" w:themeShade="BF"/>
          <w:sz w:val="24"/>
          <w:szCs w:val="24"/>
          <w:lang w:eastAsia="en-US"/>
        </w:rPr>
        <w:t>8</w:t>
      </w:r>
      <w:r w:rsidR="0010262D" w:rsidRPr="00A51F36">
        <w:rPr>
          <w:rFonts w:cs="Arial"/>
          <w:b/>
          <w:color w:val="2E74B5" w:themeColor="accent1" w:themeShade="BF"/>
          <w:sz w:val="24"/>
          <w:szCs w:val="24"/>
        </w:rPr>
        <w:t>.5. Precisiones de esta resolución.</w:t>
      </w:r>
    </w:p>
    <w:p w:rsidR="0010262D" w:rsidRPr="00A51F36" w:rsidRDefault="0010262D" w:rsidP="00CA76E0">
      <w:pPr>
        <w:pStyle w:val="corte4fondo"/>
        <w:tabs>
          <w:tab w:val="left" w:pos="567"/>
        </w:tabs>
        <w:spacing w:line="276" w:lineRule="auto"/>
        <w:ind w:firstLine="708"/>
        <w:rPr>
          <w:rFonts w:cs="Arial"/>
          <w:b/>
          <w:color w:val="2E74B5" w:themeColor="accent1" w:themeShade="BF"/>
          <w:sz w:val="24"/>
          <w:szCs w:val="24"/>
        </w:rPr>
      </w:pPr>
    </w:p>
    <w:p w:rsidR="0010262D" w:rsidRPr="00A51F36" w:rsidRDefault="0010262D" w:rsidP="00CA76E0">
      <w:pPr>
        <w:pStyle w:val="corte4fondo"/>
        <w:tabs>
          <w:tab w:val="left" w:pos="567"/>
        </w:tabs>
        <w:spacing w:line="276" w:lineRule="auto"/>
        <w:ind w:firstLine="0"/>
        <w:rPr>
          <w:rFonts w:cs="Arial"/>
          <w:color w:val="2E74B5" w:themeColor="accent1" w:themeShade="BF"/>
          <w:sz w:val="24"/>
          <w:szCs w:val="24"/>
        </w:rPr>
      </w:pPr>
      <w:r w:rsidRPr="00A51F36">
        <w:rPr>
          <w:rFonts w:cs="Arial"/>
          <w:b/>
          <w:color w:val="2E74B5" w:themeColor="accent1" w:themeShade="BF"/>
          <w:sz w:val="24"/>
          <w:szCs w:val="24"/>
        </w:rPr>
        <w:tab/>
      </w:r>
      <w:r w:rsidRPr="00A51F36">
        <w:rPr>
          <w:rFonts w:cs="Arial"/>
          <w:color w:val="2E74B5" w:themeColor="accent1" w:themeShade="BF"/>
          <w:sz w:val="24"/>
          <w:szCs w:val="24"/>
        </w:rPr>
        <w:t>De conformidad con la última parte del artículo 176 de la Ley de Transparencia está Comisión de Transparencia establece los siguientes términos para el cumplimiento de la resolución.</w:t>
      </w:r>
    </w:p>
    <w:p w:rsidR="0010262D" w:rsidRPr="00CA76E0" w:rsidRDefault="0010262D" w:rsidP="00CA76E0">
      <w:pPr>
        <w:pStyle w:val="corte4fondo"/>
        <w:tabs>
          <w:tab w:val="left" w:pos="567"/>
        </w:tabs>
        <w:spacing w:line="276" w:lineRule="auto"/>
        <w:ind w:firstLine="0"/>
        <w:rPr>
          <w:rFonts w:cs="Arial"/>
          <w:color w:val="2E74B5" w:themeColor="accent1" w:themeShade="BF"/>
          <w:sz w:val="24"/>
          <w:szCs w:val="24"/>
        </w:rPr>
      </w:pPr>
    </w:p>
    <w:p w:rsidR="0010262D" w:rsidRPr="00CA76E0" w:rsidRDefault="0010262D" w:rsidP="00CA76E0">
      <w:pPr>
        <w:pStyle w:val="corte4fondo"/>
        <w:numPr>
          <w:ilvl w:val="0"/>
          <w:numId w:val="4"/>
        </w:numPr>
        <w:tabs>
          <w:tab w:val="left" w:pos="567"/>
        </w:tabs>
        <w:spacing w:line="276" w:lineRule="auto"/>
        <w:rPr>
          <w:rFonts w:cs="Arial"/>
          <w:color w:val="2E74B5" w:themeColor="accent1" w:themeShade="BF"/>
          <w:sz w:val="24"/>
          <w:szCs w:val="24"/>
        </w:rPr>
      </w:pPr>
      <w:r w:rsidRPr="00CA76E0">
        <w:rPr>
          <w:rFonts w:cs="Arial"/>
          <w:color w:val="2E74B5" w:themeColor="accent1" w:themeShade="BF"/>
          <w:sz w:val="24"/>
          <w:szCs w:val="24"/>
        </w:rPr>
        <w:t>En cuanto a lo ordenado, se reitera que la información debe de entregarse en la modalidad solicitada</w:t>
      </w:r>
      <w:r w:rsidR="001A0FA8" w:rsidRPr="00CA76E0">
        <w:rPr>
          <w:rFonts w:cs="Arial"/>
          <w:color w:val="2E74B5" w:themeColor="accent1" w:themeShade="BF"/>
          <w:sz w:val="24"/>
          <w:szCs w:val="24"/>
        </w:rPr>
        <w:t>,</w:t>
      </w:r>
      <w:r w:rsidRPr="00CA76E0">
        <w:rPr>
          <w:rFonts w:cs="Arial"/>
          <w:color w:val="2E74B5" w:themeColor="accent1" w:themeShade="BF"/>
          <w:sz w:val="24"/>
          <w:szCs w:val="24"/>
        </w:rPr>
        <w:t xml:space="preserve"> en la inteligencia de que en virtud de que </w:t>
      </w:r>
      <w:r w:rsidR="001A0FA8" w:rsidRPr="00CA76E0">
        <w:rPr>
          <w:rFonts w:cs="Arial"/>
          <w:color w:val="2E74B5" w:themeColor="accent1" w:themeShade="BF"/>
          <w:sz w:val="24"/>
          <w:szCs w:val="24"/>
        </w:rPr>
        <w:t>el</w:t>
      </w:r>
      <w:r w:rsidRPr="00CA76E0">
        <w:rPr>
          <w:rFonts w:cs="Arial"/>
          <w:color w:val="2E74B5" w:themeColor="accent1" w:themeShade="BF"/>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oír y recibir notificaciones.</w:t>
      </w:r>
    </w:p>
    <w:p w:rsidR="0010262D" w:rsidRPr="00CA76E0" w:rsidRDefault="0010262D" w:rsidP="00CA76E0">
      <w:pPr>
        <w:pStyle w:val="corte4fondo"/>
        <w:tabs>
          <w:tab w:val="left" w:pos="567"/>
        </w:tabs>
        <w:spacing w:line="276" w:lineRule="auto"/>
        <w:ind w:left="720" w:firstLine="0"/>
        <w:rPr>
          <w:rFonts w:cs="Arial"/>
          <w:color w:val="2E74B5" w:themeColor="accent1" w:themeShade="BF"/>
          <w:sz w:val="24"/>
          <w:szCs w:val="24"/>
        </w:rPr>
      </w:pPr>
    </w:p>
    <w:p w:rsidR="0010262D" w:rsidRPr="00CA76E0" w:rsidRDefault="0010262D" w:rsidP="00CA76E0">
      <w:pPr>
        <w:pStyle w:val="corte4fondo"/>
        <w:numPr>
          <w:ilvl w:val="0"/>
          <w:numId w:val="4"/>
        </w:numPr>
        <w:tabs>
          <w:tab w:val="left" w:pos="567"/>
        </w:tabs>
        <w:spacing w:line="276" w:lineRule="auto"/>
        <w:rPr>
          <w:rFonts w:cs="Arial"/>
          <w:color w:val="2E74B5" w:themeColor="accent1" w:themeShade="BF"/>
          <w:sz w:val="24"/>
          <w:szCs w:val="24"/>
        </w:rPr>
      </w:pPr>
      <w:r w:rsidRPr="00CA76E0">
        <w:rPr>
          <w:rFonts w:cs="Arial"/>
          <w:color w:val="2E74B5" w:themeColor="accent1" w:themeShade="BF"/>
          <w:sz w:val="24"/>
          <w:szCs w:val="24"/>
        </w:rPr>
        <w:t>El sujeto obligado deberá de cuidar en todo momento que la información que entregará no contenga datos personales o confidenciales, pues en caso de contener información con esos datos, deberá de elaborar la versión pública.</w:t>
      </w:r>
    </w:p>
    <w:p w:rsidR="0010262D" w:rsidRPr="00CA76E0" w:rsidRDefault="0010262D" w:rsidP="00CA76E0">
      <w:pPr>
        <w:pStyle w:val="NormalWeb"/>
        <w:spacing w:before="0" w:beforeAutospacing="0" w:after="0" w:afterAutospacing="0" w:line="276" w:lineRule="auto"/>
        <w:ind w:left="720"/>
        <w:jc w:val="both"/>
        <w:rPr>
          <w:rFonts w:ascii="Arial" w:hAnsi="Arial" w:cs="Arial"/>
          <w:color w:val="2E74B5" w:themeColor="accent1" w:themeShade="BF"/>
        </w:rPr>
      </w:pPr>
    </w:p>
    <w:p w:rsidR="0010262D" w:rsidRPr="00CA76E0" w:rsidRDefault="0010262D" w:rsidP="00CA76E0">
      <w:pPr>
        <w:spacing w:after="0" w:line="276" w:lineRule="auto"/>
        <w:ind w:firstLine="360"/>
        <w:jc w:val="both"/>
        <w:rPr>
          <w:rFonts w:ascii="Arial" w:eastAsia="Times New Roman" w:hAnsi="Arial" w:cs="Arial"/>
          <w:b/>
          <w:color w:val="2E74B5" w:themeColor="accent1" w:themeShade="BF"/>
          <w:sz w:val="24"/>
          <w:szCs w:val="24"/>
          <w:lang w:eastAsia="es-MX"/>
        </w:rPr>
      </w:pPr>
      <w:r w:rsidRPr="00CA76E0">
        <w:rPr>
          <w:rFonts w:ascii="Arial" w:eastAsia="Times New Roman" w:hAnsi="Arial" w:cs="Arial"/>
          <w:b/>
          <w:color w:val="2E74B5" w:themeColor="accent1" w:themeShade="BF"/>
          <w:sz w:val="24"/>
          <w:szCs w:val="24"/>
          <w:lang w:eastAsia="es-MX"/>
        </w:rPr>
        <w:t xml:space="preserve">    </w:t>
      </w:r>
      <w:r w:rsidR="00E12B1A">
        <w:rPr>
          <w:rFonts w:ascii="Arial" w:eastAsia="Times New Roman" w:hAnsi="Arial" w:cs="Arial"/>
          <w:b/>
          <w:color w:val="2E74B5" w:themeColor="accent1" w:themeShade="BF"/>
          <w:sz w:val="24"/>
          <w:szCs w:val="24"/>
          <w:lang w:eastAsia="es-MX"/>
        </w:rPr>
        <w:t>8</w:t>
      </w:r>
      <w:r w:rsidRPr="00CA76E0">
        <w:rPr>
          <w:rFonts w:ascii="Arial" w:eastAsia="Times New Roman" w:hAnsi="Arial" w:cs="Arial"/>
          <w:b/>
          <w:color w:val="2E74B5" w:themeColor="accent1" w:themeShade="BF"/>
          <w:sz w:val="24"/>
          <w:szCs w:val="24"/>
          <w:lang w:eastAsia="es-MX"/>
        </w:rPr>
        <w:t>.6 Plazo de diez días hábiles para el cumplimento de esta resolución.</w:t>
      </w:r>
    </w:p>
    <w:p w:rsidR="0010262D" w:rsidRPr="00CA76E0" w:rsidRDefault="0010262D" w:rsidP="00CA76E0">
      <w:pPr>
        <w:spacing w:after="0" w:line="276" w:lineRule="auto"/>
        <w:jc w:val="both"/>
        <w:rPr>
          <w:rFonts w:ascii="Arial" w:eastAsia="Times New Roman" w:hAnsi="Arial" w:cs="Arial"/>
          <w:b/>
          <w:color w:val="2E74B5" w:themeColor="accent1" w:themeShade="BF"/>
          <w:sz w:val="24"/>
          <w:szCs w:val="24"/>
          <w:lang w:eastAsia="es-MX"/>
        </w:rPr>
      </w:pPr>
    </w:p>
    <w:p w:rsidR="0010262D" w:rsidRPr="00CA76E0" w:rsidRDefault="0010262D" w:rsidP="00CA76E0">
      <w:pPr>
        <w:pStyle w:val="Prrafodelista"/>
        <w:spacing w:after="0"/>
        <w:ind w:left="0" w:firstLine="360"/>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10262D" w:rsidRPr="00CA76E0" w:rsidRDefault="0010262D" w:rsidP="00CA76E0">
      <w:pPr>
        <w:pStyle w:val="Prrafodelista"/>
        <w:spacing w:after="0"/>
        <w:ind w:left="720"/>
        <w:jc w:val="both"/>
        <w:rPr>
          <w:rFonts w:ascii="Arial" w:eastAsia="Times New Roman" w:hAnsi="Arial" w:cs="Arial"/>
          <w:color w:val="2E74B5" w:themeColor="accent1" w:themeShade="BF"/>
          <w:sz w:val="24"/>
          <w:szCs w:val="24"/>
          <w:lang w:eastAsia="es-MX"/>
        </w:rPr>
      </w:pPr>
    </w:p>
    <w:p w:rsidR="0010262D" w:rsidRPr="00CA76E0" w:rsidRDefault="00E12B1A" w:rsidP="00CA76E0">
      <w:pPr>
        <w:spacing w:after="0" w:line="276" w:lineRule="auto"/>
        <w:ind w:firstLine="708"/>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8</w:t>
      </w:r>
      <w:r w:rsidR="0010262D" w:rsidRPr="00CA76E0">
        <w:rPr>
          <w:rFonts w:ascii="Arial" w:eastAsia="Times New Roman" w:hAnsi="Arial" w:cs="Arial"/>
          <w:b/>
          <w:color w:val="2E74B5" w:themeColor="accent1" w:themeShade="BF"/>
          <w:sz w:val="24"/>
          <w:szCs w:val="24"/>
          <w:lang w:eastAsia="es-MX"/>
        </w:rPr>
        <w:t>.7 Informe sobre el cumplimento a la resolución dentro del plazo de tres días hábiles.</w:t>
      </w:r>
    </w:p>
    <w:p w:rsidR="0010262D" w:rsidRPr="00CA76E0" w:rsidRDefault="0010262D" w:rsidP="00CA76E0">
      <w:pPr>
        <w:spacing w:after="0" w:line="276" w:lineRule="auto"/>
        <w:jc w:val="both"/>
        <w:rPr>
          <w:rFonts w:ascii="Arial" w:eastAsia="Times New Roman" w:hAnsi="Arial" w:cs="Arial"/>
          <w:b/>
          <w:color w:val="2E74B5" w:themeColor="accent1" w:themeShade="BF"/>
          <w:sz w:val="24"/>
          <w:szCs w:val="24"/>
          <w:lang w:eastAsia="es-MX"/>
        </w:rPr>
      </w:pPr>
    </w:p>
    <w:p w:rsidR="0010262D" w:rsidRPr="00CA76E0" w:rsidRDefault="0010262D" w:rsidP="00CA76E0">
      <w:pPr>
        <w:pStyle w:val="Prrafodelista"/>
        <w:spacing w:after="0"/>
        <w:ind w:left="0" w:firstLine="708"/>
        <w:jc w:val="both"/>
        <w:rPr>
          <w:rFonts w:ascii="Arial" w:eastAsia="Times New Roman" w:hAnsi="Arial" w:cs="Arial"/>
          <w:color w:val="2E74B5" w:themeColor="accent1" w:themeShade="BF"/>
          <w:sz w:val="24"/>
          <w:szCs w:val="24"/>
          <w:lang w:eastAsia="es-MX"/>
        </w:rPr>
      </w:pPr>
      <w:r w:rsidRPr="00CA76E0">
        <w:rPr>
          <w:rFonts w:ascii="Arial" w:eastAsia="Times New Roman" w:hAnsi="Arial" w:cs="Arial"/>
          <w:color w:val="2E74B5" w:themeColor="accent1" w:themeShade="BF"/>
          <w:sz w:val="24"/>
          <w:szCs w:val="24"/>
          <w:lang w:eastAsia="es-MX"/>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10262D" w:rsidRPr="00CA76E0" w:rsidRDefault="0010262D" w:rsidP="00CA76E0">
      <w:pPr>
        <w:pStyle w:val="Prrafodelista"/>
        <w:spacing w:after="0"/>
        <w:ind w:left="720"/>
        <w:jc w:val="both"/>
        <w:rPr>
          <w:rFonts w:ascii="Arial" w:eastAsia="Times New Roman" w:hAnsi="Arial" w:cs="Arial"/>
          <w:color w:val="2E74B5" w:themeColor="accent1" w:themeShade="BF"/>
          <w:sz w:val="24"/>
          <w:szCs w:val="24"/>
          <w:lang w:eastAsia="es-MX"/>
        </w:rPr>
      </w:pPr>
    </w:p>
    <w:p w:rsidR="0010262D" w:rsidRPr="00CA76E0" w:rsidRDefault="00E12B1A" w:rsidP="00CA76E0">
      <w:pPr>
        <w:spacing w:after="0" w:line="276" w:lineRule="auto"/>
        <w:ind w:firstLine="708"/>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8</w:t>
      </w:r>
      <w:r w:rsidR="0010262D" w:rsidRPr="00CA76E0">
        <w:rPr>
          <w:rFonts w:ascii="Arial" w:eastAsia="Times New Roman" w:hAnsi="Arial" w:cs="Arial"/>
          <w:b/>
          <w:color w:val="2E74B5" w:themeColor="accent1" w:themeShade="BF"/>
          <w:sz w:val="24"/>
          <w:szCs w:val="24"/>
          <w:lang w:eastAsia="es-MX"/>
        </w:rPr>
        <w:t>.8. Medida de apremio en caso de incumplimiento a la resolución.</w:t>
      </w:r>
    </w:p>
    <w:p w:rsidR="0010262D" w:rsidRPr="00CA76E0" w:rsidRDefault="0010262D" w:rsidP="00CA76E0">
      <w:pPr>
        <w:spacing w:after="0" w:line="276" w:lineRule="auto"/>
        <w:jc w:val="both"/>
        <w:rPr>
          <w:rFonts w:ascii="Arial" w:eastAsia="Times New Roman" w:hAnsi="Arial" w:cs="Arial"/>
          <w:b/>
          <w:color w:val="2E74B5" w:themeColor="accent1" w:themeShade="BF"/>
          <w:sz w:val="24"/>
          <w:szCs w:val="24"/>
          <w:lang w:eastAsia="es-MX"/>
        </w:rPr>
      </w:pPr>
    </w:p>
    <w:p w:rsidR="0010262D" w:rsidRPr="00CA76E0" w:rsidRDefault="0010262D" w:rsidP="00CA76E0">
      <w:pPr>
        <w:pStyle w:val="corte4fondo"/>
        <w:tabs>
          <w:tab w:val="left" w:pos="567"/>
        </w:tabs>
        <w:spacing w:line="276" w:lineRule="auto"/>
        <w:rPr>
          <w:rFonts w:cs="Arial"/>
          <w:color w:val="2E74B5" w:themeColor="accent1" w:themeShade="BF"/>
          <w:sz w:val="24"/>
          <w:szCs w:val="24"/>
        </w:rPr>
      </w:pPr>
      <w:r w:rsidRPr="00CA76E0">
        <w:rPr>
          <w:rFonts w:cs="Arial"/>
          <w:color w:val="2E74B5" w:themeColor="accent1" w:themeShade="BF"/>
          <w:sz w:val="24"/>
          <w:szCs w:val="24"/>
        </w:rPr>
        <w:t xml:space="preserve">Esta Comisión Estatal de Garantía de Acceso a la Información Pública apercibe al ente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10262D" w:rsidRPr="00CA76E0" w:rsidRDefault="0010262D" w:rsidP="00CA76E0">
      <w:pPr>
        <w:pStyle w:val="corte4fondo"/>
        <w:tabs>
          <w:tab w:val="left" w:pos="567"/>
        </w:tabs>
        <w:spacing w:line="276" w:lineRule="auto"/>
        <w:ind w:left="720" w:firstLine="0"/>
        <w:rPr>
          <w:rFonts w:cs="Arial"/>
          <w:b/>
          <w:color w:val="2E74B5" w:themeColor="accent1" w:themeShade="BF"/>
          <w:sz w:val="24"/>
          <w:szCs w:val="24"/>
        </w:rPr>
      </w:pPr>
    </w:p>
    <w:p w:rsidR="0010262D" w:rsidRPr="00CA76E0" w:rsidRDefault="0010262D" w:rsidP="00CA76E0">
      <w:pPr>
        <w:pStyle w:val="corte4fondo"/>
        <w:tabs>
          <w:tab w:val="left" w:pos="567"/>
        </w:tabs>
        <w:spacing w:line="276" w:lineRule="auto"/>
        <w:jc w:val="center"/>
        <w:rPr>
          <w:rFonts w:cs="Arial"/>
          <w:color w:val="2E74B5" w:themeColor="accent1" w:themeShade="BF"/>
          <w:sz w:val="24"/>
          <w:szCs w:val="24"/>
        </w:rPr>
      </w:pPr>
      <w:r w:rsidRPr="00CA76E0">
        <w:rPr>
          <w:rFonts w:cs="Arial"/>
          <w:b/>
          <w:color w:val="2E74B5" w:themeColor="accent1" w:themeShade="BF"/>
          <w:sz w:val="24"/>
          <w:szCs w:val="24"/>
        </w:rPr>
        <w:t>RESOLUTIVOS</w:t>
      </w:r>
      <w:r w:rsidRPr="00CA76E0">
        <w:rPr>
          <w:rFonts w:cs="Arial"/>
          <w:color w:val="2E74B5" w:themeColor="accent1" w:themeShade="BF"/>
          <w:sz w:val="24"/>
          <w:szCs w:val="24"/>
        </w:rPr>
        <w:t xml:space="preserve"> </w:t>
      </w:r>
    </w:p>
    <w:p w:rsidR="0010262D" w:rsidRPr="00CA76E0" w:rsidRDefault="0010262D" w:rsidP="00CA76E0">
      <w:pPr>
        <w:pStyle w:val="corte4fondo"/>
        <w:tabs>
          <w:tab w:val="left" w:pos="567"/>
        </w:tabs>
        <w:spacing w:line="276" w:lineRule="auto"/>
        <w:jc w:val="center"/>
        <w:rPr>
          <w:rFonts w:cs="Arial"/>
          <w:color w:val="2E74B5" w:themeColor="accent1" w:themeShade="BF"/>
          <w:sz w:val="24"/>
          <w:szCs w:val="24"/>
        </w:rPr>
      </w:pPr>
    </w:p>
    <w:p w:rsidR="0010262D" w:rsidRPr="00CA76E0" w:rsidRDefault="0010262D" w:rsidP="00CA76E0">
      <w:pPr>
        <w:pStyle w:val="corte4fondo"/>
        <w:tabs>
          <w:tab w:val="left" w:pos="567"/>
        </w:tabs>
        <w:spacing w:line="276" w:lineRule="auto"/>
        <w:rPr>
          <w:rFonts w:cs="Arial"/>
          <w:color w:val="2E74B5" w:themeColor="accent1" w:themeShade="BF"/>
          <w:sz w:val="24"/>
          <w:szCs w:val="24"/>
        </w:rPr>
      </w:pPr>
      <w:r w:rsidRPr="00CA76E0">
        <w:rPr>
          <w:rFonts w:cs="Arial"/>
          <w:color w:val="2E74B5" w:themeColor="accent1" w:themeShade="BF"/>
          <w:sz w:val="24"/>
          <w:szCs w:val="24"/>
        </w:rPr>
        <w:t>Por lo expuesto y fundado, SE RESUELVE:</w:t>
      </w:r>
    </w:p>
    <w:p w:rsidR="0010262D" w:rsidRPr="00CA76E0" w:rsidRDefault="0010262D" w:rsidP="00CA76E0">
      <w:pPr>
        <w:pStyle w:val="corte4fondo"/>
        <w:tabs>
          <w:tab w:val="left" w:pos="567"/>
        </w:tabs>
        <w:spacing w:line="276" w:lineRule="auto"/>
        <w:rPr>
          <w:rFonts w:cs="Arial"/>
          <w:color w:val="2E74B5" w:themeColor="accent1" w:themeShade="BF"/>
          <w:sz w:val="24"/>
          <w:szCs w:val="24"/>
        </w:rPr>
      </w:pPr>
    </w:p>
    <w:p w:rsidR="0010262D" w:rsidRPr="00CA76E0" w:rsidRDefault="0010262D" w:rsidP="00CA76E0">
      <w:pPr>
        <w:pStyle w:val="corte4fondo"/>
        <w:tabs>
          <w:tab w:val="left" w:pos="567"/>
        </w:tabs>
        <w:spacing w:line="276" w:lineRule="auto"/>
        <w:rPr>
          <w:rFonts w:cs="Arial"/>
          <w:color w:val="2E74B5" w:themeColor="accent1" w:themeShade="BF"/>
          <w:sz w:val="24"/>
          <w:szCs w:val="24"/>
        </w:rPr>
      </w:pPr>
      <w:r w:rsidRPr="00CA76E0">
        <w:rPr>
          <w:rFonts w:cs="Arial"/>
          <w:b/>
          <w:color w:val="2E74B5" w:themeColor="accent1" w:themeShade="BF"/>
          <w:sz w:val="24"/>
          <w:szCs w:val="24"/>
        </w:rPr>
        <w:t>Único</w:t>
      </w:r>
      <w:r w:rsidRPr="00CA76E0">
        <w:rPr>
          <w:rFonts w:cs="Arial"/>
          <w:color w:val="2E74B5" w:themeColor="accent1" w:themeShade="BF"/>
          <w:sz w:val="24"/>
          <w:szCs w:val="24"/>
        </w:rPr>
        <w:t xml:space="preserve">. Esta Comisión Estatal de Garantía y Acceso a la Información Pública </w:t>
      </w:r>
      <w:r w:rsidRPr="00CA76E0">
        <w:rPr>
          <w:rFonts w:cs="Arial"/>
          <w:b/>
          <w:color w:val="2E74B5" w:themeColor="accent1" w:themeShade="BF"/>
          <w:sz w:val="24"/>
          <w:szCs w:val="24"/>
        </w:rPr>
        <w:t>modifica el acto impugnado</w:t>
      </w:r>
      <w:r w:rsidRPr="00CA76E0">
        <w:rPr>
          <w:rFonts w:cs="Arial"/>
          <w:color w:val="2E74B5" w:themeColor="accent1" w:themeShade="BF"/>
          <w:sz w:val="24"/>
          <w:szCs w:val="24"/>
        </w:rPr>
        <w:t xml:space="preserve"> por los fundamentos y las razones desarrol</w:t>
      </w:r>
      <w:r w:rsidR="0075611E">
        <w:rPr>
          <w:rFonts w:cs="Arial"/>
          <w:color w:val="2E74B5" w:themeColor="accent1" w:themeShade="BF"/>
          <w:sz w:val="24"/>
          <w:szCs w:val="24"/>
        </w:rPr>
        <w:t>ladas en el considerando octavo</w:t>
      </w:r>
      <w:r w:rsidRPr="00CA76E0">
        <w:rPr>
          <w:rFonts w:cs="Arial"/>
          <w:color w:val="2E74B5" w:themeColor="accent1" w:themeShade="BF"/>
          <w:sz w:val="24"/>
          <w:szCs w:val="24"/>
        </w:rPr>
        <w:t xml:space="preserve"> de la presente resolución.</w:t>
      </w:r>
    </w:p>
    <w:p w:rsidR="0010262D" w:rsidRPr="00CA76E0" w:rsidRDefault="0010262D" w:rsidP="00CA76E0">
      <w:pPr>
        <w:pStyle w:val="corte4fondo"/>
        <w:tabs>
          <w:tab w:val="left" w:pos="567"/>
        </w:tabs>
        <w:spacing w:line="276" w:lineRule="auto"/>
        <w:rPr>
          <w:rFonts w:cs="Arial"/>
          <w:color w:val="2E74B5" w:themeColor="accent1" w:themeShade="BF"/>
          <w:sz w:val="24"/>
          <w:szCs w:val="24"/>
        </w:rPr>
      </w:pPr>
      <w:r w:rsidRPr="00CA76E0">
        <w:rPr>
          <w:rFonts w:cs="Arial"/>
          <w:color w:val="2E74B5" w:themeColor="accent1" w:themeShade="BF"/>
          <w:sz w:val="24"/>
          <w:szCs w:val="24"/>
        </w:rPr>
        <w:t xml:space="preserve"> </w:t>
      </w:r>
    </w:p>
    <w:p w:rsidR="0010262D" w:rsidRPr="00CA76E0" w:rsidRDefault="0010262D" w:rsidP="00CA76E0">
      <w:pPr>
        <w:pStyle w:val="corte4fondo"/>
        <w:tabs>
          <w:tab w:val="left" w:pos="567"/>
        </w:tabs>
        <w:spacing w:line="276" w:lineRule="auto"/>
        <w:rPr>
          <w:rFonts w:cs="Arial"/>
          <w:color w:val="2E74B5" w:themeColor="accent1" w:themeShade="BF"/>
          <w:sz w:val="24"/>
          <w:szCs w:val="24"/>
        </w:rPr>
      </w:pPr>
      <w:r w:rsidRPr="00CA76E0">
        <w:rPr>
          <w:rFonts w:cs="Arial"/>
          <w:b/>
          <w:color w:val="2E74B5" w:themeColor="accent1" w:themeShade="BF"/>
          <w:sz w:val="24"/>
          <w:szCs w:val="24"/>
        </w:rPr>
        <w:lastRenderedPageBreak/>
        <w:t xml:space="preserve">Notifíquese; </w:t>
      </w:r>
      <w:r w:rsidRPr="00CA76E0">
        <w:rPr>
          <w:rFonts w:cs="Arial"/>
          <w:color w:val="2E74B5" w:themeColor="accent1" w:themeShade="BF"/>
          <w:sz w:val="24"/>
          <w:szCs w:val="24"/>
        </w:rPr>
        <w:t>por oficio a las autoridades</w:t>
      </w:r>
      <w:r w:rsidRPr="00CA76E0">
        <w:rPr>
          <w:rFonts w:cs="Arial"/>
          <w:b/>
          <w:color w:val="2E74B5" w:themeColor="accent1" w:themeShade="BF"/>
          <w:sz w:val="24"/>
          <w:szCs w:val="24"/>
        </w:rPr>
        <w:t xml:space="preserve"> </w:t>
      </w:r>
      <w:r w:rsidRPr="00CA76E0">
        <w:rPr>
          <w:rFonts w:cs="Arial"/>
          <w:color w:val="2E74B5" w:themeColor="accent1" w:themeShade="BF"/>
          <w:sz w:val="24"/>
          <w:szCs w:val="24"/>
        </w:rPr>
        <w:t>y a la recurrente por el medio que designó.</w:t>
      </w:r>
    </w:p>
    <w:p w:rsidR="0010262D" w:rsidRPr="00CA76E0" w:rsidRDefault="0010262D" w:rsidP="00CA76E0">
      <w:pPr>
        <w:pStyle w:val="corte4fondo"/>
        <w:tabs>
          <w:tab w:val="left" w:pos="567"/>
        </w:tabs>
        <w:spacing w:line="276" w:lineRule="auto"/>
        <w:rPr>
          <w:rFonts w:cs="Arial"/>
          <w:color w:val="2E74B5" w:themeColor="accent1" w:themeShade="BF"/>
          <w:sz w:val="24"/>
          <w:szCs w:val="24"/>
        </w:rPr>
      </w:pPr>
    </w:p>
    <w:p w:rsidR="00CA76E0" w:rsidRPr="00CA76E0" w:rsidRDefault="00CA76E0" w:rsidP="00CA76E0">
      <w:pPr>
        <w:pStyle w:val="corte4fondo"/>
        <w:tabs>
          <w:tab w:val="left" w:pos="567"/>
        </w:tabs>
        <w:spacing w:line="276" w:lineRule="auto"/>
        <w:rPr>
          <w:rFonts w:eastAsia="Arial Unicode MS" w:cs="Arial"/>
          <w:color w:val="2E74B5" w:themeColor="accent1" w:themeShade="BF"/>
          <w:sz w:val="24"/>
          <w:szCs w:val="24"/>
        </w:rPr>
      </w:pPr>
      <w:r w:rsidRPr="00CA76E0">
        <w:rPr>
          <w:rFonts w:cs="Arial"/>
          <w:color w:val="2E74B5" w:themeColor="accent1" w:themeShade="BF"/>
          <w:sz w:val="24"/>
          <w:szCs w:val="24"/>
        </w:rPr>
        <w:t xml:space="preserve">Así, por unanimidad de votos lo resolvió la Comisión Estatal de Garantía de Acceso a la Información Pública, integrada por los Comisionados Licenciados </w:t>
      </w:r>
      <w:proofErr w:type="spellStart"/>
      <w:r w:rsidRPr="00CA76E0">
        <w:rPr>
          <w:rFonts w:cs="Arial"/>
          <w:color w:val="2E74B5" w:themeColor="accent1" w:themeShade="BF"/>
          <w:sz w:val="24"/>
          <w:szCs w:val="24"/>
        </w:rPr>
        <w:t>Maria</w:t>
      </w:r>
      <w:r w:rsidR="00C0737C">
        <w:rPr>
          <w:rFonts w:cs="Arial"/>
          <w:color w:val="2E74B5" w:themeColor="accent1" w:themeShade="BF"/>
          <w:sz w:val="24"/>
          <w:szCs w:val="24"/>
        </w:rPr>
        <w:t>j</w:t>
      </w:r>
      <w:r w:rsidRPr="00CA76E0">
        <w:rPr>
          <w:rFonts w:cs="Arial"/>
          <w:color w:val="2E74B5" w:themeColor="accent1" w:themeShade="BF"/>
          <w:sz w:val="24"/>
          <w:szCs w:val="24"/>
        </w:rPr>
        <w:t>osé</w:t>
      </w:r>
      <w:proofErr w:type="spellEnd"/>
      <w:r w:rsidRPr="00CA76E0">
        <w:rPr>
          <w:rFonts w:cs="Arial"/>
          <w:color w:val="2E74B5" w:themeColor="accent1" w:themeShade="BF"/>
          <w:sz w:val="24"/>
          <w:szCs w:val="24"/>
        </w:rPr>
        <w:t xml:space="preserve"> González Zarzosa, Mtro. Alejandro Lafuente Torres, Paulina Sánchez Pérez del Pozo, Presidenta, siendo ponente la última de los nombrados, quienes, en unión de la Licenciada Rosa María Motilla García, Secretaria de Pleno que da fe, firman esta resolución. </w:t>
      </w:r>
      <w:r w:rsidRPr="00CA76E0">
        <w:rPr>
          <w:rFonts w:eastAsia="Arial Unicode MS" w:cs="Arial"/>
          <w:color w:val="2E74B5" w:themeColor="accent1" w:themeShade="BF"/>
          <w:sz w:val="24"/>
          <w:szCs w:val="24"/>
        </w:rPr>
        <w:t xml:space="preserve">   </w:t>
      </w:r>
    </w:p>
    <w:p w:rsidR="00CA76E0" w:rsidRPr="00CA76E0" w:rsidRDefault="00CA76E0" w:rsidP="00CA76E0">
      <w:pPr>
        <w:pStyle w:val="corte4fondo"/>
        <w:tabs>
          <w:tab w:val="left" w:pos="567"/>
        </w:tabs>
        <w:spacing w:line="276" w:lineRule="auto"/>
        <w:rPr>
          <w:rFonts w:cs="Arial"/>
          <w:color w:val="2E74B5" w:themeColor="accent1" w:themeShade="BF"/>
          <w:sz w:val="24"/>
          <w:szCs w:val="24"/>
        </w:rPr>
      </w:pPr>
    </w:p>
    <w:p w:rsidR="00CA76E0" w:rsidRPr="00CA76E0" w:rsidRDefault="00CA76E0" w:rsidP="00CA76E0">
      <w:pPr>
        <w:spacing w:after="0" w:line="276" w:lineRule="auto"/>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CA76E0" w:rsidRPr="00CA76E0" w:rsidTr="003E25DE">
        <w:trPr>
          <w:trHeight w:val="2654"/>
          <w:jc w:val="center"/>
        </w:trPr>
        <w:tc>
          <w:tcPr>
            <w:tcW w:w="4706" w:type="dxa"/>
            <w:gridSpan w:val="2"/>
          </w:tcPr>
          <w:p w:rsidR="00CA76E0" w:rsidRPr="00CA76E0" w:rsidRDefault="00CA76E0" w:rsidP="00CA76E0">
            <w:pPr>
              <w:spacing w:after="0" w:line="276" w:lineRule="auto"/>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        COMISIONADA </w:t>
            </w:r>
          </w:p>
          <w:p w:rsidR="00CA76E0" w:rsidRPr="00CA76E0" w:rsidRDefault="00CA76E0" w:rsidP="00CA76E0">
            <w:pPr>
              <w:spacing w:after="0" w:line="276" w:lineRule="auto"/>
              <w:ind w:left="360" w:firstLine="708"/>
              <w:jc w:val="center"/>
              <w:rPr>
                <w:rFonts w:ascii="Arial" w:eastAsia="Arial Unicode MS" w:hAnsi="Arial" w:cs="Arial"/>
                <w:b/>
                <w:color w:val="2E74B5" w:themeColor="accent1" w:themeShade="BF"/>
                <w:sz w:val="24"/>
                <w:szCs w:val="24"/>
              </w:rPr>
            </w:pPr>
          </w:p>
          <w:p w:rsidR="00CA76E0" w:rsidRPr="00CA76E0" w:rsidRDefault="00CA76E0" w:rsidP="00CA76E0">
            <w:pPr>
              <w:spacing w:after="0" w:line="276" w:lineRule="auto"/>
              <w:ind w:left="360" w:firstLine="708"/>
              <w:jc w:val="center"/>
              <w:rPr>
                <w:rFonts w:ascii="Arial" w:eastAsia="Arial Unicode MS" w:hAnsi="Arial" w:cs="Arial"/>
                <w:b/>
                <w:color w:val="2E74B5" w:themeColor="accent1" w:themeShade="BF"/>
                <w:sz w:val="24"/>
                <w:szCs w:val="24"/>
              </w:rPr>
            </w:pPr>
          </w:p>
          <w:p w:rsidR="00CA76E0" w:rsidRPr="00CA76E0" w:rsidRDefault="00CA76E0" w:rsidP="00CA76E0">
            <w:pPr>
              <w:tabs>
                <w:tab w:val="left" w:pos="1358"/>
              </w:tabs>
              <w:spacing w:after="0" w:line="276" w:lineRule="auto"/>
              <w:ind w:firstLine="36"/>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MARIAJOSÉ </w:t>
            </w:r>
          </w:p>
          <w:p w:rsidR="00CA76E0" w:rsidRPr="00CA76E0" w:rsidRDefault="00CA76E0" w:rsidP="00CA76E0">
            <w:pPr>
              <w:spacing w:after="0" w:line="276" w:lineRule="auto"/>
              <w:ind w:left="360" w:firstLine="36"/>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GONZÁLEZ ZARZOSA </w:t>
            </w:r>
          </w:p>
          <w:p w:rsidR="00CA76E0" w:rsidRPr="00CA76E0" w:rsidRDefault="00CA76E0" w:rsidP="00CA76E0">
            <w:pPr>
              <w:spacing w:after="0" w:line="276" w:lineRule="auto"/>
              <w:ind w:left="360" w:firstLine="708"/>
              <w:jc w:val="center"/>
              <w:rPr>
                <w:rFonts w:ascii="Arial" w:eastAsia="Arial Unicode MS" w:hAnsi="Arial" w:cs="Arial"/>
                <w:b/>
                <w:color w:val="2E74B5" w:themeColor="accent1" w:themeShade="BF"/>
                <w:sz w:val="24"/>
                <w:szCs w:val="24"/>
              </w:rPr>
            </w:pPr>
          </w:p>
          <w:p w:rsidR="00CA76E0" w:rsidRPr="00CA76E0" w:rsidRDefault="00CA76E0" w:rsidP="00CA76E0">
            <w:pPr>
              <w:spacing w:after="0" w:line="276" w:lineRule="auto"/>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                   </w:t>
            </w:r>
          </w:p>
          <w:p w:rsidR="00CA76E0" w:rsidRPr="00CA76E0" w:rsidRDefault="00CA76E0" w:rsidP="00CA76E0">
            <w:pPr>
              <w:spacing w:after="0" w:line="276" w:lineRule="auto"/>
              <w:rPr>
                <w:rFonts w:ascii="Arial" w:eastAsia="Arial Unicode MS" w:hAnsi="Arial" w:cs="Arial"/>
                <w:b/>
                <w:color w:val="2E74B5" w:themeColor="accent1" w:themeShade="BF"/>
                <w:sz w:val="24"/>
                <w:szCs w:val="24"/>
              </w:rPr>
            </w:pPr>
          </w:p>
        </w:tc>
        <w:tc>
          <w:tcPr>
            <w:tcW w:w="5194" w:type="dxa"/>
            <w:gridSpan w:val="2"/>
          </w:tcPr>
          <w:p w:rsidR="00CA76E0" w:rsidRPr="00CA76E0" w:rsidRDefault="00CA76E0" w:rsidP="00CA76E0">
            <w:pPr>
              <w:spacing w:after="0" w:line="276" w:lineRule="auto"/>
              <w:ind w:left="360" w:firstLine="708"/>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              COMISIONADO </w:t>
            </w:r>
          </w:p>
          <w:p w:rsidR="00CA76E0" w:rsidRPr="00CA76E0" w:rsidRDefault="00CA76E0" w:rsidP="00CA76E0">
            <w:pPr>
              <w:spacing w:after="0" w:line="276" w:lineRule="auto"/>
              <w:ind w:left="360" w:firstLine="708"/>
              <w:jc w:val="center"/>
              <w:rPr>
                <w:rFonts w:ascii="Arial" w:eastAsia="Arial Unicode MS" w:hAnsi="Arial" w:cs="Arial"/>
                <w:b/>
                <w:color w:val="2E74B5" w:themeColor="accent1" w:themeShade="BF"/>
                <w:sz w:val="24"/>
                <w:szCs w:val="24"/>
              </w:rPr>
            </w:pPr>
          </w:p>
          <w:p w:rsidR="00CA76E0" w:rsidRPr="00CA76E0" w:rsidRDefault="00CA76E0" w:rsidP="00CA76E0">
            <w:pPr>
              <w:spacing w:after="0" w:line="276" w:lineRule="auto"/>
              <w:ind w:left="360" w:firstLine="708"/>
              <w:jc w:val="center"/>
              <w:rPr>
                <w:rFonts w:ascii="Arial" w:eastAsia="Arial Unicode MS" w:hAnsi="Arial" w:cs="Arial"/>
                <w:b/>
                <w:color w:val="2E74B5" w:themeColor="accent1" w:themeShade="BF"/>
                <w:sz w:val="24"/>
                <w:szCs w:val="24"/>
              </w:rPr>
            </w:pPr>
          </w:p>
          <w:p w:rsidR="00CA76E0" w:rsidRPr="00CA76E0" w:rsidRDefault="00CA76E0" w:rsidP="00CA76E0">
            <w:pPr>
              <w:spacing w:after="0" w:line="276" w:lineRule="auto"/>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                     MTRO. ALEJANDRO </w:t>
            </w:r>
          </w:p>
          <w:p w:rsidR="00CA76E0" w:rsidRPr="00CA76E0" w:rsidRDefault="00CA76E0" w:rsidP="00CA76E0">
            <w:pPr>
              <w:pStyle w:val="corte4fondo"/>
              <w:tabs>
                <w:tab w:val="left" w:pos="567"/>
              </w:tabs>
              <w:spacing w:line="276" w:lineRule="auto"/>
              <w:ind w:firstLine="0"/>
              <w:rPr>
                <w:rFonts w:cs="Arial"/>
                <w:i/>
                <w:color w:val="2E74B5" w:themeColor="accent1" w:themeShade="BF"/>
                <w:sz w:val="10"/>
                <w:szCs w:val="10"/>
              </w:rPr>
            </w:pPr>
            <w:r w:rsidRPr="00CA76E0">
              <w:rPr>
                <w:rFonts w:eastAsia="Arial Unicode MS" w:cs="Arial"/>
                <w:b/>
                <w:color w:val="2E74B5" w:themeColor="accent1" w:themeShade="BF"/>
                <w:sz w:val="24"/>
                <w:szCs w:val="24"/>
              </w:rPr>
              <w:t xml:space="preserve">                    LAFUENTE TORRES</w:t>
            </w:r>
          </w:p>
          <w:p w:rsidR="00CA76E0" w:rsidRPr="00CA76E0" w:rsidRDefault="00CA76E0" w:rsidP="00CA76E0">
            <w:pPr>
              <w:spacing w:after="0" w:line="276" w:lineRule="auto"/>
              <w:ind w:left="360" w:firstLine="708"/>
              <w:jc w:val="center"/>
              <w:rPr>
                <w:rFonts w:ascii="Arial" w:eastAsia="Arial Unicode MS" w:hAnsi="Arial" w:cs="Arial"/>
                <w:b/>
                <w:color w:val="2E74B5" w:themeColor="accent1" w:themeShade="BF"/>
                <w:sz w:val="24"/>
                <w:szCs w:val="24"/>
              </w:rPr>
            </w:pPr>
          </w:p>
          <w:p w:rsidR="00CA76E0" w:rsidRPr="00CA76E0" w:rsidRDefault="00CA76E0" w:rsidP="00CA76E0">
            <w:pPr>
              <w:pStyle w:val="corte4fondo"/>
              <w:tabs>
                <w:tab w:val="left" w:pos="567"/>
              </w:tabs>
              <w:spacing w:line="276" w:lineRule="auto"/>
              <w:ind w:firstLine="0"/>
              <w:rPr>
                <w:rFonts w:eastAsia="Arial Unicode MS" w:cs="Arial"/>
                <w:b/>
                <w:color w:val="2E74B5" w:themeColor="accent1" w:themeShade="BF"/>
                <w:sz w:val="24"/>
                <w:szCs w:val="24"/>
              </w:rPr>
            </w:pPr>
          </w:p>
        </w:tc>
      </w:tr>
      <w:tr w:rsidR="00CA76E0" w:rsidRPr="00CA76E0" w:rsidTr="003E25DE">
        <w:trPr>
          <w:trHeight w:val="2085"/>
          <w:jc w:val="center"/>
        </w:trPr>
        <w:tc>
          <w:tcPr>
            <w:tcW w:w="4552" w:type="dxa"/>
          </w:tcPr>
          <w:p w:rsidR="00CA76E0" w:rsidRPr="00CA76E0" w:rsidRDefault="00CA76E0" w:rsidP="00CA76E0">
            <w:pPr>
              <w:spacing w:after="0" w:line="276" w:lineRule="auto"/>
              <w:ind w:left="360" w:hanging="360"/>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COMISIONADA PRESIDENTA</w:t>
            </w:r>
          </w:p>
          <w:p w:rsidR="00CA76E0" w:rsidRPr="00CA76E0" w:rsidRDefault="00CA76E0" w:rsidP="00CA76E0">
            <w:pPr>
              <w:spacing w:after="0" w:line="276" w:lineRule="auto"/>
              <w:ind w:left="360"/>
              <w:rPr>
                <w:rFonts w:ascii="Arial" w:eastAsia="Arial Unicode MS" w:hAnsi="Arial" w:cs="Arial"/>
                <w:b/>
                <w:color w:val="2E74B5" w:themeColor="accent1" w:themeShade="BF"/>
                <w:sz w:val="24"/>
                <w:szCs w:val="24"/>
              </w:rPr>
            </w:pPr>
          </w:p>
          <w:p w:rsidR="00CA76E0" w:rsidRPr="00CA76E0" w:rsidRDefault="00CA76E0" w:rsidP="00CA76E0">
            <w:pPr>
              <w:spacing w:after="0" w:line="276" w:lineRule="auto"/>
              <w:ind w:left="360"/>
              <w:rPr>
                <w:rFonts w:ascii="Arial" w:eastAsia="Arial Unicode MS" w:hAnsi="Arial" w:cs="Arial"/>
                <w:b/>
                <w:color w:val="2E74B5" w:themeColor="accent1" w:themeShade="BF"/>
                <w:sz w:val="24"/>
                <w:szCs w:val="24"/>
              </w:rPr>
            </w:pPr>
          </w:p>
          <w:p w:rsidR="00CA76E0" w:rsidRPr="00CA76E0" w:rsidRDefault="00CA76E0" w:rsidP="00CA76E0">
            <w:pPr>
              <w:spacing w:after="0" w:line="276" w:lineRule="auto"/>
              <w:ind w:left="360"/>
              <w:rPr>
                <w:rFonts w:ascii="Arial" w:eastAsia="Arial Unicode MS" w:hAnsi="Arial" w:cs="Arial"/>
                <w:b/>
                <w:color w:val="2E74B5" w:themeColor="accent1" w:themeShade="BF"/>
                <w:sz w:val="24"/>
                <w:szCs w:val="24"/>
              </w:rPr>
            </w:pPr>
          </w:p>
          <w:p w:rsidR="00CA76E0" w:rsidRPr="00CA76E0" w:rsidRDefault="00CA76E0" w:rsidP="00CA76E0">
            <w:pPr>
              <w:spacing w:after="0" w:line="276" w:lineRule="auto"/>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LIC. PAULINA SÁNCHEZ </w:t>
            </w:r>
          </w:p>
          <w:p w:rsidR="00CA76E0" w:rsidRPr="00CA76E0" w:rsidRDefault="00CA76E0" w:rsidP="00CA76E0">
            <w:pPr>
              <w:spacing w:after="0" w:line="276" w:lineRule="auto"/>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PÉREZ DEL POZO</w:t>
            </w:r>
          </w:p>
          <w:p w:rsidR="00CA76E0" w:rsidRPr="00CA76E0" w:rsidRDefault="00CA76E0" w:rsidP="00CA76E0">
            <w:pPr>
              <w:spacing w:after="0" w:line="276" w:lineRule="auto"/>
              <w:ind w:left="360" w:firstLine="36"/>
              <w:jc w:val="center"/>
              <w:rPr>
                <w:rFonts w:ascii="Arial" w:eastAsia="Arial Unicode MS" w:hAnsi="Arial" w:cs="Arial"/>
                <w:b/>
                <w:color w:val="2E74B5" w:themeColor="accent1" w:themeShade="BF"/>
                <w:sz w:val="24"/>
                <w:szCs w:val="24"/>
              </w:rPr>
            </w:pPr>
          </w:p>
        </w:tc>
        <w:tc>
          <w:tcPr>
            <w:tcW w:w="334" w:type="dxa"/>
            <w:gridSpan w:val="2"/>
          </w:tcPr>
          <w:p w:rsidR="00CA76E0" w:rsidRPr="00CA76E0" w:rsidRDefault="00CA76E0" w:rsidP="00CA76E0">
            <w:pPr>
              <w:spacing w:after="0" w:line="276" w:lineRule="auto"/>
              <w:ind w:left="360" w:firstLine="708"/>
              <w:jc w:val="center"/>
              <w:rPr>
                <w:rFonts w:ascii="Arial" w:eastAsia="Arial Unicode MS" w:hAnsi="Arial" w:cs="Arial"/>
                <w:b/>
                <w:color w:val="2E74B5" w:themeColor="accent1" w:themeShade="BF"/>
                <w:sz w:val="24"/>
                <w:szCs w:val="24"/>
              </w:rPr>
            </w:pPr>
          </w:p>
        </w:tc>
        <w:tc>
          <w:tcPr>
            <w:tcW w:w="5014" w:type="dxa"/>
          </w:tcPr>
          <w:p w:rsidR="00CA76E0" w:rsidRPr="00CA76E0" w:rsidRDefault="00CA76E0" w:rsidP="00CA76E0">
            <w:pPr>
              <w:spacing w:after="0" w:line="276" w:lineRule="auto"/>
              <w:ind w:left="360" w:firstLine="708"/>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SECRETARIA DE PLENO</w:t>
            </w:r>
          </w:p>
          <w:p w:rsidR="00CA76E0" w:rsidRPr="00CA76E0" w:rsidRDefault="00CA76E0" w:rsidP="00CA76E0">
            <w:pPr>
              <w:spacing w:after="0" w:line="276" w:lineRule="auto"/>
              <w:ind w:left="360" w:firstLine="708"/>
              <w:jc w:val="center"/>
              <w:rPr>
                <w:rFonts w:ascii="Arial" w:eastAsia="Arial Unicode MS" w:hAnsi="Arial" w:cs="Arial"/>
                <w:b/>
                <w:color w:val="2E74B5" w:themeColor="accent1" w:themeShade="BF"/>
                <w:sz w:val="24"/>
                <w:szCs w:val="24"/>
              </w:rPr>
            </w:pPr>
          </w:p>
          <w:p w:rsidR="00CA76E0" w:rsidRPr="00CA76E0" w:rsidRDefault="00CA76E0" w:rsidP="00CA76E0">
            <w:pPr>
              <w:spacing w:after="0" w:line="276" w:lineRule="auto"/>
              <w:ind w:left="360" w:firstLine="708"/>
              <w:jc w:val="center"/>
              <w:rPr>
                <w:rFonts w:ascii="Arial" w:eastAsia="Arial Unicode MS" w:hAnsi="Arial" w:cs="Arial"/>
                <w:b/>
                <w:color w:val="2E74B5" w:themeColor="accent1" w:themeShade="BF"/>
                <w:sz w:val="24"/>
                <w:szCs w:val="24"/>
              </w:rPr>
            </w:pPr>
          </w:p>
          <w:p w:rsidR="00CA76E0" w:rsidRPr="00CA76E0" w:rsidRDefault="00CA76E0" w:rsidP="00CA76E0">
            <w:pPr>
              <w:spacing w:after="0" w:line="276" w:lineRule="auto"/>
              <w:ind w:left="360" w:firstLine="708"/>
              <w:jc w:val="center"/>
              <w:rPr>
                <w:rFonts w:ascii="Arial" w:eastAsia="Arial Unicode MS" w:hAnsi="Arial" w:cs="Arial"/>
                <w:b/>
                <w:color w:val="2E74B5" w:themeColor="accent1" w:themeShade="BF"/>
                <w:sz w:val="24"/>
                <w:szCs w:val="24"/>
              </w:rPr>
            </w:pPr>
          </w:p>
          <w:p w:rsidR="00CA76E0" w:rsidRPr="00CA76E0" w:rsidRDefault="00CA76E0" w:rsidP="00CA76E0">
            <w:pPr>
              <w:spacing w:after="0" w:line="276" w:lineRule="auto"/>
              <w:ind w:left="360" w:hanging="360"/>
              <w:jc w:val="center"/>
              <w:rPr>
                <w:rFonts w:ascii="Arial" w:eastAsia="Arial Unicode MS" w:hAnsi="Arial" w:cs="Arial"/>
                <w:b/>
                <w:color w:val="2E74B5" w:themeColor="accent1" w:themeShade="BF"/>
                <w:sz w:val="24"/>
                <w:szCs w:val="24"/>
              </w:rPr>
            </w:pPr>
            <w:r w:rsidRPr="00CA76E0">
              <w:rPr>
                <w:rFonts w:ascii="Arial" w:eastAsia="Arial Unicode MS" w:hAnsi="Arial" w:cs="Arial"/>
                <w:b/>
                <w:color w:val="2E74B5" w:themeColor="accent1" w:themeShade="BF"/>
                <w:sz w:val="24"/>
                <w:szCs w:val="24"/>
              </w:rPr>
              <w:t xml:space="preserve">LIC. ROSA MARÍA MOTILLA GARCÍA </w:t>
            </w:r>
          </w:p>
        </w:tc>
      </w:tr>
    </w:tbl>
    <w:p w:rsidR="0010262D" w:rsidRPr="00CA76E0" w:rsidRDefault="00CA76E0" w:rsidP="00CA76E0">
      <w:pPr>
        <w:pStyle w:val="corte4fondo"/>
        <w:tabs>
          <w:tab w:val="left" w:pos="567"/>
        </w:tabs>
        <w:spacing w:line="276" w:lineRule="auto"/>
        <w:ind w:firstLine="0"/>
        <w:rPr>
          <w:rFonts w:cs="Arial"/>
          <w:color w:val="2E74B5" w:themeColor="accent1" w:themeShade="BF"/>
          <w:sz w:val="10"/>
          <w:szCs w:val="10"/>
        </w:rPr>
      </w:pPr>
      <w:r w:rsidRPr="00CA76E0">
        <w:rPr>
          <w:rFonts w:cs="Arial"/>
          <w:color w:val="2E74B5" w:themeColor="accent1" w:themeShade="BF"/>
          <w:sz w:val="10"/>
          <w:szCs w:val="10"/>
        </w:rPr>
        <w:t>*ESTAS FIRMAS PERTENECEN A LA RESOLUCIÓN DE LA REVISIÓN 317/2018-2 QUE FUE INTERPUESTO CONTRA LA SECRETARÍA DE FINANZA</w:t>
      </w:r>
      <w:r w:rsidR="00E576CF">
        <w:rPr>
          <w:rFonts w:cs="Arial"/>
          <w:color w:val="2E74B5" w:themeColor="accent1" w:themeShade="BF"/>
          <w:sz w:val="10"/>
          <w:szCs w:val="10"/>
        </w:rPr>
        <w:t>S Y QUE FUE APROBADA EN LA SESIÓ</w:t>
      </w:r>
      <w:r w:rsidRPr="00CA76E0">
        <w:rPr>
          <w:rFonts w:cs="Arial"/>
          <w:color w:val="2E74B5" w:themeColor="accent1" w:themeShade="BF"/>
          <w:sz w:val="10"/>
          <w:szCs w:val="10"/>
        </w:rPr>
        <w:t>N EXTRAORDINARIA DEL 11 ONCE DE JULIO DE 2018 DOS MIL DIECIOCHO.</w:t>
      </w:r>
    </w:p>
    <w:p w:rsidR="0010262D" w:rsidRPr="00CA76E0" w:rsidRDefault="0010262D" w:rsidP="00CA76E0">
      <w:pPr>
        <w:pStyle w:val="corte4fondo"/>
        <w:tabs>
          <w:tab w:val="left" w:pos="567"/>
          <w:tab w:val="left" w:pos="3643"/>
        </w:tabs>
        <w:spacing w:line="276" w:lineRule="auto"/>
        <w:rPr>
          <w:rFonts w:cs="Arial"/>
          <w:i/>
          <w:color w:val="2E74B5" w:themeColor="accent1" w:themeShade="BF"/>
          <w:sz w:val="10"/>
          <w:szCs w:val="10"/>
        </w:rPr>
      </w:pPr>
    </w:p>
    <w:p w:rsidR="0010262D" w:rsidRPr="00CA76E0" w:rsidRDefault="0010262D" w:rsidP="00CA76E0">
      <w:pPr>
        <w:pStyle w:val="corte4fondo"/>
        <w:tabs>
          <w:tab w:val="left" w:pos="567"/>
        </w:tabs>
        <w:spacing w:line="276" w:lineRule="auto"/>
        <w:ind w:firstLine="0"/>
        <w:rPr>
          <w:rFonts w:cs="Arial"/>
          <w:i/>
          <w:color w:val="2E74B5" w:themeColor="accent1" w:themeShade="BF"/>
          <w:sz w:val="10"/>
          <w:szCs w:val="10"/>
        </w:rPr>
      </w:pPr>
    </w:p>
    <w:p w:rsidR="0010262D" w:rsidRPr="00CA76E0" w:rsidRDefault="0010262D" w:rsidP="00CA76E0">
      <w:pPr>
        <w:pStyle w:val="corte4fondo"/>
        <w:tabs>
          <w:tab w:val="left" w:pos="567"/>
        </w:tabs>
        <w:spacing w:line="276" w:lineRule="auto"/>
        <w:ind w:firstLine="0"/>
        <w:rPr>
          <w:rFonts w:cs="Arial"/>
          <w:i/>
          <w:color w:val="2E74B5" w:themeColor="accent1" w:themeShade="BF"/>
          <w:sz w:val="10"/>
          <w:szCs w:val="10"/>
        </w:rPr>
      </w:pPr>
      <w:r w:rsidRPr="00CA76E0">
        <w:rPr>
          <w:rFonts w:cs="Arial"/>
          <w:i/>
          <w:color w:val="2E74B5" w:themeColor="accent1" w:themeShade="BF"/>
          <w:sz w:val="10"/>
          <w:szCs w:val="10"/>
        </w:rPr>
        <w:t xml:space="preserve">L/MEMH </w:t>
      </w:r>
    </w:p>
    <w:p w:rsidR="0010262D" w:rsidRPr="00CA76E0" w:rsidRDefault="0010262D" w:rsidP="00CA76E0">
      <w:pPr>
        <w:spacing w:after="0" w:line="276" w:lineRule="auto"/>
        <w:rPr>
          <w:rFonts w:ascii="Arial" w:hAnsi="Arial" w:cs="Arial"/>
          <w:color w:val="2E74B5" w:themeColor="accent1" w:themeShade="BF"/>
        </w:rPr>
      </w:pPr>
    </w:p>
    <w:p w:rsidR="0010262D" w:rsidRPr="00CA76E0" w:rsidRDefault="0010262D" w:rsidP="00CA76E0">
      <w:pPr>
        <w:spacing w:after="0" w:line="276" w:lineRule="auto"/>
        <w:rPr>
          <w:rFonts w:ascii="Arial" w:hAnsi="Arial" w:cs="Arial"/>
          <w:color w:val="2E74B5" w:themeColor="accent1" w:themeShade="BF"/>
        </w:rPr>
      </w:pPr>
    </w:p>
    <w:p w:rsidR="00995B21" w:rsidRPr="00CA76E0" w:rsidRDefault="00995B21" w:rsidP="00CA76E0">
      <w:pPr>
        <w:spacing w:after="0" w:line="276" w:lineRule="auto"/>
        <w:rPr>
          <w:color w:val="2E74B5" w:themeColor="accent1" w:themeShade="BF"/>
        </w:rPr>
      </w:pPr>
    </w:p>
    <w:sectPr w:rsidR="00995B21" w:rsidRPr="00CA76E0" w:rsidSect="00902EB0">
      <w:headerReference w:type="default" r:id="rId10"/>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00C8" w:rsidRDefault="00E300C8" w:rsidP="0010262D">
      <w:pPr>
        <w:spacing w:after="0" w:line="240" w:lineRule="auto"/>
      </w:pPr>
      <w:r>
        <w:separator/>
      </w:r>
    </w:p>
  </w:endnote>
  <w:endnote w:type="continuationSeparator" w:id="0">
    <w:p w:rsidR="00E300C8" w:rsidRDefault="00E300C8" w:rsidP="001026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00C8" w:rsidRDefault="00E300C8" w:rsidP="0010262D">
      <w:pPr>
        <w:spacing w:after="0" w:line="240" w:lineRule="auto"/>
      </w:pPr>
      <w:r>
        <w:separator/>
      </w:r>
    </w:p>
  </w:footnote>
  <w:footnote w:type="continuationSeparator" w:id="0">
    <w:p w:rsidR="00E300C8" w:rsidRDefault="00E300C8" w:rsidP="0010262D">
      <w:pPr>
        <w:spacing w:after="0" w:line="240" w:lineRule="auto"/>
      </w:pPr>
      <w:r>
        <w:continuationSeparator/>
      </w:r>
    </w:p>
  </w:footnote>
  <w:footnote w:id="1">
    <w:p w:rsidR="0010262D" w:rsidRPr="00DA1577" w:rsidRDefault="0010262D" w:rsidP="0010262D">
      <w:pPr>
        <w:pStyle w:val="Textonotapie"/>
        <w:jc w:val="both"/>
        <w:rPr>
          <w:rFonts w:ascii="Arial" w:hAnsi="Arial" w:cs="Arial"/>
          <w:sz w:val="16"/>
          <w:szCs w:val="16"/>
        </w:rPr>
      </w:pPr>
      <w:r w:rsidRPr="00DA1577">
        <w:rPr>
          <w:rStyle w:val="Refdenotaalpie"/>
          <w:rFonts w:ascii="Arial" w:hAnsi="Arial" w:cs="Arial"/>
          <w:sz w:val="16"/>
          <w:szCs w:val="16"/>
        </w:rPr>
        <w:footnoteRef/>
      </w:r>
      <w:r w:rsidRPr="00DA1577">
        <w:rPr>
          <w:rFonts w:ascii="Arial" w:hAnsi="Arial" w:cs="Arial"/>
          <w:sz w:val="16"/>
          <w:szCs w:val="16"/>
        </w:rPr>
        <w:t xml:space="preserve"> Visible en la foja 1 de autos. </w:t>
      </w:r>
    </w:p>
  </w:footnote>
  <w:footnote w:id="2">
    <w:p w:rsidR="0010262D" w:rsidRPr="00074E09" w:rsidRDefault="0010262D" w:rsidP="0010262D">
      <w:pPr>
        <w:pStyle w:val="Textonotapie"/>
        <w:rPr>
          <w:color w:val="FF0000"/>
        </w:rPr>
      </w:pPr>
      <w:r w:rsidRPr="00A2402C">
        <w:rPr>
          <w:rStyle w:val="Refdenotaalpie"/>
          <w:color w:val="2E74B5" w:themeColor="accent1" w:themeShade="BF"/>
        </w:rPr>
        <w:footnoteRef/>
      </w:r>
      <w:r w:rsidRPr="00A2402C">
        <w:rPr>
          <w:color w:val="2E74B5" w:themeColor="accent1" w:themeShade="BF"/>
        </w:rPr>
        <w:t xml:space="preserve"> </w:t>
      </w:r>
      <w:r w:rsidRPr="00A2402C">
        <w:rPr>
          <w:rFonts w:ascii="Arial" w:hAnsi="Arial" w:cs="Arial"/>
          <w:color w:val="2E74B5" w:themeColor="accent1" w:themeShade="BF"/>
          <w:sz w:val="16"/>
          <w:szCs w:val="16"/>
        </w:rPr>
        <w:t xml:space="preserve">Visible en la foja 4 de autos. </w:t>
      </w:r>
    </w:p>
  </w:footnote>
  <w:footnote w:id="3">
    <w:p w:rsidR="005631BF" w:rsidRPr="007D2E32" w:rsidRDefault="005631BF" w:rsidP="005631BF">
      <w:pPr>
        <w:pStyle w:val="Textonotapie"/>
        <w:spacing w:line="360" w:lineRule="auto"/>
        <w:jc w:val="both"/>
        <w:rPr>
          <w:rFonts w:ascii="Arial" w:hAnsi="Arial" w:cs="Arial"/>
          <w:sz w:val="16"/>
          <w:szCs w:val="16"/>
        </w:rPr>
      </w:pPr>
      <w:r w:rsidRPr="007D2E32">
        <w:rPr>
          <w:rStyle w:val="Refdenotaalpie"/>
          <w:rFonts w:ascii="Arial" w:hAnsi="Arial" w:cs="Arial"/>
          <w:color w:val="548DD4"/>
          <w:sz w:val="16"/>
          <w:szCs w:val="16"/>
        </w:rPr>
        <w:footnoteRef/>
      </w:r>
      <w:r w:rsidRPr="007D2E32">
        <w:rPr>
          <w:rFonts w:ascii="Arial" w:hAnsi="Arial" w:cs="Arial"/>
          <w:color w:val="548DD4"/>
          <w:sz w:val="16"/>
          <w:szCs w:val="16"/>
        </w:rPr>
        <w:t xml:space="preserve"> </w:t>
      </w:r>
      <w:r w:rsidRPr="007D2E32">
        <w:rPr>
          <w:rFonts w:ascii="Arial" w:hAnsi="Arial" w:cs="Arial"/>
          <w:b/>
          <w:bCs/>
          <w:sz w:val="16"/>
          <w:szCs w:val="16"/>
        </w:rPr>
        <w:t xml:space="preserve">ARTICULO 7. </w:t>
      </w:r>
      <w:r w:rsidRPr="007D2E32">
        <w:rPr>
          <w:rFonts w:ascii="Arial" w:hAnsi="Arial" w:cs="Arial"/>
          <w:sz w:val="16"/>
          <w:szCs w:val="16"/>
        </w:rPr>
        <w:t xml:space="preserve">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w:t>
      </w:r>
      <w:proofErr w:type="spellStart"/>
      <w:r w:rsidRPr="007D2E32">
        <w:rPr>
          <w:rFonts w:ascii="Arial" w:hAnsi="Arial" w:cs="Arial"/>
          <w:sz w:val="16"/>
          <w:szCs w:val="16"/>
        </w:rPr>
        <w:t>pro</w:t>
      </w:r>
      <w:proofErr w:type="spellEnd"/>
      <w:r w:rsidRPr="007D2E32">
        <w:rPr>
          <w:rFonts w:ascii="Arial" w:hAnsi="Arial" w:cs="Arial"/>
          <w:sz w:val="16"/>
          <w:szCs w:val="16"/>
        </w:rPr>
        <w:t xml:space="preserve"> persona.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0E02" w:rsidRPr="00C0737C" w:rsidRDefault="008B1912" w:rsidP="00020E02">
    <w:pPr>
      <w:pStyle w:val="Encabezado"/>
      <w:tabs>
        <w:tab w:val="clear" w:pos="4419"/>
        <w:tab w:val="left" w:pos="6804"/>
      </w:tabs>
      <w:jc w:val="right"/>
      <w:rPr>
        <w:rFonts w:ascii="Arial" w:hAnsi="Arial" w:cs="Arial"/>
        <w:color w:val="2E74B5" w:themeColor="accent1" w:themeShade="BF"/>
        <w:sz w:val="16"/>
        <w:szCs w:val="16"/>
      </w:rPr>
    </w:pPr>
    <w:r>
      <w:t xml:space="preserve">                                                                                                                    </w:t>
    </w:r>
    <w:r w:rsidRPr="00DE7FC2">
      <w:rPr>
        <w:rFonts w:ascii="Arial" w:hAnsi="Arial" w:cs="Arial"/>
      </w:rPr>
      <w:t xml:space="preserve">                                                    </w:t>
    </w:r>
    <w:r>
      <w:rPr>
        <w:rFonts w:ascii="Arial" w:hAnsi="Arial" w:cs="Arial"/>
      </w:rPr>
      <w:t xml:space="preserve">                  </w:t>
    </w:r>
    <w:r w:rsidRPr="00C0737C">
      <w:rPr>
        <w:rFonts w:ascii="Arial" w:hAnsi="Arial" w:cs="Arial"/>
        <w:color w:val="2E74B5" w:themeColor="accent1" w:themeShade="BF"/>
      </w:rPr>
      <w:fldChar w:fldCharType="begin"/>
    </w:r>
    <w:r w:rsidRPr="00C0737C">
      <w:rPr>
        <w:rFonts w:ascii="Arial" w:hAnsi="Arial" w:cs="Arial"/>
        <w:color w:val="2E74B5" w:themeColor="accent1" w:themeShade="BF"/>
      </w:rPr>
      <w:instrText xml:space="preserve"> PAGE   \* MERGEFORMAT </w:instrText>
    </w:r>
    <w:r w:rsidRPr="00C0737C">
      <w:rPr>
        <w:rFonts w:ascii="Arial" w:hAnsi="Arial" w:cs="Arial"/>
        <w:color w:val="2E74B5" w:themeColor="accent1" w:themeShade="BF"/>
      </w:rPr>
      <w:fldChar w:fldCharType="separate"/>
    </w:r>
    <w:r w:rsidR="00A51F36">
      <w:rPr>
        <w:rFonts w:ascii="Arial" w:hAnsi="Arial" w:cs="Arial"/>
        <w:noProof/>
        <w:color w:val="2E74B5" w:themeColor="accent1" w:themeShade="BF"/>
      </w:rPr>
      <w:t>1</w:t>
    </w:r>
    <w:r w:rsidRPr="00C0737C">
      <w:rPr>
        <w:rFonts w:ascii="Arial" w:hAnsi="Arial" w:cs="Arial"/>
        <w:color w:val="2E74B5" w:themeColor="accent1" w:themeShade="BF"/>
      </w:rPr>
      <w:fldChar w:fldCharType="end"/>
    </w:r>
    <w:r w:rsidRPr="00C0737C">
      <w:rPr>
        <w:rFonts w:ascii="Arial" w:hAnsi="Arial" w:cs="Arial"/>
        <w:color w:val="2E74B5" w:themeColor="accent1" w:themeShade="BF"/>
      </w:rPr>
      <w:t xml:space="preserve">                                          </w:t>
    </w:r>
    <w:r w:rsidRPr="00C0737C">
      <w:rPr>
        <w:rFonts w:ascii="Arial" w:hAnsi="Arial" w:cs="Arial"/>
        <w:color w:val="2E74B5" w:themeColor="accent1" w:themeShade="BF"/>
        <w:sz w:val="16"/>
        <w:szCs w:val="16"/>
      </w:rPr>
      <w:t xml:space="preserve">RECURSO DE REVISIÓN  </w:t>
    </w:r>
    <w:r w:rsidR="0010262D" w:rsidRPr="00C0737C">
      <w:rPr>
        <w:rFonts w:ascii="Arial" w:hAnsi="Arial" w:cs="Arial"/>
        <w:color w:val="2E74B5" w:themeColor="accent1" w:themeShade="BF"/>
        <w:sz w:val="16"/>
        <w:szCs w:val="16"/>
      </w:rPr>
      <w:t>317</w:t>
    </w:r>
    <w:r w:rsidRPr="00C0737C">
      <w:rPr>
        <w:rFonts w:ascii="Arial" w:hAnsi="Arial" w:cs="Arial"/>
        <w:color w:val="2E74B5" w:themeColor="accent1" w:themeShade="BF"/>
        <w:sz w:val="16"/>
        <w:szCs w:val="16"/>
      </w:rPr>
      <w:t>/2018</w:t>
    </w:r>
    <w:r w:rsidR="00C0737C" w:rsidRPr="00C0737C">
      <w:rPr>
        <w:rFonts w:ascii="Arial" w:hAnsi="Arial" w:cs="Arial"/>
        <w:color w:val="2E74B5" w:themeColor="accent1" w:themeShade="BF"/>
        <w:sz w:val="16"/>
        <w:szCs w:val="16"/>
      </w:rPr>
      <w:t>-2</w:t>
    </w:r>
  </w:p>
  <w:p w:rsidR="00020E02" w:rsidRDefault="008B1912">
    <w:pPr>
      <w:pStyle w:val="Encabezado"/>
    </w:pPr>
    <w:r>
      <w:t xml:space="preserve">       </w:t>
    </w:r>
  </w:p>
  <w:p w:rsidR="00020E02" w:rsidRDefault="00E300C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5B076234"/>
    <w:multiLevelType w:val="hybridMultilevel"/>
    <w:tmpl w:val="677464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B0D5985"/>
    <w:multiLevelType w:val="hybridMultilevel"/>
    <w:tmpl w:val="F6CA4A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5"/>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62D"/>
    <w:rsid w:val="00027AAF"/>
    <w:rsid w:val="0007293B"/>
    <w:rsid w:val="0010262D"/>
    <w:rsid w:val="001A0FA8"/>
    <w:rsid w:val="001E7DA5"/>
    <w:rsid w:val="00353DFE"/>
    <w:rsid w:val="003D720F"/>
    <w:rsid w:val="00465EC0"/>
    <w:rsid w:val="00543B58"/>
    <w:rsid w:val="00556CC3"/>
    <w:rsid w:val="005616DA"/>
    <w:rsid w:val="005618CF"/>
    <w:rsid w:val="005631BF"/>
    <w:rsid w:val="005C1CE0"/>
    <w:rsid w:val="006667E5"/>
    <w:rsid w:val="006C51B7"/>
    <w:rsid w:val="0074684B"/>
    <w:rsid w:val="0075611E"/>
    <w:rsid w:val="00762892"/>
    <w:rsid w:val="007776C2"/>
    <w:rsid w:val="00784904"/>
    <w:rsid w:val="008B1912"/>
    <w:rsid w:val="008E25ED"/>
    <w:rsid w:val="00902EB0"/>
    <w:rsid w:val="00963D2A"/>
    <w:rsid w:val="00983C2F"/>
    <w:rsid w:val="00995B21"/>
    <w:rsid w:val="009B76FF"/>
    <w:rsid w:val="009D2F2F"/>
    <w:rsid w:val="009F5640"/>
    <w:rsid w:val="00A51F36"/>
    <w:rsid w:val="00AB359A"/>
    <w:rsid w:val="00B60D05"/>
    <w:rsid w:val="00B70141"/>
    <w:rsid w:val="00BC58D8"/>
    <w:rsid w:val="00C0737C"/>
    <w:rsid w:val="00C1126D"/>
    <w:rsid w:val="00C26DB8"/>
    <w:rsid w:val="00CA76E0"/>
    <w:rsid w:val="00D12719"/>
    <w:rsid w:val="00DC0FE0"/>
    <w:rsid w:val="00E12B1A"/>
    <w:rsid w:val="00E300C8"/>
    <w:rsid w:val="00E56CF9"/>
    <w:rsid w:val="00E576CF"/>
    <w:rsid w:val="00EF73A2"/>
    <w:rsid w:val="00F967CC"/>
    <w:rsid w:val="00FA0A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23923"/>
  <w15:chartTrackingRefBased/>
  <w15:docId w15:val="{A3E7EA04-4291-462D-A137-93D04DE27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62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10262D"/>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10262D"/>
    <w:rPr>
      <w:rFonts w:ascii="Calibri" w:eastAsia="Calibri" w:hAnsi="Calibri" w:cs="Times New Roman"/>
      <w:sz w:val="20"/>
      <w:szCs w:val="20"/>
    </w:rPr>
  </w:style>
  <w:style w:type="paragraph" w:styleId="Encabezado">
    <w:name w:val="header"/>
    <w:basedOn w:val="Normal"/>
    <w:link w:val="EncabezadoCar"/>
    <w:unhideWhenUsed/>
    <w:rsid w:val="0010262D"/>
    <w:pPr>
      <w:tabs>
        <w:tab w:val="center" w:pos="4419"/>
        <w:tab w:val="right" w:pos="8838"/>
      </w:tabs>
      <w:spacing w:after="0" w:line="240" w:lineRule="auto"/>
    </w:pPr>
  </w:style>
  <w:style w:type="character" w:customStyle="1" w:styleId="EncabezadoCar">
    <w:name w:val="Encabezado Car"/>
    <w:basedOn w:val="Fuentedeprrafopredeter"/>
    <w:link w:val="Encabezado"/>
    <w:rsid w:val="0010262D"/>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
    <w:basedOn w:val="Fuentedeprrafopredeter"/>
    <w:uiPriority w:val="99"/>
    <w:unhideWhenUsed/>
    <w:rsid w:val="0010262D"/>
    <w:rPr>
      <w:vertAlign w:val="superscript"/>
    </w:rPr>
  </w:style>
  <w:style w:type="paragraph" w:customStyle="1" w:styleId="corte4fondo">
    <w:name w:val="corte4 fondo"/>
    <w:basedOn w:val="Normal"/>
    <w:link w:val="corte4fondoCar1"/>
    <w:qFormat/>
    <w:rsid w:val="0010262D"/>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10262D"/>
    <w:rPr>
      <w:rFonts w:ascii="Arial" w:eastAsia="Times New Roman" w:hAnsi="Arial" w:cs="Times New Roman"/>
      <w:sz w:val="30"/>
      <w:szCs w:val="20"/>
      <w:lang w:eastAsia="es-MX"/>
    </w:rPr>
  </w:style>
  <w:style w:type="paragraph" w:styleId="Prrafodelista">
    <w:name w:val="List Paragraph"/>
    <w:basedOn w:val="Normal"/>
    <w:uiPriority w:val="34"/>
    <w:qFormat/>
    <w:rsid w:val="0010262D"/>
    <w:pPr>
      <w:spacing w:after="200" w:line="276" w:lineRule="auto"/>
      <w:ind w:left="708"/>
    </w:pPr>
  </w:style>
  <w:style w:type="paragraph" w:styleId="NormalWeb">
    <w:name w:val="Normal (Web)"/>
    <w:basedOn w:val="Normal"/>
    <w:uiPriority w:val="99"/>
    <w:rsid w:val="0010262D"/>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corte2ponente">
    <w:name w:val="corte2 ponente"/>
    <w:basedOn w:val="Normal"/>
    <w:link w:val="corte2ponenteCar"/>
    <w:uiPriority w:val="99"/>
    <w:rsid w:val="0010262D"/>
    <w:pPr>
      <w:spacing w:after="0" w:line="240" w:lineRule="auto"/>
    </w:pPr>
    <w:rPr>
      <w:rFonts w:ascii="Arial" w:eastAsia="Times New Roman" w:hAnsi="Arial"/>
      <w:b/>
      <w:caps/>
      <w:sz w:val="30"/>
      <w:szCs w:val="20"/>
      <w:lang w:val="x-none" w:eastAsia="es-MX"/>
    </w:rPr>
  </w:style>
  <w:style w:type="character" w:customStyle="1" w:styleId="corte2ponenteCar">
    <w:name w:val="corte2 ponente Car"/>
    <w:link w:val="corte2ponente"/>
    <w:uiPriority w:val="99"/>
    <w:rsid w:val="0010262D"/>
    <w:rPr>
      <w:rFonts w:ascii="Arial" w:eastAsia="Times New Roman" w:hAnsi="Arial" w:cs="Times New Roman"/>
      <w:b/>
      <w:caps/>
      <w:sz w:val="30"/>
      <w:szCs w:val="20"/>
      <w:lang w:val="x-none" w:eastAsia="es-MX"/>
    </w:rPr>
  </w:style>
  <w:style w:type="paragraph" w:customStyle="1" w:styleId="xmsonormal">
    <w:name w:val="x_msonormal"/>
    <w:basedOn w:val="Normal"/>
    <w:rsid w:val="0010262D"/>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corte1datos">
    <w:name w:val="corte1 datos"/>
    <w:basedOn w:val="Normal"/>
    <w:link w:val="corte1datosCar"/>
    <w:qFormat/>
    <w:rsid w:val="0010262D"/>
    <w:pPr>
      <w:spacing w:after="0" w:line="240" w:lineRule="auto"/>
      <w:ind w:left="2552"/>
    </w:pPr>
    <w:rPr>
      <w:rFonts w:ascii="Arial" w:eastAsia="Times New Roman" w:hAnsi="Arial"/>
      <w:b/>
      <w:caps/>
      <w:sz w:val="30"/>
      <w:szCs w:val="20"/>
      <w:lang w:val="x-none" w:eastAsia="es-MX"/>
    </w:rPr>
  </w:style>
  <w:style w:type="character" w:customStyle="1" w:styleId="corte1datosCar">
    <w:name w:val="corte1 datos Car"/>
    <w:link w:val="corte1datos"/>
    <w:rsid w:val="0010262D"/>
    <w:rPr>
      <w:rFonts w:ascii="Arial" w:eastAsia="Times New Roman" w:hAnsi="Arial" w:cs="Times New Roman"/>
      <w:b/>
      <w:caps/>
      <w:sz w:val="30"/>
      <w:szCs w:val="20"/>
      <w:lang w:val="x-none" w:eastAsia="es-MX"/>
    </w:rPr>
  </w:style>
  <w:style w:type="paragraph" w:styleId="Piedepgina">
    <w:name w:val="footer"/>
    <w:basedOn w:val="Normal"/>
    <w:link w:val="PiedepginaCar"/>
    <w:uiPriority w:val="99"/>
    <w:unhideWhenUsed/>
    <w:rsid w:val="0010262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0262D"/>
    <w:rPr>
      <w:rFonts w:ascii="Calibri" w:eastAsia="Calibri" w:hAnsi="Calibri" w:cs="Times New Roman"/>
    </w:rPr>
  </w:style>
  <w:style w:type="paragraph" w:styleId="Textodeglobo">
    <w:name w:val="Balloon Text"/>
    <w:basedOn w:val="Normal"/>
    <w:link w:val="TextodegloboCar"/>
    <w:uiPriority w:val="99"/>
    <w:semiHidden/>
    <w:unhideWhenUsed/>
    <w:rsid w:val="00902E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02EB0"/>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316</TotalTime>
  <Pages>10</Pages>
  <Words>3313</Words>
  <Characters>18223</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18</cp:revision>
  <cp:lastPrinted>2018-08-06T18:42:00Z</cp:lastPrinted>
  <dcterms:created xsi:type="dcterms:W3CDTF">2018-07-03T18:36:00Z</dcterms:created>
  <dcterms:modified xsi:type="dcterms:W3CDTF">2018-08-06T19:15:00Z</dcterms:modified>
</cp:coreProperties>
</file>