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ECE" w:rsidRPr="007740EF" w:rsidRDefault="00510ECE" w:rsidP="001E7B64">
      <w:pPr>
        <w:pStyle w:val="corte1datos"/>
        <w:spacing w:line="276" w:lineRule="auto"/>
        <w:jc w:val="right"/>
        <w:rPr>
          <w:rFonts w:cs="Arial"/>
          <w:color w:val="2E74B5" w:themeColor="accent1" w:themeShade="BF"/>
          <w:sz w:val="24"/>
          <w:szCs w:val="24"/>
        </w:rPr>
      </w:pPr>
    </w:p>
    <w:p w:rsidR="00510ECE" w:rsidRPr="007740EF" w:rsidRDefault="00510ECE" w:rsidP="001E7B64">
      <w:pPr>
        <w:pStyle w:val="corte1datos"/>
        <w:spacing w:line="276" w:lineRule="auto"/>
        <w:jc w:val="right"/>
        <w:rPr>
          <w:rFonts w:cs="Arial"/>
          <w:color w:val="2E74B5" w:themeColor="accent1" w:themeShade="BF"/>
          <w:sz w:val="24"/>
          <w:szCs w:val="24"/>
        </w:rPr>
      </w:pPr>
    </w:p>
    <w:p w:rsidR="00510ECE" w:rsidRPr="007740EF" w:rsidRDefault="00510ECE" w:rsidP="001E7B64">
      <w:pPr>
        <w:spacing w:after="0"/>
        <w:jc w:val="right"/>
        <w:rPr>
          <w:rFonts w:ascii="Arial" w:eastAsia="Times New Roman" w:hAnsi="Arial" w:cs="Arial"/>
          <w:b/>
          <w:caps/>
          <w:color w:val="2E74B5" w:themeColor="accent1" w:themeShade="BF"/>
          <w:sz w:val="24"/>
          <w:szCs w:val="24"/>
          <w:lang w:eastAsia="es-MX"/>
        </w:rPr>
      </w:pPr>
      <w:r w:rsidRPr="007740EF">
        <w:rPr>
          <w:rFonts w:ascii="Arial" w:eastAsia="Times New Roman" w:hAnsi="Arial" w:cs="Arial"/>
          <w:b/>
          <w:caps/>
          <w:color w:val="2E74B5" w:themeColor="accent1" w:themeShade="BF"/>
          <w:sz w:val="24"/>
          <w:szCs w:val="24"/>
          <w:lang w:eastAsia="es-MX"/>
        </w:rPr>
        <w:t xml:space="preserve">COMISIONADO PONENTE: </w:t>
      </w:r>
    </w:p>
    <w:p w:rsidR="00510ECE" w:rsidRPr="007740EF" w:rsidRDefault="00510ECE" w:rsidP="001E7B64">
      <w:pPr>
        <w:spacing w:after="0"/>
        <w:jc w:val="right"/>
        <w:rPr>
          <w:rFonts w:ascii="Arial" w:eastAsia="Times New Roman" w:hAnsi="Arial" w:cs="Arial"/>
          <w:b/>
          <w:caps/>
          <w:color w:val="2E74B5" w:themeColor="accent1" w:themeShade="BF"/>
          <w:sz w:val="24"/>
          <w:szCs w:val="24"/>
          <w:lang w:eastAsia="es-MX"/>
        </w:rPr>
      </w:pPr>
      <w:r w:rsidRPr="007740EF">
        <w:rPr>
          <w:rFonts w:ascii="Arial" w:eastAsia="Times New Roman" w:hAnsi="Arial" w:cs="Arial"/>
          <w:b/>
          <w:caps/>
          <w:color w:val="2E74B5" w:themeColor="accent1" w:themeShade="BF"/>
          <w:sz w:val="24"/>
          <w:szCs w:val="24"/>
          <w:lang w:eastAsia="es-MX"/>
        </w:rPr>
        <w:t xml:space="preserve">Paulina Sánchez PÉREZ DEL POZO </w:t>
      </w:r>
    </w:p>
    <w:p w:rsidR="00510ECE" w:rsidRPr="007740EF" w:rsidRDefault="00510ECE" w:rsidP="001E7B64">
      <w:pPr>
        <w:spacing w:after="0"/>
        <w:jc w:val="right"/>
        <w:rPr>
          <w:rFonts w:ascii="Arial" w:eastAsia="Times New Roman" w:hAnsi="Arial" w:cs="Arial"/>
          <w:b/>
          <w:caps/>
          <w:color w:val="2E74B5" w:themeColor="accent1" w:themeShade="BF"/>
          <w:sz w:val="24"/>
          <w:szCs w:val="24"/>
          <w:lang w:eastAsia="es-MX"/>
        </w:rPr>
      </w:pPr>
    </w:p>
    <w:p w:rsidR="00510ECE" w:rsidRPr="007740EF" w:rsidRDefault="00510ECE" w:rsidP="001E7B64">
      <w:pPr>
        <w:spacing w:after="0"/>
        <w:jc w:val="right"/>
        <w:rPr>
          <w:rFonts w:ascii="Arial" w:eastAsia="Times New Roman" w:hAnsi="Arial" w:cs="Arial"/>
          <w:b/>
          <w:caps/>
          <w:color w:val="2E74B5" w:themeColor="accent1" w:themeShade="BF"/>
          <w:sz w:val="24"/>
          <w:szCs w:val="24"/>
          <w:lang w:eastAsia="es-MX"/>
        </w:rPr>
      </w:pPr>
      <w:r w:rsidRPr="007740EF">
        <w:rPr>
          <w:rFonts w:ascii="Arial" w:eastAsia="Times New Roman" w:hAnsi="Arial" w:cs="Arial"/>
          <w:b/>
          <w:caps/>
          <w:color w:val="2E74B5" w:themeColor="accent1" w:themeShade="BF"/>
          <w:sz w:val="24"/>
          <w:szCs w:val="24"/>
          <w:lang w:eastAsia="es-MX"/>
        </w:rPr>
        <w:t>MATERIA:</w:t>
      </w:r>
    </w:p>
    <w:p w:rsidR="00510ECE" w:rsidRPr="007740EF" w:rsidRDefault="00510ECE" w:rsidP="001E7B64">
      <w:pPr>
        <w:spacing w:after="0"/>
        <w:jc w:val="right"/>
        <w:rPr>
          <w:rFonts w:ascii="Arial" w:eastAsia="Times New Roman" w:hAnsi="Arial" w:cs="Arial"/>
          <w:b/>
          <w:caps/>
          <w:color w:val="2E74B5" w:themeColor="accent1" w:themeShade="BF"/>
          <w:sz w:val="24"/>
          <w:szCs w:val="24"/>
          <w:lang w:eastAsia="es-MX"/>
        </w:rPr>
      </w:pPr>
      <w:r w:rsidRPr="007740EF">
        <w:rPr>
          <w:rFonts w:ascii="Arial" w:eastAsia="Times New Roman" w:hAnsi="Arial" w:cs="Arial"/>
          <w:b/>
          <w:caps/>
          <w:color w:val="2E74B5" w:themeColor="accent1" w:themeShade="BF"/>
          <w:sz w:val="24"/>
          <w:szCs w:val="24"/>
          <w:lang w:eastAsia="es-MX"/>
        </w:rPr>
        <w:t>ACCESO A LA INFORMACIÓN PÚBLICA</w:t>
      </w:r>
    </w:p>
    <w:p w:rsidR="00510ECE" w:rsidRPr="007740EF" w:rsidRDefault="00510ECE" w:rsidP="001E7B64">
      <w:pPr>
        <w:pStyle w:val="corte2ponente"/>
        <w:tabs>
          <w:tab w:val="left" w:pos="1488"/>
        </w:tabs>
        <w:spacing w:line="276" w:lineRule="auto"/>
        <w:jc w:val="right"/>
        <w:rPr>
          <w:rFonts w:cs="Arial"/>
          <w:color w:val="2E74B5" w:themeColor="accent1" w:themeShade="BF"/>
          <w:sz w:val="24"/>
          <w:szCs w:val="24"/>
        </w:rPr>
      </w:pPr>
      <w:r w:rsidRPr="007740EF">
        <w:rPr>
          <w:rFonts w:cs="Arial"/>
          <w:color w:val="2E74B5" w:themeColor="accent1" w:themeShade="BF"/>
          <w:sz w:val="24"/>
          <w:szCs w:val="24"/>
        </w:rPr>
        <w:tab/>
      </w:r>
    </w:p>
    <w:p w:rsidR="00510ECE" w:rsidRPr="007740EF" w:rsidRDefault="00510ECE" w:rsidP="001E7B64">
      <w:pPr>
        <w:pStyle w:val="corte2ponente"/>
        <w:spacing w:line="276" w:lineRule="auto"/>
        <w:jc w:val="right"/>
        <w:rPr>
          <w:rFonts w:cs="Arial"/>
          <w:color w:val="2E74B5" w:themeColor="accent1" w:themeShade="BF"/>
          <w:sz w:val="24"/>
          <w:szCs w:val="24"/>
        </w:rPr>
      </w:pPr>
      <w:r w:rsidRPr="007740EF">
        <w:rPr>
          <w:rFonts w:cs="Arial"/>
          <w:color w:val="2E74B5" w:themeColor="accent1" w:themeShade="BF"/>
          <w:sz w:val="24"/>
          <w:szCs w:val="24"/>
        </w:rPr>
        <w:t>sujeto OBLIGADO:</w:t>
      </w:r>
    </w:p>
    <w:p w:rsidR="00510ECE" w:rsidRPr="007740EF" w:rsidRDefault="00510ECE" w:rsidP="001E7B64">
      <w:pPr>
        <w:pStyle w:val="corte2ponente"/>
        <w:spacing w:line="276" w:lineRule="auto"/>
        <w:jc w:val="right"/>
        <w:rPr>
          <w:rFonts w:cs="Arial"/>
          <w:color w:val="2E74B5" w:themeColor="accent1" w:themeShade="BF"/>
          <w:sz w:val="24"/>
          <w:szCs w:val="24"/>
        </w:rPr>
      </w:pPr>
      <w:r w:rsidRPr="007740EF">
        <w:rPr>
          <w:rFonts w:cs="Arial"/>
          <w:color w:val="2E74B5" w:themeColor="accent1" w:themeShade="BF"/>
          <w:sz w:val="24"/>
          <w:szCs w:val="24"/>
        </w:rPr>
        <w:t>GOBIERNO DEL ESTADO DE SAN LUIS POTOSÍ POR CONDUCTO DE LA SECRETARÍA DE EDUCACIÓN Y OTROS.</w:t>
      </w:r>
    </w:p>
    <w:p w:rsidR="00510ECE" w:rsidRPr="007740EF" w:rsidRDefault="00510ECE" w:rsidP="001E7B64">
      <w:pPr>
        <w:pStyle w:val="corte2ponente"/>
        <w:spacing w:line="276" w:lineRule="auto"/>
        <w:jc w:val="both"/>
        <w:rPr>
          <w:rFonts w:cs="Arial"/>
          <w:color w:val="2E74B5" w:themeColor="accent1" w:themeShade="BF"/>
          <w:sz w:val="24"/>
          <w:szCs w:val="24"/>
        </w:rPr>
      </w:pPr>
    </w:p>
    <w:p w:rsidR="00510ECE" w:rsidRPr="007740EF" w:rsidRDefault="00510ECE" w:rsidP="001E7B64">
      <w:pPr>
        <w:pStyle w:val="corte2ponente"/>
        <w:spacing w:line="276" w:lineRule="auto"/>
        <w:jc w:val="both"/>
        <w:rPr>
          <w:rFonts w:cs="Arial"/>
          <w:color w:val="2E74B5" w:themeColor="accent1" w:themeShade="BF"/>
          <w:sz w:val="24"/>
          <w:szCs w:val="24"/>
        </w:rPr>
      </w:pPr>
    </w:p>
    <w:p w:rsidR="00510ECE" w:rsidRPr="007740EF" w:rsidRDefault="00510ECE" w:rsidP="001E7B64">
      <w:pPr>
        <w:pStyle w:val="corte4fondo"/>
        <w:spacing w:line="276" w:lineRule="auto"/>
        <w:ind w:firstLine="0"/>
        <w:rPr>
          <w:rFonts w:cs="Arial"/>
          <w:b/>
          <w:color w:val="2E74B5" w:themeColor="accent1" w:themeShade="BF"/>
          <w:sz w:val="24"/>
          <w:szCs w:val="24"/>
          <w:vertAlign w:val="subscript"/>
        </w:rPr>
      </w:pPr>
      <w:r w:rsidRPr="007740EF">
        <w:rPr>
          <w:rFonts w:cs="Arial"/>
          <w:color w:val="2E74B5" w:themeColor="accent1" w:themeShade="BF"/>
          <w:sz w:val="24"/>
          <w:szCs w:val="24"/>
        </w:rPr>
        <w:tab/>
        <w:t xml:space="preserve">San Luis Potosí, San Luis Potosí. Acuerdo del Pleno de la Comisión Estatal                                                                                                                  de Garantía de Acceso a la Información Pública, correspondiente a la sesión del </w:t>
      </w:r>
      <w:r w:rsidR="00C82622" w:rsidRPr="007740EF">
        <w:rPr>
          <w:rFonts w:cs="Arial"/>
          <w:color w:val="2E74B5" w:themeColor="accent1" w:themeShade="BF"/>
          <w:sz w:val="24"/>
          <w:szCs w:val="24"/>
        </w:rPr>
        <w:t xml:space="preserve">11 once </w:t>
      </w:r>
      <w:r w:rsidRPr="007740EF">
        <w:rPr>
          <w:rFonts w:cs="Arial"/>
          <w:color w:val="2E74B5" w:themeColor="accent1" w:themeShade="BF"/>
          <w:sz w:val="24"/>
          <w:szCs w:val="24"/>
        </w:rPr>
        <w:t>de julio de 2018 dos mil dieciocho.</w:t>
      </w:r>
      <w:r w:rsidRPr="007740EF">
        <w:rPr>
          <w:rFonts w:cs="Arial"/>
          <w:b/>
          <w:color w:val="2E74B5" w:themeColor="accent1" w:themeShade="BF"/>
          <w:sz w:val="24"/>
          <w:szCs w:val="24"/>
          <w:vertAlign w:val="subscript"/>
        </w:rPr>
        <w:t xml:space="preserve"> </w:t>
      </w:r>
    </w:p>
    <w:p w:rsidR="00510ECE" w:rsidRPr="007740EF" w:rsidRDefault="00510ECE" w:rsidP="001E7B64">
      <w:pPr>
        <w:pStyle w:val="corte4fondo"/>
        <w:spacing w:line="276" w:lineRule="auto"/>
        <w:ind w:firstLine="0"/>
        <w:rPr>
          <w:rFonts w:cs="Arial"/>
          <w:b/>
          <w:color w:val="2E74B5" w:themeColor="accent1" w:themeShade="BF"/>
          <w:sz w:val="24"/>
          <w:szCs w:val="24"/>
        </w:rPr>
      </w:pPr>
    </w:p>
    <w:p w:rsidR="00510ECE" w:rsidRPr="007740EF" w:rsidRDefault="00510ECE" w:rsidP="001E7B64">
      <w:pPr>
        <w:pStyle w:val="corte4fondo"/>
        <w:spacing w:line="276" w:lineRule="auto"/>
        <w:rPr>
          <w:rFonts w:cs="Arial"/>
          <w:color w:val="2E74B5" w:themeColor="accent1" w:themeShade="BF"/>
          <w:sz w:val="24"/>
          <w:szCs w:val="24"/>
        </w:rPr>
      </w:pPr>
      <w:r w:rsidRPr="007740EF">
        <w:rPr>
          <w:rFonts w:cs="Arial"/>
          <w:b/>
          <w:color w:val="2E74B5" w:themeColor="accent1" w:themeShade="BF"/>
          <w:sz w:val="24"/>
          <w:szCs w:val="24"/>
        </w:rPr>
        <w:t>VISTOS</w:t>
      </w:r>
      <w:r w:rsidRPr="007740EF">
        <w:rPr>
          <w:rFonts w:cs="Arial"/>
          <w:color w:val="2E74B5" w:themeColor="accent1" w:themeShade="BF"/>
          <w:sz w:val="24"/>
          <w:szCs w:val="24"/>
        </w:rPr>
        <w:t>, para resolver, los autos del recurso de revisión identificado al rubro; y</w:t>
      </w:r>
    </w:p>
    <w:p w:rsidR="00510ECE" w:rsidRPr="007740EF" w:rsidRDefault="00510ECE" w:rsidP="001E7B64">
      <w:pPr>
        <w:pStyle w:val="corte4fondo"/>
        <w:spacing w:line="276" w:lineRule="auto"/>
        <w:jc w:val="center"/>
        <w:rPr>
          <w:rFonts w:cs="Arial"/>
          <w:color w:val="2E74B5" w:themeColor="accent1" w:themeShade="BF"/>
          <w:sz w:val="24"/>
          <w:szCs w:val="24"/>
        </w:rPr>
      </w:pPr>
      <w:r w:rsidRPr="007740EF">
        <w:rPr>
          <w:rFonts w:cs="Arial"/>
          <w:b/>
          <w:color w:val="2E74B5" w:themeColor="accent1" w:themeShade="BF"/>
          <w:sz w:val="24"/>
          <w:szCs w:val="24"/>
        </w:rPr>
        <w:t>RESULTANDO</w:t>
      </w:r>
      <w:r w:rsidRPr="007740EF">
        <w:rPr>
          <w:rFonts w:cs="Arial"/>
          <w:color w:val="2E74B5" w:themeColor="accent1" w:themeShade="BF"/>
          <w:sz w:val="24"/>
          <w:szCs w:val="24"/>
        </w:rPr>
        <w:t>:</w:t>
      </w:r>
    </w:p>
    <w:p w:rsidR="00510ECE" w:rsidRPr="007740EF" w:rsidRDefault="00510ECE" w:rsidP="001E7B64">
      <w:pPr>
        <w:pStyle w:val="corte4fondo"/>
        <w:spacing w:line="276" w:lineRule="auto"/>
        <w:rPr>
          <w:rFonts w:cs="Arial"/>
          <w:color w:val="2E74B5" w:themeColor="accent1" w:themeShade="BF"/>
          <w:sz w:val="24"/>
          <w:szCs w:val="24"/>
        </w:rPr>
      </w:pPr>
    </w:p>
    <w:p w:rsidR="00510ECE" w:rsidRDefault="00510ECE" w:rsidP="001E7B64">
      <w:pPr>
        <w:pStyle w:val="corte4fondo"/>
        <w:spacing w:line="276" w:lineRule="auto"/>
        <w:rPr>
          <w:rFonts w:cs="Arial"/>
          <w:color w:val="2E74B5" w:themeColor="accent1" w:themeShade="BF"/>
          <w:sz w:val="24"/>
          <w:szCs w:val="24"/>
        </w:rPr>
      </w:pPr>
      <w:r w:rsidRPr="007740EF">
        <w:rPr>
          <w:rFonts w:cs="Arial"/>
          <w:b/>
          <w:color w:val="2E74B5" w:themeColor="accent1" w:themeShade="BF"/>
          <w:sz w:val="24"/>
          <w:szCs w:val="24"/>
        </w:rPr>
        <w:t xml:space="preserve">PRIMERO. Solicitud de acceso a la información pública. </w:t>
      </w:r>
      <w:r w:rsidRPr="007740EF">
        <w:rPr>
          <w:rFonts w:cs="Arial"/>
          <w:color w:val="2E74B5" w:themeColor="accent1" w:themeShade="BF"/>
          <w:sz w:val="24"/>
          <w:szCs w:val="24"/>
        </w:rPr>
        <w:t xml:space="preserve">Según consta el sello de recibido por parte de la oficina de la </w:t>
      </w:r>
      <w:r w:rsidRPr="007740EF">
        <w:rPr>
          <w:rFonts w:cs="Arial"/>
          <w:b/>
          <w:color w:val="2E74B5" w:themeColor="accent1" w:themeShade="BF"/>
          <w:sz w:val="24"/>
          <w:szCs w:val="24"/>
        </w:rPr>
        <w:t>UNIDAD DE TRANSPARENCIA</w:t>
      </w:r>
      <w:r w:rsidRPr="007740EF">
        <w:rPr>
          <w:rFonts w:cs="Arial"/>
          <w:color w:val="2E74B5" w:themeColor="accent1" w:themeShade="BF"/>
          <w:sz w:val="24"/>
          <w:szCs w:val="24"/>
        </w:rPr>
        <w:t xml:space="preserve"> de la </w:t>
      </w:r>
      <w:r w:rsidRPr="007740EF">
        <w:rPr>
          <w:rFonts w:cs="Arial"/>
          <w:b/>
          <w:color w:val="2E74B5" w:themeColor="accent1" w:themeShade="BF"/>
          <w:sz w:val="24"/>
          <w:szCs w:val="24"/>
        </w:rPr>
        <w:t>SECRETARÍA DE EDUCACIÓN DEL GOBIERNO DEL ESTADO DE SAN LUIS POTOSÍ</w:t>
      </w:r>
      <w:r w:rsidRPr="007740EF">
        <w:rPr>
          <w:rFonts w:cs="Arial"/>
          <w:color w:val="2E74B5" w:themeColor="accent1" w:themeShade="BF"/>
          <w:sz w:val="24"/>
          <w:szCs w:val="24"/>
        </w:rPr>
        <w:t xml:space="preserve">, el </w:t>
      </w:r>
      <w:r w:rsidR="00C82622" w:rsidRPr="007740EF">
        <w:rPr>
          <w:rFonts w:cs="Arial"/>
          <w:color w:val="2E74B5" w:themeColor="accent1" w:themeShade="BF"/>
          <w:sz w:val="24"/>
          <w:szCs w:val="24"/>
        </w:rPr>
        <w:t xml:space="preserve">10 diez </w:t>
      </w:r>
      <w:r w:rsidRPr="007740EF">
        <w:rPr>
          <w:rFonts w:cs="Arial"/>
          <w:color w:val="2E74B5" w:themeColor="accent1" w:themeShade="BF"/>
          <w:sz w:val="24"/>
          <w:szCs w:val="24"/>
        </w:rPr>
        <w:t>de abril de 2018 dos mil dieciocho el solicitante de la información presentó un escrito dirigido a la Secretaría de Educación del Gobierno del Estado, en la que aquél solicitó la información siguiente</w:t>
      </w:r>
      <w:r w:rsidRPr="007740EF">
        <w:rPr>
          <w:rStyle w:val="Refdenotaalpie"/>
          <w:rFonts w:eastAsia="Calibri" w:cs="Arial"/>
          <w:color w:val="2E74B5" w:themeColor="accent1" w:themeShade="BF"/>
          <w:sz w:val="24"/>
          <w:szCs w:val="24"/>
        </w:rPr>
        <w:footnoteReference w:id="1"/>
      </w:r>
      <w:r w:rsidRPr="007740EF">
        <w:rPr>
          <w:rFonts w:cs="Arial"/>
          <w:color w:val="2E74B5" w:themeColor="accent1" w:themeShade="BF"/>
          <w:sz w:val="24"/>
          <w:szCs w:val="24"/>
        </w:rPr>
        <w:t>:</w:t>
      </w:r>
    </w:p>
    <w:p w:rsidR="003E3858" w:rsidRPr="007740EF" w:rsidRDefault="003E3858" w:rsidP="001E7B64">
      <w:pPr>
        <w:pStyle w:val="corte4fondo"/>
        <w:spacing w:line="276" w:lineRule="auto"/>
        <w:rPr>
          <w:rFonts w:cs="Arial"/>
          <w:color w:val="2E74B5" w:themeColor="accent1" w:themeShade="BF"/>
          <w:sz w:val="24"/>
          <w:szCs w:val="24"/>
        </w:rPr>
      </w:pPr>
    </w:p>
    <w:p w:rsidR="00510ECE" w:rsidRPr="007740EF" w:rsidRDefault="006D43DA" w:rsidP="001E7B64">
      <w:pPr>
        <w:pStyle w:val="corte4fondo"/>
        <w:spacing w:line="276" w:lineRule="auto"/>
        <w:ind w:firstLine="0"/>
        <w:rPr>
          <w:rFonts w:cs="Arial"/>
          <w:b/>
          <w:color w:val="2E74B5" w:themeColor="accent1" w:themeShade="BF"/>
          <w:sz w:val="24"/>
          <w:szCs w:val="24"/>
        </w:rPr>
      </w:pPr>
      <w:r>
        <w:rPr>
          <w:rFonts w:cs="Arial"/>
          <w:b/>
          <w:noProof/>
          <w:color w:val="2E74B5" w:themeColor="accent1" w:themeShade="BF"/>
          <w:sz w:val="24"/>
          <w:szCs w:val="24"/>
        </w:rPr>
        <w:drawing>
          <wp:inline distT="0" distB="0" distL="0" distR="0">
            <wp:extent cx="5083175" cy="3438144"/>
            <wp:effectExtent l="0" t="0" r="317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27157" cy="3467892"/>
                    </a:xfrm>
                    <a:prstGeom prst="rect">
                      <a:avLst/>
                    </a:prstGeom>
                    <a:noFill/>
                    <a:ln>
                      <a:noFill/>
                    </a:ln>
                  </pic:spPr>
                </pic:pic>
              </a:graphicData>
            </a:graphic>
          </wp:inline>
        </w:drawing>
      </w:r>
    </w:p>
    <w:p w:rsidR="00510ECE" w:rsidRDefault="006D43DA" w:rsidP="0089263F">
      <w:pPr>
        <w:pStyle w:val="corte4fondo"/>
        <w:spacing w:line="276" w:lineRule="auto"/>
        <w:ind w:firstLine="0"/>
        <w:rPr>
          <w:rFonts w:cs="Arial"/>
          <w:color w:val="2E74B5" w:themeColor="accent1" w:themeShade="BF"/>
          <w:sz w:val="24"/>
          <w:szCs w:val="24"/>
        </w:rPr>
      </w:pPr>
      <w:r>
        <w:rPr>
          <w:rFonts w:cs="Arial"/>
          <w:b/>
          <w:noProof/>
          <w:color w:val="2E74B5" w:themeColor="accent1" w:themeShade="BF"/>
          <w:sz w:val="24"/>
          <w:szCs w:val="24"/>
        </w:rPr>
        <w:lastRenderedPageBreak/>
        <w:drawing>
          <wp:inline distT="0" distB="0" distL="0" distR="0">
            <wp:extent cx="5208270" cy="286004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08270" cy="2860040"/>
                    </a:xfrm>
                    <a:prstGeom prst="rect">
                      <a:avLst/>
                    </a:prstGeom>
                    <a:noFill/>
                    <a:ln>
                      <a:noFill/>
                    </a:ln>
                  </pic:spPr>
                </pic:pic>
              </a:graphicData>
            </a:graphic>
          </wp:inline>
        </w:drawing>
      </w:r>
      <w:r w:rsidR="00510ECE" w:rsidRPr="007740EF">
        <w:rPr>
          <w:rFonts w:cs="Arial"/>
          <w:b/>
          <w:color w:val="2E74B5" w:themeColor="accent1" w:themeShade="BF"/>
          <w:sz w:val="24"/>
          <w:szCs w:val="24"/>
        </w:rPr>
        <w:t xml:space="preserve">SEGUNDO. Respuesta a la solicitud de acceso a la información pública. </w:t>
      </w:r>
      <w:r w:rsidR="00510ECE" w:rsidRPr="007740EF">
        <w:rPr>
          <w:rFonts w:cs="Arial"/>
          <w:color w:val="2E74B5" w:themeColor="accent1" w:themeShade="BF"/>
          <w:sz w:val="24"/>
          <w:szCs w:val="24"/>
        </w:rPr>
        <w:t xml:space="preserve">El </w:t>
      </w:r>
      <w:r w:rsidR="00C82622" w:rsidRPr="007740EF">
        <w:rPr>
          <w:rFonts w:cs="Arial"/>
          <w:color w:val="2E74B5" w:themeColor="accent1" w:themeShade="BF"/>
          <w:sz w:val="24"/>
          <w:szCs w:val="24"/>
        </w:rPr>
        <w:t xml:space="preserve">24 veinticuatro </w:t>
      </w:r>
      <w:r w:rsidR="00510ECE" w:rsidRPr="007740EF">
        <w:rPr>
          <w:rFonts w:cs="Arial"/>
          <w:color w:val="2E74B5" w:themeColor="accent1" w:themeShade="BF"/>
          <w:sz w:val="24"/>
          <w:szCs w:val="24"/>
        </w:rPr>
        <w:t>de abril de 2018 dos mil dieciocho el Titular de la Unidad de Transparencia Pública de Secretaría de Educación del Gobierno del Estado, notificó al solicitante mediante los estrados el oficio DG-</w:t>
      </w:r>
      <w:r w:rsidR="00C82622" w:rsidRPr="007740EF">
        <w:rPr>
          <w:rFonts w:cs="Arial"/>
          <w:color w:val="2E74B5" w:themeColor="accent1" w:themeShade="BF"/>
          <w:sz w:val="24"/>
          <w:szCs w:val="24"/>
        </w:rPr>
        <w:t>1309</w:t>
      </w:r>
      <w:r w:rsidR="00510ECE" w:rsidRPr="007740EF">
        <w:rPr>
          <w:rFonts w:cs="Arial"/>
          <w:color w:val="2E74B5" w:themeColor="accent1" w:themeShade="BF"/>
          <w:sz w:val="24"/>
          <w:szCs w:val="24"/>
        </w:rPr>
        <w:t>/2017-2018 en el que contiene la respuesta a la solicitud de acceso a la información pública. Notificación que es como sigue</w:t>
      </w:r>
      <w:r w:rsidR="00510ECE" w:rsidRPr="007740EF">
        <w:rPr>
          <w:rStyle w:val="Refdenotaalpie"/>
          <w:rFonts w:eastAsia="Calibri" w:cs="Arial"/>
          <w:color w:val="2E74B5" w:themeColor="accent1" w:themeShade="BF"/>
          <w:sz w:val="24"/>
          <w:szCs w:val="24"/>
        </w:rPr>
        <w:footnoteReference w:id="2"/>
      </w:r>
      <w:r w:rsidR="00510ECE" w:rsidRPr="007740EF">
        <w:rPr>
          <w:rFonts w:cs="Arial"/>
          <w:color w:val="2E74B5" w:themeColor="accent1" w:themeShade="BF"/>
          <w:sz w:val="24"/>
          <w:szCs w:val="24"/>
        </w:rPr>
        <w:t>:</w:t>
      </w:r>
    </w:p>
    <w:p w:rsidR="00C77FD0" w:rsidRDefault="00C77FD0" w:rsidP="001E7B64">
      <w:pPr>
        <w:pStyle w:val="corte4fondo"/>
        <w:spacing w:line="276" w:lineRule="auto"/>
        <w:rPr>
          <w:rFonts w:cs="Arial"/>
          <w:color w:val="2E74B5" w:themeColor="accent1" w:themeShade="BF"/>
          <w:sz w:val="24"/>
          <w:szCs w:val="24"/>
        </w:rPr>
      </w:pPr>
    </w:p>
    <w:p w:rsidR="00C77FD0" w:rsidRDefault="00C77FD0" w:rsidP="001E7B64">
      <w:pPr>
        <w:pStyle w:val="corte4fondo"/>
        <w:spacing w:line="276" w:lineRule="auto"/>
        <w:rPr>
          <w:rFonts w:cs="Arial"/>
          <w:color w:val="2E74B5" w:themeColor="accent1" w:themeShade="BF"/>
          <w:sz w:val="24"/>
          <w:szCs w:val="24"/>
        </w:rPr>
      </w:pPr>
    </w:p>
    <w:p w:rsidR="006D43DA" w:rsidRPr="007740EF" w:rsidRDefault="00C77FD0" w:rsidP="00C77FD0">
      <w:pPr>
        <w:pStyle w:val="corte4fondo"/>
        <w:spacing w:line="276" w:lineRule="auto"/>
        <w:ind w:firstLine="0"/>
        <w:rPr>
          <w:rFonts w:cs="Arial"/>
          <w:color w:val="2E74B5" w:themeColor="accent1" w:themeShade="BF"/>
          <w:sz w:val="24"/>
          <w:szCs w:val="24"/>
        </w:rPr>
      </w:pPr>
      <w:r>
        <w:rPr>
          <w:rFonts w:cs="Arial"/>
          <w:noProof/>
          <w:color w:val="2E74B5" w:themeColor="accent1" w:themeShade="BF"/>
          <w:sz w:val="24"/>
          <w:szCs w:val="24"/>
        </w:rPr>
        <w:drawing>
          <wp:inline distT="0" distB="0" distL="0" distR="0">
            <wp:extent cx="5608606" cy="3577133"/>
            <wp:effectExtent l="0" t="0" r="0" b="444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70571" cy="3616654"/>
                    </a:xfrm>
                    <a:prstGeom prst="rect">
                      <a:avLst/>
                    </a:prstGeom>
                    <a:noFill/>
                    <a:ln>
                      <a:noFill/>
                    </a:ln>
                  </pic:spPr>
                </pic:pic>
              </a:graphicData>
            </a:graphic>
          </wp:inline>
        </w:drawing>
      </w:r>
    </w:p>
    <w:p w:rsidR="00510ECE" w:rsidRPr="007740EF" w:rsidRDefault="00510ECE" w:rsidP="001E7B64">
      <w:pPr>
        <w:pStyle w:val="corte4fondo"/>
        <w:spacing w:line="276" w:lineRule="auto"/>
        <w:rPr>
          <w:rFonts w:cs="Arial"/>
          <w:b/>
          <w:color w:val="2E74B5" w:themeColor="accent1" w:themeShade="BF"/>
          <w:sz w:val="24"/>
          <w:szCs w:val="24"/>
        </w:rPr>
      </w:pPr>
    </w:p>
    <w:p w:rsidR="00510ECE" w:rsidRPr="007740EF" w:rsidRDefault="00510ECE" w:rsidP="001E7B64">
      <w:pPr>
        <w:pStyle w:val="corte4fondo"/>
        <w:spacing w:line="276" w:lineRule="auto"/>
        <w:rPr>
          <w:rFonts w:cs="Arial"/>
          <w:color w:val="2E74B5" w:themeColor="accent1" w:themeShade="BF"/>
          <w:sz w:val="24"/>
          <w:szCs w:val="24"/>
        </w:rPr>
      </w:pPr>
      <w:r w:rsidRPr="007740EF">
        <w:rPr>
          <w:rFonts w:cs="Arial"/>
          <w:b/>
          <w:color w:val="2E74B5" w:themeColor="accent1" w:themeShade="BF"/>
          <w:sz w:val="24"/>
          <w:szCs w:val="24"/>
        </w:rPr>
        <w:t xml:space="preserve">TERCERO. Interposición del recurso. </w:t>
      </w:r>
      <w:r w:rsidRPr="007740EF">
        <w:rPr>
          <w:rFonts w:cs="Arial"/>
          <w:color w:val="2E74B5" w:themeColor="accent1" w:themeShade="BF"/>
          <w:sz w:val="24"/>
          <w:szCs w:val="24"/>
        </w:rPr>
        <w:t xml:space="preserve">El </w:t>
      </w:r>
      <w:r w:rsidR="00C82622" w:rsidRPr="007740EF">
        <w:rPr>
          <w:rFonts w:cs="Arial"/>
          <w:color w:val="2E74B5" w:themeColor="accent1" w:themeShade="BF"/>
          <w:sz w:val="24"/>
          <w:szCs w:val="24"/>
        </w:rPr>
        <w:t xml:space="preserve">02 dos de mayo </w:t>
      </w:r>
      <w:r w:rsidRPr="007740EF">
        <w:rPr>
          <w:rFonts w:cs="Arial"/>
          <w:color w:val="2E74B5" w:themeColor="accent1" w:themeShade="BF"/>
          <w:sz w:val="24"/>
          <w:szCs w:val="24"/>
        </w:rPr>
        <w:t xml:space="preserve">de 2018 dos mil dieciocho el solicitante de la información presentó un escrito ante la Oficialía de Partes de esta Comisión Estatal de Garantía de Acceso a la Información Pública en </w:t>
      </w:r>
      <w:r w:rsidRPr="007740EF">
        <w:rPr>
          <w:rFonts w:cs="Arial"/>
          <w:color w:val="2E74B5" w:themeColor="accent1" w:themeShade="BF"/>
          <w:sz w:val="24"/>
          <w:szCs w:val="24"/>
        </w:rPr>
        <w:lastRenderedPageBreak/>
        <w:t>donde inte</w:t>
      </w:r>
      <w:r w:rsidR="00F5316F">
        <w:rPr>
          <w:rFonts w:cs="Arial"/>
          <w:color w:val="2E74B5" w:themeColor="accent1" w:themeShade="BF"/>
          <w:sz w:val="24"/>
          <w:szCs w:val="24"/>
        </w:rPr>
        <w:t xml:space="preserve">rpuso el recurso de revisión </w:t>
      </w:r>
      <w:r w:rsidRPr="007740EF">
        <w:rPr>
          <w:rFonts w:cs="Arial"/>
          <w:color w:val="2E74B5" w:themeColor="accent1" w:themeShade="BF"/>
          <w:sz w:val="24"/>
          <w:szCs w:val="24"/>
        </w:rPr>
        <w:t>contra de la respuesta mencionada en el punto anterior.</w:t>
      </w:r>
    </w:p>
    <w:p w:rsidR="00510ECE" w:rsidRPr="007740EF" w:rsidRDefault="00510ECE" w:rsidP="001E7B64">
      <w:pPr>
        <w:pStyle w:val="corte4fondo"/>
        <w:spacing w:line="276" w:lineRule="auto"/>
        <w:rPr>
          <w:rFonts w:cs="Arial"/>
          <w:color w:val="2E74B5" w:themeColor="accent1" w:themeShade="BF"/>
          <w:sz w:val="24"/>
          <w:szCs w:val="24"/>
        </w:rPr>
      </w:pPr>
    </w:p>
    <w:p w:rsidR="00510ECE" w:rsidRPr="007740EF" w:rsidRDefault="00510ECE" w:rsidP="001E7B64">
      <w:pPr>
        <w:pStyle w:val="corte4fondo"/>
        <w:spacing w:line="276" w:lineRule="auto"/>
        <w:rPr>
          <w:rFonts w:cs="Arial"/>
          <w:color w:val="2E74B5" w:themeColor="accent1" w:themeShade="BF"/>
          <w:sz w:val="24"/>
          <w:szCs w:val="24"/>
        </w:rPr>
      </w:pPr>
      <w:r w:rsidRPr="007740EF">
        <w:rPr>
          <w:rFonts w:cs="Arial"/>
          <w:b/>
          <w:color w:val="2E74B5" w:themeColor="accent1" w:themeShade="BF"/>
          <w:sz w:val="24"/>
          <w:szCs w:val="24"/>
        </w:rPr>
        <w:t xml:space="preserve">CUARTO. Trámite del recurso de revisión ante esta Comisión Estatal de Garantía de Acceso a la Información Pública. </w:t>
      </w:r>
      <w:r w:rsidRPr="007740EF">
        <w:rPr>
          <w:rFonts w:cs="Arial"/>
          <w:color w:val="2E74B5" w:themeColor="accent1" w:themeShade="BF"/>
          <w:sz w:val="24"/>
          <w:szCs w:val="24"/>
        </w:rPr>
        <w:t xml:space="preserve">Mediante auto del </w:t>
      </w:r>
      <w:r w:rsidR="00C82622" w:rsidRPr="007740EF">
        <w:rPr>
          <w:rFonts w:cs="Arial"/>
          <w:color w:val="2E74B5" w:themeColor="accent1" w:themeShade="BF"/>
          <w:sz w:val="24"/>
          <w:szCs w:val="24"/>
        </w:rPr>
        <w:t xml:space="preserve">03 tres de mayo </w:t>
      </w:r>
      <w:r w:rsidRPr="007740EF">
        <w:rPr>
          <w:rFonts w:cs="Arial"/>
          <w:color w:val="2E74B5" w:themeColor="accent1" w:themeShade="BF"/>
          <w:sz w:val="24"/>
          <w:szCs w:val="24"/>
        </w:rPr>
        <w:t>de 2018 dos mil dieciocho la presidencia de esta Comisión de Transparencia tuvo por recibido el recurso de revisión, por lo que, por razón de turno, tocó conocer a la ponencia de la Licenciada Paulina Sánchez Pérez del Pozo por lo que se le turnó dicho expediente para que procediera, previo su análisis, a su admisión o desecamiento según fuera el caso.</w:t>
      </w:r>
    </w:p>
    <w:p w:rsidR="00510ECE" w:rsidRPr="007740EF" w:rsidRDefault="00510ECE" w:rsidP="001E7B64">
      <w:pPr>
        <w:pStyle w:val="corte4fondo"/>
        <w:spacing w:line="276" w:lineRule="auto"/>
        <w:rPr>
          <w:rFonts w:cs="Arial"/>
          <w:color w:val="2E74B5" w:themeColor="accent1" w:themeShade="BF"/>
          <w:sz w:val="24"/>
          <w:szCs w:val="24"/>
        </w:rPr>
      </w:pPr>
    </w:p>
    <w:p w:rsidR="00510ECE" w:rsidRPr="007740EF" w:rsidRDefault="00510ECE" w:rsidP="001E7B64">
      <w:pPr>
        <w:pStyle w:val="corte4fondo"/>
        <w:spacing w:line="276" w:lineRule="auto"/>
        <w:rPr>
          <w:rFonts w:cs="Arial"/>
          <w:color w:val="2E74B5" w:themeColor="accent1" w:themeShade="BF"/>
          <w:sz w:val="24"/>
          <w:szCs w:val="24"/>
        </w:rPr>
      </w:pPr>
      <w:r w:rsidRPr="007740EF">
        <w:rPr>
          <w:rFonts w:cs="Arial"/>
          <w:b/>
          <w:color w:val="2E74B5" w:themeColor="accent1" w:themeShade="BF"/>
          <w:sz w:val="24"/>
          <w:szCs w:val="24"/>
        </w:rPr>
        <w:t xml:space="preserve">QUINTO. Auto de admisión y trámite. </w:t>
      </w:r>
      <w:r w:rsidRPr="007740EF">
        <w:rPr>
          <w:rFonts w:cs="Arial"/>
          <w:color w:val="2E74B5" w:themeColor="accent1" w:themeShade="BF"/>
          <w:sz w:val="24"/>
          <w:szCs w:val="24"/>
        </w:rPr>
        <w:t xml:space="preserve">Por proveído del </w:t>
      </w:r>
      <w:r w:rsidR="00C82622" w:rsidRPr="007740EF">
        <w:rPr>
          <w:rFonts w:cs="Arial"/>
          <w:color w:val="2E74B5" w:themeColor="accent1" w:themeShade="BF"/>
          <w:sz w:val="24"/>
          <w:szCs w:val="24"/>
        </w:rPr>
        <w:t xml:space="preserve">04 cuatro de mayo </w:t>
      </w:r>
      <w:r w:rsidRPr="007740EF">
        <w:rPr>
          <w:rFonts w:cs="Arial"/>
          <w:color w:val="2E74B5" w:themeColor="accent1" w:themeShade="BF"/>
          <w:sz w:val="24"/>
          <w:szCs w:val="24"/>
        </w:rPr>
        <w:t>de 2018 dos mil dieciocho la Comisionado Ponente:</w:t>
      </w:r>
    </w:p>
    <w:p w:rsidR="00510ECE" w:rsidRPr="007740EF" w:rsidRDefault="00510ECE" w:rsidP="001E7B64">
      <w:pPr>
        <w:pStyle w:val="corte4fondo"/>
        <w:tabs>
          <w:tab w:val="left" w:pos="3451"/>
        </w:tabs>
        <w:spacing w:line="276" w:lineRule="auto"/>
        <w:rPr>
          <w:rFonts w:cs="Arial"/>
          <w:color w:val="2E74B5" w:themeColor="accent1" w:themeShade="BF"/>
          <w:sz w:val="24"/>
          <w:szCs w:val="24"/>
        </w:rPr>
      </w:pPr>
    </w:p>
    <w:p w:rsidR="00510ECE" w:rsidRPr="007740EF" w:rsidRDefault="00510ECE" w:rsidP="001E7B64">
      <w:pPr>
        <w:pStyle w:val="corte4fondo"/>
        <w:numPr>
          <w:ilvl w:val="0"/>
          <w:numId w:val="2"/>
        </w:numPr>
        <w:spacing w:line="276" w:lineRule="auto"/>
        <w:rPr>
          <w:rFonts w:cs="Arial"/>
          <w:color w:val="2E74B5" w:themeColor="accent1" w:themeShade="BF"/>
          <w:sz w:val="24"/>
          <w:szCs w:val="24"/>
        </w:rPr>
      </w:pPr>
      <w:r w:rsidRPr="007740EF">
        <w:rPr>
          <w:rFonts w:cs="Arial"/>
          <w:color w:val="2E74B5" w:themeColor="accent1" w:themeShade="BF"/>
          <w:sz w:val="24"/>
          <w:szCs w:val="24"/>
        </w:rPr>
        <w:t>Tuvo por recibido en tiempo y forma el medio de impugnación.</w:t>
      </w:r>
    </w:p>
    <w:p w:rsidR="00510ECE" w:rsidRPr="007740EF" w:rsidRDefault="00510ECE" w:rsidP="001E7B64">
      <w:pPr>
        <w:pStyle w:val="corte4fondo"/>
        <w:numPr>
          <w:ilvl w:val="0"/>
          <w:numId w:val="2"/>
        </w:numPr>
        <w:spacing w:line="276" w:lineRule="auto"/>
        <w:rPr>
          <w:rFonts w:cs="Arial"/>
          <w:color w:val="2E74B5" w:themeColor="accent1" w:themeShade="BF"/>
          <w:sz w:val="24"/>
          <w:szCs w:val="24"/>
        </w:rPr>
      </w:pPr>
      <w:r w:rsidRPr="007740EF">
        <w:rPr>
          <w:rFonts w:cs="Arial"/>
          <w:color w:val="2E74B5" w:themeColor="accent1" w:themeShade="BF"/>
          <w:sz w:val="24"/>
          <w:szCs w:val="24"/>
        </w:rPr>
        <w:t>Lo registró en el Libro de Gobierno el presente expediente como RR-3</w:t>
      </w:r>
      <w:r w:rsidR="00C82622" w:rsidRPr="007740EF">
        <w:rPr>
          <w:rFonts w:cs="Arial"/>
          <w:color w:val="2E74B5" w:themeColor="accent1" w:themeShade="BF"/>
          <w:sz w:val="24"/>
          <w:szCs w:val="24"/>
        </w:rPr>
        <w:t>29</w:t>
      </w:r>
      <w:r w:rsidRPr="007740EF">
        <w:rPr>
          <w:rFonts w:cs="Arial"/>
          <w:color w:val="2E74B5" w:themeColor="accent1" w:themeShade="BF"/>
          <w:sz w:val="24"/>
          <w:szCs w:val="24"/>
        </w:rPr>
        <w:t>/2018-2.</w:t>
      </w:r>
    </w:p>
    <w:p w:rsidR="00510ECE" w:rsidRPr="007740EF" w:rsidRDefault="00510ECE" w:rsidP="001E7B64">
      <w:pPr>
        <w:pStyle w:val="corte4fondo"/>
        <w:numPr>
          <w:ilvl w:val="0"/>
          <w:numId w:val="2"/>
        </w:numPr>
        <w:spacing w:line="276" w:lineRule="auto"/>
        <w:rPr>
          <w:rFonts w:cs="Arial"/>
          <w:color w:val="2E74B5" w:themeColor="accent1" w:themeShade="BF"/>
          <w:sz w:val="24"/>
          <w:szCs w:val="24"/>
        </w:rPr>
      </w:pPr>
      <w:r w:rsidRPr="007740EF">
        <w:rPr>
          <w:rFonts w:cs="Arial"/>
          <w:color w:val="2E74B5" w:themeColor="accent1" w:themeShade="BF"/>
          <w:sz w:val="24"/>
          <w:szCs w:val="24"/>
        </w:rPr>
        <w:t xml:space="preserve">Tuvo como sujetos obligados al </w:t>
      </w:r>
      <w:r w:rsidR="00C82622" w:rsidRPr="007740EF">
        <w:rPr>
          <w:rFonts w:cs="Arial"/>
          <w:b/>
          <w:color w:val="2E74B5" w:themeColor="accent1" w:themeShade="BF"/>
          <w:sz w:val="24"/>
          <w:szCs w:val="24"/>
        </w:rPr>
        <w:t>GOBIERNO DEL ESTADO DE SAN LUIS POTOSÍ POR CONDUCTO DE LA SECRETARÍA DE EDUCACIÓN A TRAVÉS DE SU</w:t>
      </w:r>
      <w:r w:rsidR="00C82622" w:rsidRPr="007740EF">
        <w:rPr>
          <w:rFonts w:cs="Arial"/>
          <w:color w:val="2E74B5" w:themeColor="accent1" w:themeShade="BF"/>
          <w:sz w:val="24"/>
          <w:szCs w:val="24"/>
        </w:rPr>
        <w:t xml:space="preserve"> </w:t>
      </w:r>
      <w:r w:rsidR="00C82622" w:rsidRPr="007740EF">
        <w:rPr>
          <w:rFonts w:cs="Arial"/>
          <w:b/>
          <w:color w:val="2E74B5" w:themeColor="accent1" w:themeShade="BF"/>
          <w:sz w:val="24"/>
          <w:szCs w:val="24"/>
        </w:rPr>
        <w:t xml:space="preserve">SECRETARIO Y </w:t>
      </w:r>
      <w:r w:rsidR="003E3858">
        <w:rPr>
          <w:rFonts w:cs="Arial"/>
          <w:b/>
          <w:color w:val="2E74B5" w:themeColor="accent1" w:themeShade="BF"/>
          <w:sz w:val="24"/>
          <w:szCs w:val="24"/>
        </w:rPr>
        <w:t xml:space="preserve">DEL </w:t>
      </w:r>
      <w:r w:rsidR="00C82622" w:rsidRPr="007740EF">
        <w:rPr>
          <w:rFonts w:cs="Arial"/>
          <w:b/>
          <w:color w:val="2E74B5" w:themeColor="accent1" w:themeShade="BF"/>
          <w:sz w:val="24"/>
          <w:szCs w:val="24"/>
        </w:rPr>
        <w:t>TITULAR DE LA UNIDAD DE TRANSPARENCIA</w:t>
      </w:r>
      <w:r w:rsidR="00C82622" w:rsidRPr="007740EF">
        <w:rPr>
          <w:rFonts w:cs="Arial"/>
          <w:color w:val="2E74B5" w:themeColor="accent1" w:themeShade="BF"/>
          <w:sz w:val="24"/>
          <w:szCs w:val="24"/>
        </w:rPr>
        <w:t xml:space="preserve">, </w:t>
      </w:r>
      <w:r w:rsidR="00C82622" w:rsidRPr="007740EF">
        <w:rPr>
          <w:rFonts w:cs="Arial"/>
          <w:b/>
          <w:color w:val="2E74B5" w:themeColor="accent1" w:themeShade="BF"/>
          <w:sz w:val="24"/>
          <w:szCs w:val="24"/>
        </w:rPr>
        <w:t>ASÍ COMO DEL SISTEMA EDUCATIVO ESTATAL REGULAR A TRAVÉS DE SU DIRECTORA GENERAL Y DEL TITULAR DE LA UNIDAD DE TRANSPARENCIA, AL IGUAL QUE DEL DIRECTOR GENERAL DE LA BENEMÉRITA Y CENTENARIA ESCUELA NORMAL DEL ESTADO.</w:t>
      </w:r>
    </w:p>
    <w:p w:rsidR="00510ECE" w:rsidRPr="007740EF" w:rsidRDefault="00510ECE" w:rsidP="001E7B64">
      <w:pPr>
        <w:pStyle w:val="corte4fondo"/>
        <w:numPr>
          <w:ilvl w:val="0"/>
          <w:numId w:val="2"/>
        </w:numPr>
        <w:spacing w:line="276" w:lineRule="auto"/>
        <w:rPr>
          <w:rFonts w:cs="Arial"/>
          <w:color w:val="2E74B5" w:themeColor="accent1" w:themeShade="BF"/>
          <w:sz w:val="24"/>
          <w:szCs w:val="24"/>
        </w:rPr>
      </w:pPr>
      <w:r w:rsidRPr="007740EF">
        <w:rPr>
          <w:rFonts w:cs="Arial"/>
          <w:color w:val="2E74B5" w:themeColor="accent1" w:themeShade="BF"/>
          <w:sz w:val="24"/>
          <w:szCs w:val="24"/>
        </w:rPr>
        <w:t>Tuvo al recurrente por ofrecidas las documentales que adjuntó en su recurso de revisión –mismas que se admitieron y se desahogaron dada su especial naturaleza–.</w:t>
      </w:r>
    </w:p>
    <w:p w:rsidR="00510ECE" w:rsidRPr="007740EF" w:rsidRDefault="00510ECE" w:rsidP="001E7B64">
      <w:pPr>
        <w:pStyle w:val="corte4fondo"/>
        <w:numPr>
          <w:ilvl w:val="0"/>
          <w:numId w:val="2"/>
        </w:numPr>
        <w:spacing w:line="276" w:lineRule="auto"/>
        <w:rPr>
          <w:rFonts w:cs="Arial"/>
          <w:color w:val="2E74B5" w:themeColor="accent1" w:themeShade="BF"/>
          <w:sz w:val="24"/>
          <w:szCs w:val="24"/>
        </w:rPr>
      </w:pPr>
      <w:r w:rsidRPr="007740EF">
        <w:rPr>
          <w:rFonts w:cs="Arial"/>
          <w:color w:val="2E74B5" w:themeColor="accent1" w:themeShade="BF"/>
          <w:sz w:val="24"/>
          <w:szCs w:val="24"/>
        </w:rPr>
        <w:t>Se le tuvo al recurrente por señalado domicilio para oír notificaciones.</w:t>
      </w:r>
    </w:p>
    <w:p w:rsidR="00510ECE" w:rsidRPr="007740EF" w:rsidRDefault="00510ECE" w:rsidP="001E7B64">
      <w:pPr>
        <w:pStyle w:val="corte4fondo"/>
        <w:numPr>
          <w:ilvl w:val="0"/>
          <w:numId w:val="2"/>
        </w:numPr>
        <w:spacing w:line="276" w:lineRule="auto"/>
        <w:rPr>
          <w:rFonts w:cs="Arial"/>
          <w:color w:val="2E74B5" w:themeColor="accent1" w:themeShade="BF"/>
          <w:sz w:val="24"/>
          <w:szCs w:val="24"/>
        </w:rPr>
      </w:pPr>
      <w:r w:rsidRPr="007740EF">
        <w:rPr>
          <w:rFonts w:cs="Arial"/>
          <w:color w:val="2E74B5" w:themeColor="accent1" w:themeShade="BF"/>
          <w:sz w:val="24"/>
          <w:szCs w:val="24"/>
        </w:rPr>
        <w:t xml:space="preserve">Se puso a disposición de las partes el expediente para que en un plazo máximo de 7 siete días manifestaran lo que a su derecho conviniera –ofrecer pruebas y alegar–.  </w:t>
      </w:r>
    </w:p>
    <w:p w:rsidR="00510ECE" w:rsidRPr="007740EF" w:rsidRDefault="00510ECE" w:rsidP="001E7B64">
      <w:pPr>
        <w:pStyle w:val="corte4fondo"/>
        <w:spacing w:line="276" w:lineRule="auto"/>
        <w:rPr>
          <w:rFonts w:cs="Arial"/>
          <w:color w:val="2E74B5" w:themeColor="accent1" w:themeShade="BF"/>
          <w:sz w:val="24"/>
          <w:szCs w:val="24"/>
        </w:rPr>
      </w:pPr>
    </w:p>
    <w:p w:rsidR="00510ECE" w:rsidRPr="007740EF" w:rsidRDefault="00510ECE" w:rsidP="001E7B64">
      <w:pPr>
        <w:pStyle w:val="corte4fondo"/>
        <w:spacing w:line="276" w:lineRule="auto"/>
        <w:rPr>
          <w:rFonts w:cs="Arial"/>
          <w:color w:val="2E74B5" w:themeColor="accent1" w:themeShade="BF"/>
          <w:sz w:val="24"/>
          <w:szCs w:val="24"/>
        </w:rPr>
      </w:pPr>
      <w:r w:rsidRPr="007740EF">
        <w:rPr>
          <w:rFonts w:cs="Arial"/>
          <w:color w:val="2E74B5" w:themeColor="accent1" w:themeShade="BF"/>
          <w:sz w:val="24"/>
          <w:szCs w:val="24"/>
        </w:rPr>
        <w:t>Asimismo, en ese auto se expresó que el sujeto obligado debería informar a esta Comisión de Transparencia si la información que le fue solicitada:</w:t>
      </w:r>
    </w:p>
    <w:p w:rsidR="00510ECE" w:rsidRPr="007740EF" w:rsidRDefault="00510ECE" w:rsidP="001E7B64">
      <w:pPr>
        <w:pStyle w:val="corte4fondo"/>
        <w:spacing w:line="276" w:lineRule="auto"/>
        <w:rPr>
          <w:rFonts w:cs="Arial"/>
          <w:color w:val="2E74B5" w:themeColor="accent1" w:themeShade="BF"/>
          <w:sz w:val="24"/>
          <w:szCs w:val="24"/>
        </w:rPr>
      </w:pPr>
    </w:p>
    <w:p w:rsidR="00510ECE" w:rsidRPr="007740EF" w:rsidRDefault="00510ECE" w:rsidP="001E7B64">
      <w:pPr>
        <w:pStyle w:val="corte4fondo"/>
        <w:numPr>
          <w:ilvl w:val="0"/>
          <w:numId w:val="1"/>
        </w:numPr>
        <w:spacing w:line="276" w:lineRule="auto"/>
        <w:rPr>
          <w:rFonts w:cs="Arial"/>
          <w:color w:val="2E74B5" w:themeColor="accent1" w:themeShade="BF"/>
          <w:sz w:val="24"/>
          <w:szCs w:val="24"/>
        </w:rPr>
      </w:pPr>
      <w:r w:rsidRPr="007740EF">
        <w:rPr>
          <w:rFonts w:cs="Arial"/>
          <w:color w:val="2E74B5" w:themeColor="accent1" w:themeShade="BF"/>
          <w:sz w:val="24"/>
          <w:szCs w:val="24"/>
        </w:rPr>
        <w:t>Se encontraba en sus archivos.</w:t>
      </w:r>
    </w:p>
    <w:p w:rsidR="00510ECE" w:rsidRPr="007740EF" w:rsidRDefault="00510ECE" w:rsidP="001E7B64">
      <w:pPr>
        <w:pStyle w:val="corte4fondo"/>
        <w:numPr>
          <w:ilvl w:val="0"/>
          <w:numId w:val="1"/>
        </w:numPr>
        <w:spacing w:line="276" w:lineRule="auto"/>
        <w:rPr>
          <w:rFonts w:cs="Arial"/>
          <w:color w:val="2E74B5" w:themeColor="accent1" w:themeShade="BF"/>
          <w:sz w:val="24"/>
          <w:szCs w:val="24"/>
        </w:rPr>
      </w:pPr>
      <w:r w:rsidRPr="007740EF">
        <w:rPr>
          <w:rFonts w:cs="Arial"/>
          <w:color w:val="2E74B5" w:themeColor="accent1" w:themeShade="BF"/>
          <w:sz w:val="24"/>
          <w:szCs w:val="24"/>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510ECE" w:rsidRPr="007740EF" w:rsidRDefault="00510ECE" w:rsidP="001E7B64">
      <w:pPr>
        <w:pStyle w:val="corte4fondo"/>
        <w:numPr>
          <w:ilvl w:val="0"/>
          <w:numId w:val="1"/>
        </w:numPr>
        <w:spacing w:line="276" w:lineRule="auto"/>
        <w:rPr>
          <w:rFonts w:cs="Arial"/>
          <w:color w:val="2E74B5" w:themeColor="accent1" w:themeShade="BF"/>
          <w:sz w:val="24"/>
          <w:szCs w:val="24"/>
        </w:rPr>
      </w:pPr>
      <w:r w:rsidRPr="007740EF">
        <w:rPr>
          <w:rFonts w:cs="Arial"/>
          <w:color w:val="2E74B5" w:themeColor="accent1" w:themeShade="BF"/>
          <w:sz w:val="24"/>
          <w:szCs w:val="24"/>
        </w:rPr>
        <w:t>Se encuentra en una de las excepciones del derecho de acceso a la información.</w:t>
      </w:r>
    </w:p>
    <w:p w:rsidR="00510ECE" w:rsidRPr="007740EF" w:rsidRDefault="00510ECE" w:rsidP="001E7B64">
      <w:pPr>
        <w:pStyle w:val="corte4fondo"/>
        <w:numPr>
          <w:ilvl w:val="0"/>
          <w:numId w:val="1"/>
        </w:numPr>
        <w:spacing w:line="276" w:lineRule="auto"/>
        <w:rPr>
          <w:rFonts w:cs="Arial"/>
          <w:color w:val="2E74B5" w:themeColor="accent1" w:themeShade="BF"/>
          <w:sz w:val="24"/>
          <w:szCs w:val="24"/>
        </w:rPr>
      </w:pPr>
      <w:r w:rsidRPr="007740EF">
        <w:rPr>
          <w:rFonts w:cs="Arial"/>
          <w:color w:val="2E74B5" w:themeColor="accent1" w:themeShade="BF"/>
          <w:sz w:val="24"/>
          <w:szCs w:val="24"/>
        </w:rPr>
        <w:t xml:space="preserve">Si existe impedimento legal para su entrega –cuando se trate de información reservada o confidencial–. </w:t>
      </w:r>
    </w:p>
    <w:p w:rsidR="00510ECE" w:rsidRPr="007740EF" w:rsidRDefault="00510ECE" w:rsidP="001E7B64">
      <w:pPr>
        <w:pStyle w:val="corte4fondo"/>
        <w:spacing w:line="276" w:lineRule="auto"/>
        <w:ind w:left="1429" w:firstLine="0"/>
        <w:rPr>
          <w:rFonts w:cs="Arial"/>
          <w:color w:val="2E74B5" w:themeColor="accent1" w:themeShade="BF"/>
          <w:sz w:val="24"/>
          <w:szCs w:val="24"/>
        </w:rPr>
      </w:pPr>
    </w:p>
    <w:p w:rsidR="00510ECE" w:rsidRPr="007740EF" w:rsidRDefault="00510ECE" w:rsidP="001E7B64">
      <w:pPr>
        <w:pStyle w:val="corte4fondo"/>
        <w:spacing w:line="276" w:lineRule="auto"/>
        <w:ind w:firstLine="0"/>
        <w:rPr>
          <w:rFonts w:cs="Arial"/>
          <w:color w:val="2E74B5" w:themeColor="accent1" w:themeShade="BF"/>
          <w:sz w:val="24"/>
          <w:szCs w:val="24"/>
        </w:rPr>
      </w:pPr>
      <w:r w:rsidRPr="007740EF">
        <w:rPr>
          <w:rFonts w:cs="Arial"/>
          <w:color w:val="2E74B5" w:themeColor="accent1" w:themeShade="BF"/>
          <w:sz w:val="24"/>
          <w:szCs w:val="24"/>
        </w:rPr>
        <w:lastRenderedPageBreak/>
        <w:tab/>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que una vez, que sea decretado el cierre de instrucción no se atendería la información que fuese enviada.</w:t>
      </w:r>
    </w:p>
    <w:p w:rsidR="00510ECE" w:rsidRPr="007740EF" w:rsidRDefault="00510ECE" w:rsidP="001E7B64">
      <w:pPr>
        <w:pStyle w:val="corte4fondo"/>
        <w:spacing w:line="276" w:lineRule="auto"/>
        <w:ind w:firstLine="0"/>
        <w:rPr>
          <w:rFonts w:cs="Arial"/>
          <w:color w:val="2E74B5" w:themeColor="accent1" w:themeShade="BF"/>
          <w:sz w:val="24"/>
          <w:szCs w:val="24"/>
        </w:rPr>
      </w:pPr>
    </w:p>
    <w:p w:rsidR="00510ECE" w:rsidRPr="007740EF" w:rsidRDefault="00510ECE" w:rsidP="001E7B64">
      <w:pPr>
        <w:pStyle w:val="corte4fondo"/>
        <w:spacing w:line="276" w:lineRule="auto"/>
        <w:rPr>
          <w:rFonts w:cs="Arial"/>
          <w:b/>
          <w:color w:val="2E74B5" w:themeColor="accent1" w:themeShade="BF"/>
          <w:sz w:val="24"/>
          <w:szCs w:val="24"/>
        </w:rPr>
      </w:pPr>
      <w:r w:rsidRPr="007740EF">
        <w:rPr>
          <w:rFonts w:cs="Arial"/>
          <w:b/>
          <w:color w:val="2E74B5" w:themeColor="accent1" w:themeShade="BF"/>
          <w:sz w:val="24"/>
          <w:szCs w:val="24"/>
        </w:rPr>
        <w:t>SEXTO. Rendición de los informes de los sujetos obligados</w:t>
      </w:r>
      <w:r w:rsidRPr="007740EF">
        <w:rPr>
          <w:rFonts w:cs="Arial"/>
          <w:color w:val="2E74B5" w:themeColor="accent1" w:themeShade="BF"/>
          <w:sz w:val="24"/>
          <w:szCs w:val="24"/>
        </w:rPr>
        <w:t>. Por proveído del</w:t>
      </w:r>
      <w:r w:rsidR="00496CDA">
        <w:rPr>
          <w:rFonts w:cs="Arial"/>
          <w:color w:val="2E74B5" w:themeColor="accent1" w:themeShade="BF"/>
          <w:sz w:val="24"/>
          <w:szCs w:val="24"/>
        </w:rPr>
        <w:t xml:space="preserve"> </w:t>
      </w:r>
      <w:r w:rsidR="00C82622" w:rsidRPr="007740EF">
        <w:rPr>
          <w:rFonts w:cs="Arial"/>
          <w:color w:val="2E74B5" w:themeColor="accent1" w:themeShade="BF"/>
          <w:sz w:val="24"/>
          <w:szCs w:val="24"/>
        </w:rPr>
        <w:t xml:space="preserve">18 dieciocho </w:t>
      </w:r>
      <w:r w:rsidRPr="007740EF">
        <w:rPr>
          <w:rFonts w:cs="Arial"/>
          <w:color w:val="2E74B5" w:themeColor="accent1" w:themeShade="BF"/>
          <w:sz w:val="24"/>
          <w:szCs w:val="24"/>
        </w:rPr>
        <w:t>de mayo de 2018 dos mil dieciocho la ponente del presente asunto:</w:t>
      </w:r>
    </w:p>
    <w:p w:rsidR="00510ECE" w:rsidRPr="007740EF" w:rsidRDefault="00510ECE" w:rsidP="001E7B64">
      <w:pPr>
        <w:pStyle w:val="corte4fondo"/>
        <w:spacing w:line="276" w:lineRule="auto"/>
        <w:rPr>
          <w:rFonts w:cs="Arial"/>
          <w:color w:val="2E74B5" w:themeColor="accent1" w:themeShade="BF"/>
          <w:sz w:val="24"/>
          <w:szCs w:val="24"/>
        </w:rPr>
      </w:pPr>
    </w:p>
    <w:p w:rsidR="00510ECE" w:rsidRPr="007740EF" w:rsidRDefault="00510ECE" w:rsidP="001E7B64">
      <w:pPr>
        <w:pStyle w:val="corte4fondo"/>
        <w:numPr>
          <w:ilvl w:val="0"/>
          <w:numId w:val="3"/>
        </w:numPr>
        <w:spacing w:line="276" w:lineRule="auto"/>
        <w:rPr>
          <w:rFonts w:cs="Arial"/>
          <w:color w:val="2E74B5" w:themeColor="accent1" w:themeShade="BF"/>
          <w:sz w:val="24"/>
          <w:szCs w:val="24"/>
        </w:rPr>
      </w:pPr>
      <w:r w:rsidRPr="007740EF">
        <w:rPr>
          <w:rFonts w:cs="Arial"/>
          <w:color w:val="2E74B5" w:themeColor="accent1" w:themeShade="BF"/>
          <w:sz w:val="24"/>
          <w:szCs w:val="24"/>
        </w:rPr>
        <w:t>Tuvo por recibidos dos oficios sin número firmados por el</w:t>
      </w:r>
      <w:r w:rsidRPr="007740EF">
        <w:rPr>
          <w:rFonts w:cs="Arial"/>
          <w:b/>
          <w:color w:val="2E74B5" w:themeColor="accent1" w:themeShade="BF"/>
          <w:sz w:val="24"/>
          <w:szCs w:val="24"/>
        </w:rPr>
        <w:t xml:space="preserve"> TITULAR DE LA UNIDAD DE TRANSPARENCIA DEL SISTEMA EDUCATIVO ESTATAL REGULAR </w:t>
      </w:r>
      <w:r w:rsidRPr="007740EF">
        <w:rPr>
          <w:rFonts w:cs="Arial"/>
          <w:color w:val="2E74B5" w:themeColor="accent1" w:themeShade="BF"/>
          <w:sz w:val="24"/>
          <w:szCs w:val="24"/>
        </w:rPr>
        <w:t>junto con anexos.</w:t>
      </w:r>
    </w:p>
    <w:p w:rsidR="00510ECE" w:rsidRPr="007740EF" w:rsidRDefault="00510ECE" w:rsidP="001E7B64">
      <w:pPr>
        <w:pStyle w:val="corte4fondo"/>
        <w:numPr>
          <w:ilvl w:val="0"/>
          <w:numId w:val="3"/>
        </w:numPr>
        <w:spacing w:line="276" w:lineRule="auto"/>
        <w:rPr>
          <w:rFonts w:cs="Arial"/>
          <w:color w:val="2E74B5" w:themeColor="accent1" w:themeShade="BF"/>
          <w:sz w:val="24"/>
          <w:szCs w:val="24"/>
        </w:rPr>
      </w:pPr>
      <w:r w:rsidRPr="007740EF">
        <w:rPr>
          <w:rFonts w:cs="Arial"/>
          <w:color w:val="2E74B5" w:themeColor="accent1" w:themeShade="BF"/>
          <w:sz w:val="24"/>
          <w:szCs w:val="24"/>
        </w:rPr>
        <w:t>De igual forma recibió el oficio UT-0</w:t>
      </w:r>
      <w:r w:rsidR="00C82622" w:rsidRPr="007740EF">
        <w:rPr>
          <w:rFonts w:cs="Arial"/>
          <w:color w:val="2E74B5" w:themeColor="accent1" w:themeShade="BF"/>
          <w:sz w:val="24"/>
          <w:szCs w:val="24"/>
        </w:rPr>
        <w:t>828</w:t>
      </w:r>
      <w:r w:rsidRPr="007740EF">
        <w:rPr>
          <w:rFonts w:cs="Arial"/>
          <w:color w:val="2E74B5" w:themeColor="accent1" w:themeShade="BF"/>
          <w:sz w:val="24"/>
          <w:szCs w:val="24"/>
        </w:rPr>
        <w:t xml:space="preserve">/2018 signado por el </w:t>
      </w:r>
      <w:r w:rsidRPr="007740EF">
        <w:rPr>
          <w:rFonts w:cs="Arial"/>
          <w:b/>
          <w:color w:val="2E74B5" w:themeColor="accent1" w:themeShade="BF"/>
          <w:sz w:val="24"/>
          <w:szCs w:val="24"/>
        </w:rPr>
        <w:t xml:space="preserve">TITULAR DE LA UNIDAD DE TRANSPARENCIA </w:t>
      </w:r>
      <w:r w:rsidR="00C82622" w:rsidRPr="007740EF">
        <w:rPr>
          <w:rFonts w:cs="Arial"/>
          <w:b/>
          <w:color w:val="2E74B5" w:themeColor="accent1" w:themeShade="BF"/>
          <w:sz w:val="24"/>
          <w:szCs w:val="24"/>
        </w:rPr>
        <w:t>DE LA SECRETARÍA DE EDUCACIÓN</w:t>
      </w:r>
      <w:r w:rsidR="00C82622" w:rsidRPr="007740EF">
        <w:rPr>
          <w:rFonts w:cs="Arial"/>
          <w:color w:val="2E74B5" w:themeColor="accent1" w:themeShade="BF"/>
          <w:sz w:val="24"/>
          <w:szCs w:val="24"/>
        </w:rPr>
        <w:t>.</w:t>
      </w:r>
    </w:p>
    <w:p w:rsidR="00510ECE" w:rsidRPr="007740EF" w:rsidRDefault="00510ECE" w:rsidP="001E7B64">
      <w:pPr>
        <w:pStyle w:val="corte4fondo"/>
        <w:numPr>
          <w:ilvl w:val="0"/>
          <w:numId w:val="3"/>
        </w:numPr>
        <w:spacing w:line="276" w:lineRule="auto"/>
        <w:rPr>
          <w:rFonts w:cs="Arial"/>
          <w:color w:val="2E74B5" w:themeColor="accent1" w:themeShade="BF"/>
          <w:sz w:val="24"/>
          <w:szCs w:val="24"/>
        </w:rPr>
      </w:pPr>
      <w:r w:rsidRPr="007740EF">
        <w:rPr>
          <w:rFonts w:cs="Arial"/>
          <w:color w:val="2E74B5" w:themeColor="accent1" w:themeShade="BF"/>
          <w:sz w:val="24"/>
          <w:szCs w:val="24"/>
        </w:rPr>
        <w:t>Les reconoció su personalidad.</w:t>
      </w:r>
    </w:p>
    <w:p w:rsidR="00510ECE" w:rsidRPr="007740EF" w:rsidRDefault="00510ECE" w:rsidP="001E7B64">
      <w:pPr>
        <w:pStyle w:val="corte4fondo"/>
        <w:numPr>
          <w:ilvl w:val="0"/>
          <w:numId w:val="3"/>
        </w:numPr>
        <w:spacing w:line="276" w:lineRule="auto"/>
        <w:rPr>
          <w:rFonts w:cs="Arial"/>
          <w:color w:val="2E74B5" w:themeColor="accent1" w:themeShade="BF"/>
          <w:sz w:val="24"/>
          <w:szCs w:val="24"/>
        </w:rPr>
      </w:pPr>
      <w:r w:rsidRPr="007740EF">
        <w:rPr>
          <w:rFonts w:cs="Arial"/>
          <w:color w:val="2E74B5" w:themeColor="accent1" w:themeShade="BF"/>
          <w:sz w:val="24"/>
          <w:szCs w:val="24"/>
        </w:rPr>
        <w:t>Les tuvo por rendido en tiempo y forma el informe solicitado.</w:t>
      </w:r>
    </w:p>
    <w:p w:rsidR="00510ECE" w:rsidRPr="007740EF" w:rsidRDefault="00510ECE" w:rsidP="001E7B64">
      <w:pPr>
        <w:pStyle w:val="corte4fondo"/>
        <w:numPr>
          <w:ilvl w:val="0"/>
          <w:numId w:val="3"/>
        </w:numPr>
        <w:spacing w:line="276" w:lineRule="auto"/>
        <w:rPr>
          <w:rFonts w:cs="Arial"/>
          <w:color w:val="2E74B5" w:themeColor="accent1" w:themeShade="BF"/>
          <w:sz w:val="24"/>
          <w:szCs w:val="24"/>
        </w:rPr>
      </w:pPr>
      <w:r w:rsidRPr="007740EF">
        <w:rPr>
          <w:rFonts w:cs="Arial"/>
          <w:color w:val="2E74B5" w:themeColor="accent1" w:themeShade="BF"/>
          <w:sz w:val="24"/>
          <w:szCs w:val="24"/>
        </w:rPr>
        <w:t>Por expresados los argumentos relacionados con el presente asunto.</w:t>
      </w:r>
    </w:p>
    <w:p w:rsidR="00510ECE" w:rsidRPr="007740EF" w:rsidRDefault="00510ECE" w:rsidP="001E7B64">
      <w:pPr>
        <w:pStyle w:val="corte4fondo"/>
        <w:numPr>
          <w:ilvl w:val="0"/>
          <w:numId w:val="3"/>
        </w:numPr>
        <w:spacing w:line="276" w:lineRule="auto"/>
        <w:rPr>
          <w:rFonts w:cs="Arial"/>
          <w:color w:val="2E74B5" w:themeColor="accent1" w:themeShade="BF"/>
          <w:sz w:val="24"/>
          <w:szCs w:val="24"/>
        </w:rPr>
      </w:pPr>
      <w:r w:rsidRPr="007740EF">
        <w:rPr>
          <w:rFonts w:cs="Arial"/>
          <w:color w:val="2E74B5" w:themeColor="accent1" w:themeShade="BF"/>
          <w:sz w:val="24"/>
          <w:szCs w:val="24"/>
        </w:rPr>
        <w:t>Por ofrecidas las pruebas quienes así lo hicieron.</w:t>
      </w:r>
    </w:p>
    <w:p w:rsidR="00510ECE" w:rsidRPr="007740EF" w:rsidRDefault="00510ECE" w:rsidP="001E7B64">
      <w:pPr>
        <w:pStyle w:val="corte4fondo"/>
        <w:numPr>
          <w:ilvl w:val="0"/>
          <w:numId w:val="3"/>
        </w:numPr>
        <w:spacing w:line="276" w:lineRule="auto"/>
        <w:rPr>
          <w:rFonts w:cs="Arial"/>
          <w:color w:val="2E74B5" w:themeColor="accent1" w:themeShade="BF"/>
          <w:sz w:val="24"/>
          <w:szCs w:val="24"/>
        </w:rPr>
      </w:pPr>
      <w:r w:rsidRPr="007740EF">
        <w:rPr>
          <w:rFonts w:cs="Arial"/>
          <w:color w:val="2E74B5" w:themeColor="accent1" w:themeShade="BF"/>
          <w:sz w:val="24"/>
          <w:szCs w:val="24"/>
        </w:rPr>
        <w:t>Por señalado domicilio</w:t>
      </w:r>
      <w:r w:rsidR="00D5308A" w:rsidRPr="007740EF">
        <w:rPr>
          <w:rFonts w:cs="Arial"/>
          <w:color w:val="2E74B5" w:themeColor="accent1" w:themeShade="BF"/>
          <w:sz w:val="24"/>
          <w:szCs w:val="24"/>
        </w:rPr>
        <w:t xml:space="preserve"> y personas</w:t>
      </w:r>
      <w:r w:rsidRPr="007740EF">
        <w:rPr>
          <w:rFonts w:cs="Arial"/>
          <w:color w:val="2E74B5" w:themeColor="accent1" w:themeShade="BF"/>
          <w:sz w:val="24"/>
          <w:szCs w:val="24"/>
        </w:rPr>
        <w:t xml:space="preserve"> para oír y recibir notificaciones.</w:t>
      </w:r>
    </w:p>
    <w:p w:rsidR="00510ECE" w:rsidRPr="007740EF" w:rsidRDefault="00510ECE" w:rsidP="001E7B64">
      <w:pPr>
        <w:pStyle w:val="corte4fondo"/>
        <w:spacing w:line="276" w:lineRule="auto"/>
        <w:ind w:left="1510" w:firstLine="0"/>
        <w:rPr>
          <w:rFonts w:cs="Arial"/>
          <w:color w:val="2E74B5" w:themeColor="accent1" w:themeShade="BF"/>
          <w:sz w:val="24"/>
          <w:szCs w:val="24"/>
        </w:rPr>
      </w:pPr>
      <w:r w:rsidRPr="007740EF">
        <w:rPr>
          <w:rFonts w:cs="Arial"/>
          <w:color w:val="2E74B5" w:themeColor="accent1" w:themeShade="BF"/>
          <w:sz w:val="24"/>
          <w:szCs w:val="24"/>
        </w:rPr>
        <w:t xml:space="preserve"> </w:t>
      </w:r>
    </w:p>
    <w:p w:rsidR="00510ECE" w:rsidRPr="007740EF" w:rsidRDefault="00510ECE" w:rsidP="001E7B64">
      <w:pPr>
        <w:pStyle w:val="corte4fondo"/>
        <w:tabs>
          <w:tab w:val="left" w:pos="0"/>
        </w:tabs>
        <w:spacing w:line="276" w:lineRule="auto"/>
        <w:ind w:firstLine="0"/>
        <w:rPr>
          <w:rFonts w:cs="Arial"/>
          <w:color w:val="2E74B5" w:themeColor="accent1" w:themeShade="BF"/>
          <w:sz w:val="24"/>
          <w:szCs w:val="24"/>
        </w:rPr>
      </w:pPr>
      <w:r w:rsidRPr="007740EF">
        <w:rPr>
          <w:rFonts w:cs="Arial"/>
          <w:color w:val="2E74B5" w:themeColor="accent1" w:themeShade="BF"/>
          <w:sz w:val="24"/>
          <w:szCs w:val="24"/>
        </w:rPr>
        <w:tab/>
        <w:t>Respecto de la parte recurrente, se advirtió que no compareció a realizar las manifestaciones que a su derecho conviniera – ofrecer pruebas y alegar.</w:t>
      </w:r>
    </w:p>
    <w:p w:rsidR="00510ECE" w:rsidRPr="007740EF" w:rsidRDefault="00510ECE" w:rsidP="001E7B64">
      <w:pPr>
        <w:pStyle w:val="corte4fondo"/>
        <w:tabs>
          <w:tab w:val="left" w:pos="0"/>
        </w:tabs>
        <w:spacing w:line="276" w:lineRule="auto"/>
        <w:ind w:firstLine="0"/>
        <w:rPr>
          <w:rFonts w:cs="Arial"/>
          <w:color w:val="2E74B5" w:themeColor="accent1" w:themeShade="BF"/>
          <w:sz w:val="24"/>
          <w:szCs w:val="24"/>
        </w:rPr>
      </w:pPr>
    </w:p>
    <w:p w:rsidR="00510ECE" w:rsidRPr="007740EF" w:rsidRDefault="00510ECE" w:rsidP="001E7B64">
      <w:pPr>
        <w:pStyle w:val="corte4fondo"/>
        <w:spacing w:line="276" w:lineRule="auto"/>
        <w:ind w:firstLine="708"/>
        <w:rPr>
          <w:rFonts w:cs="Arial"/>
          <w:color w:val="2E74B5" w:themeColor="accent1" w:themeShade="BF"/>
          <w:sz w:val="24"/>
          <w:szCs w:val="24"/>
          <w:lang w:val="es-ES"/>
        </w:rPr>
      </w:pPr>
      <w:r w:rsidRPr="007740EF">
        <w:rPr>
          <w:rFonts w:cs="Arial"/>
          <w:b/>
          <w:color w:val="2E74B5" w:themeColor="accent1" w:themeShade="BF"/>
          <w:sz w:val="24"/>
          <w:szCs w:val="24"/>
        </w:rPr>
        <w:t>SÉPTIMO. Ampliación del plazo para resolver.</w:t>
      </w:r>
      <w:r w:rsidRPr="007740EF">
        <w:rPr>
          <w:rFonts w:cs="Arial"/>
          <w:color w:val="2E74B5" w:themeColor="accent1" w:themeShade="BF"/>
          <w:sz w:val="24"/>
          <w:szCs w:val="24"/>
        </w:rPr>
        <w:t xml:space="preserve"> Por auto de </w:t>
      </w:r>
      <w:r w:rsidR="00D5308A" w:rsidRPr="007740EF">
        <w:rPr>
          <w:rFonts w:cs="Arial"/>
          <w:color w:val="2E74B5" w:themeColor="accent1" w:themeShade="BF"/>
          <w:sz w:val="24"/>
          <w:szCs w:val="24"/>
        </w:rPr>
        <w:t xml:space="preserve">18 dieciocho </w:t>
      </w:r>
      <w:r w:rsidRPr="007740EF">
        <w:rPr>
          <w:rFonts w:cs="Arial"/>
          <w:color w:val="2E74B5" w:themeColor="accent1" w:themeShade="BF"/>
          <w:sz w:val="24"/>
          <w:szCs w:val="24"/>
        </w:rPr>
        <w:t>de junio de 2018 dos mil dieciocho, la ponente decretó la ampliación del plazo para resolver el presente asunto, ello de conformidad con el Lineamiento Décimo Noveno de los Lineamientos para la Recepción, Sustanciación, Resolución</w:t>
      </w:r>
      <w:r w:rsidRPr="007740EF">
        <w:rPr>
          <w:rFonts w:cs="Arial"/>
          <w:color w:val="2E74B5" w:themeColor="accent1" w:themeShade="BF"/>
          <w:spacing w:val="2"/>
          <w:sz w:val="24"/>
          <w:szCs w:val="24"/>
        </w:rPr>
        <w:t xml:space="preserve"> y Cumplimiento de los Recursos de Revisión promovidos ante la CEGAIP, emitidos en la Sesión de Pleno Ordinaria de Consejo celebrada el 07 siete de noviembre de 2017 dos mil diecisiete, y publicados en el Periódico Oficial del Gobierno del Estado el 15 de febrero de 2018 dos mil dieciocho</w:t>
      </w:r>
      <w:r w:rsidRPr="007740EF">
        <w:rPr>
          <w:rFonts w:cs="Arial"/>
          <w:color w:val="2E74B5" w:themeColor="accent1" w:themeShade="BF"/>
          <w:sz w:val="24"/>
          <w:szCs w:val="24"/>
          <w:lang w:val="es-ES"/>
        </w:rPr>
        <w:t>.</w:t>
      </w:r>
    </w:p>
    <w:p w:rsidR="00510ECE" w:rsidRPr="007740EF" w:rsidRDefault="00510ECE" w:rsidP="001E7B64">
      <w:pPr>
        <w:pStyle w:val="corte4fondo"/>
        <w:spacing w:line="276" w:lineRule="auto"/>
        <w:rPr>
          <w:rFonts w:cs="Arial"/>
          <w:color w:val="2E74B5" w:themeColor="accent1" w:themeShade="BF"/>
          <w:sz w:val="24"/>
          <w:szCs w:val="24"/>
        </w:rPr>
      </w:pPr>
    </w:p>
    <w:p w:rsidR="00510ECE" w:rsidRPr="007740EF" w:rsidRDefault="00510ECE" w:rsidP="001E7B64">
      <w:pPr>
        <w:pStyle w:val="corte4fondo"/>
        <w:spacing w:line="276" w:lineRule="auto"/>
        <w:rPr>
          <w:rFonts w:cs="Arial"/>
          <w:color w:val="2E74B5" w:themeColor="accent1" w:themeShade="BF"/>
          <w:sz w:val="24"/>
          <w:szCs w:val="24"/>
        </w:rPr>
      </w:pPr>
      <w:r w:rsidRPr="007740EF">
        <w:rPr>
          <w:rFonts w:cs="Arial"/>
          <w:color w:val="2E74B5" w:themeColor="accent1" w:themeShade="BF"/>
          <w:sz w:val="24"/>
          <w:szCs w:val="24"/>
        </w:rPr>
        <w:t>Para concluir, la ponente declaró cerrado el periodo de instrucción y procedió a elaborar el proyecto de resolución respectivo.</w:t>
      </w:r>
    </w:p>
    <w:p w:rsidR="00510ECE" w:rsidRPr="007740EF" w:rsidRDefault="00510ECE" w:rsidP="001E7B64">
      <w:pPr>
        <w:pStyle w:val="corte4fondo"/>
        <w:spacing w:line="276" w:lineRule="auto"/>
        <w:rPr>
          <w:rFonts w:cs="Arial"/>
          <w:color w:val="2E74B5" w:themeColor="accent1" w:themeShade="BF"/>
          <w:sz w:val="24"/>
          <w:szCs w:val="24"/>
        </w:rPr>
      </w:pPr>
    </w:p>
    <w:p w:rsidR="00510ECE" w:rsidRPr="007740EF" w:rsidRDefault="00510ECE" w:rsidP="001E7B64">
      <w:pPr>
        <w:pStyle w:val="corte4fondo"/>
        <w:spacing w:line="276" w:lineRule="auto"/>
        <w:jc w:val="center"/>
        <w:rPr>
          <w:rFonts w:cs="Arial"/>
          <w:b/>
          <w:color w:val="2E74B5" w:themeColor="accent1" w:themeShade="BF"/>
          <w:sz w:val="24"/>
          <w:szCs w:val="24"/>
        </w:rPr>
      </w:pPr>
      <w:r w:rsidRPr="007740EF">
        <w:rPr>
          <w:rFonts w:cs="Arial"/>
          <w:b/>
          <w:color w:val="2E74B5" w:themeColor="accent1" w:themeShade="BF"/>
          <w:sz w:val="24"/>
          <w:szCs w:val="24"/>
        </w:rPr>
        <w:t>CONSIDERANDO</w:t>
      </w:r>
    </w:p>
    <w:p w:rsidR="00510ECE" w:rsidRPr="007740EF" w:rsidRDefault="00510ECE" w:rsidP="001E7B64">
      <w:pPr>
        <w:pStyle w:val="corte4fondo"/>
        <w:spacing w:line="276" w:lineRule="auto"/>
        <w:rPr>
          <w:rFonts w:cs="Arial"/>
          <w:b/>
          <w:color w:val="2E74B5" w:themeColor="accent1" w:themeShade="BF"/>
          <w:sz w:val="24"/>
          <w:szCs w:val="24"/>
        </w:rPr>
      </w:pPr>
    </w:p>
    <w:p w:rsidR="00510ECE" w:rsidRPr="007740EF" w:rsidRDefault="00510ECE" w:rsidP="001E7B64">
      <w:pPr>
        <w:pStyle w:val="corte4fondo"/>
        <w:spacing w:line="276" w:lineRule="auto"/>
        <w:rPr>
          <w:rFonts w:cs="Arial"/>
          <w:color w:val="2E74B5" w:themeColor="accent1" w:themeShade="BF"/>
          <w:sz w:val="24"/>
          <w:szCs w:val="24"/>
        </w:rPr>
      </w:pPr>
      <w:r w:rsidRPr="007740EF">
        <w:rPr>
          <w:rFonts w:cs="Arial"/>
          <w:b/>
          <w:color w:val="2E74B5" w:themeColor="accent1" w:themeShade="BF"/>
          <w:sz w:val="24"/>
          <w:szCs w:val="24"/>
        </w:rPr>
        <w:t xml:space="preserve">PRIMERO. Competencia. </w:t>
      </w:r>
      <w:r w:rsidRPr="007740EF">
        <w:rPr>
          <w:rFonts w:cs="Arial"/>
          <w:color w:val="2E74B5" w:themeColor="accent1" w:themeShade="BF"/>
          <w:sz w:val="24"/>
          <w:szCs w:val="24"/>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510ECE" w:rsidRPr="007740EF" w:rsidRDefault="00510ECE" w:rsidP="001E7B64">
      <w:pPr>
        <w:pStyle w:val="corte4fondo"/>
        <w:spacing w:line="276" w:lineRule="auto"/>
        <w:rPr>
          <w:rFonts w:cs="Arial"/>
          <w:color w:val="2E74B5" w:themeColor="accent1" w:themeShade="BF"/>
          <w:sz w:val="24"/>
          <w:szCs w:val="24"/>
        </w:rPr>
      </w:pPr>
    </w:p>
    <w:p w:rsidR="00510ECE" w:rsidRPr="007740EF" w:rsidRDefault="00510ECE" w:rsidP="001E7B64">
      <w:pPr>
        <w:pStyle w:val="corte4fondo"/>
        <w:spacing w:line="276" w:lineRule="auto"/>
        <w:rPr>
          <w:rFonts w:cs="Arial"/>
          <w:color w:val="2E74B5" w:themeColor="accent1" w:themeShade="BF"/>
          <w:sz w:val="24"/>
          <w:szCs w:val="24"/>
        </w:rPr>
      </w:pPr>
      <w:r w:rsidRPr="007740EF">
        <w:rPr>
          <w:rFonts w:cs="Arial"/>
          <w:b/>
          <w:color w:val="2E74B5" w:themeColor="accent1" w:themeShade="BF"/>
          <w:sz w:val="24"/>
          <w:szCs w:val="24"/>
        </w:rPr>
        <w:t xml:space="preserve">SEGUNDO. Procedencia. </w:t>
      </w:r>
      <w:r w:rsidRPr="007740EF">
        <w:rPr>
          <w:rFonts w:cs="Arial"/>
          <w:color w:val="2E74B5" w:themeColor="accent1" w:themeShade="BF"/>
          <w:sz w:val="24"/>
          <w:szCs w:val="24"/>
        </w:rPr>
        <w:t xml:space="preserve">El presente recurso de revisión es procedente en términos del artículo 166 de la Ley de Transparencia y Acceso a la Información Pública del Estado ya que el recurrente se inconforma por la respuesta a su solicitud de acceso a la información pública. </w:t>
      </w:r>
    </w:p>
    <w:p w:rsidR="00510ECE" w:rsidRPr="007740EF" w:rsidRDefault="00510ECE" w:rsidP="001E7B64">
      <w:pPr>
        <w:pStyle w:val="corte4fondo"/>
        <w:spacing w:line="276" w:lineRule="auto"/>
        <w:rPr>
          <w:rFonts w:cs="Arial"/>
          <w:color w:val="2E74B5" w:themeColor="accent1" w:themeShade="BF"/>
          <w:sz w:val="24"/>
          <w:szCs w:val="24"/>
        </w:rPr>
      </w:pPr>
    </w:p>
    <w:p w:rsidR="00510ECE" w:rsidRPr="007740EF" w:rsidRDefault="00510ECE" w:rsidP="001E7B64">
      <w:pPr>
        <w:pStyle w:val="corte4fondo"/>
        <w:spacing w:line="276" w:lineRule="auto"/>
        <w:rPr>
          <w:rFonts w:cs="Arial"/>
          <w:color w:val="2E74B5" w:themeColor="accent1" w:themeShade="BF"/>
          <w:sz w:val="24"/>
          <w:szCs w:val="24"/>
        </w:rPr>
      </w:pPr>
      <w:r w:rsidRPr="007740EF">
        <w:rPr>
          <w:rFonts w:cs="Arial"/>
          <w:b/>
          <w:color w:val="2E74B5" w:themeColor="accent1" w:themeShade="BF"/>
          <w:sz w:val="24"/>
          <w:szCs w:val="24"/>
        </w:rPr>
        <w:t xml:space="preserve">TERCERO. Legitimación. </w:t>
      </w:r>
      <w:r w:rsidRPr="007740EF">
        <w:rPr>
          <w:rFonts w:cs="Arial"/>
          <w:color w:val="2E74B5" w:themeColor="accent1" w:themeShade="BF"/>
          <w:sz w:val="24"/>
          <w:szCs w:val="24"/>
        </w:rPr>
        <w:t>El recurrente se encuentra legitimado para interponer el recurso de revisión, ya que fue él quien presentó la solicitud de acceso a la información pública y la respuesta recaída a ésta es precisamente a aquél a quien le pudiera deparar perjuicio dicha respuesta.</w:t>
      </w:r>
    </w:p>
    <w:p w:rsidR="00510ECE" w:rsidRPr="007740EF" w:rsidRDefault="00510ECE" w:rsidP="001E7B64">
      <w:pPr>
        <w:pStyle w:val="corte4fondo"/>
        <w:spacing w:line="276" w:lineRule="auto"/>
        <w:rPr>
          <w:rFonts w:cs="Arial"/>
          <w:color w:val="2E74B5" w:themeColor="accent1" w:themeShade="BF"/>
          <w:sz w:val="24"/>
          <w:szCs w:val="24"/>
        </w:rPr>
      </w:pPr>
    </w:p>
    <w:p w:rsidR="00510ECE" w:rsidRPr="007740EF" w:rsidRDefault="00510ECE" w:rsidP="001E7B64">
      <w:pPr>
        <w:pStyle w:val="corte4fondo"/>
        <w:spacing w:line="276" w:lineRule="auto"/>
        <w:rPr>
          <w:rFonts w:cs="Arial"/>
          <w:color w:val="2E74B5" w:themeColor="accent1" w:themeShade="BF"/>
          <w:sz w:val="24"/>
          <w:szCs w:val="24"/>
        </w:rPr>
      </w:pPr>
      <w:r w:rsidRPr="007740EF">
        <w:rPr>
          <w:rFonts w:cs="Arial"/>
          <w:b/>
          <w:color w:val="2E74B5" w:themeColor="accent1" w:themeShade="BF"/>
          <w:sz w:val="24"/>
          <w:szCs w:val="24"/>
        </w:rPr>
        <w:t>CUARTO. Oportunidad del recurso</w:t>
      </w:r>
      <w:r w:rsidRPr="007740EF">
        <w:rPr>
          <w:rFonts w:cs="Arial"/>
          <w:color w:val="2E74B5" w:themeColor="accent1" w:themeShade="BF"/>
          <w:sz w:val="24"/>
          <w:szCs w:val="24"/>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510ECE" w:rsidRPr="007740EF" w:rsidRDefault="00510ECE" w:rsidP="001E7B64">
      <w:pPr>
        <w:pStyle w:val="corte4fondo"/>
        <w:spacing w:line="276" w:lineRule="auto"/>
        <w:rPr>
          <w:rFonts w:cs="Arial"/>
          <w:color w:val="2E74B5" w:themeColor="accent1" w:themeShade="BF"/>
          <w:sz w:val="24"/>
          <w:szCs w:val="24"/>
        </w:rPr>
      </w:pPr>
    </w:p>
    <w:p w:rsidR="00510ECE" w:rsidRPr="007740EF" w:rsidRDefault="00510ECE" w:rsidP="001E7B64">
      <w:pPr>
        <w:pStyle w:val="corte4fondo"/>
        <w:numPr>
          <w:ilvl w:val="0"/>
          <w:numId w:val="4"/>
        </w:numPr>
        <w:spacing w:line="276" w:lineRule="auto"/>
        <w:rPr>
          <w:rFonts w:cs="Arial"/>
          <w:color w:val="2E74B5" w:themeColor="accent1" w:themeShade="BF"/>
          <w:sz w:val="24"/>
          <w:szCs w:val="24"/>
        </w:rPr>
      </w:pPr>
      <w:r w:rsidRPr="007740EF">
        <w:rPr>
          <w:rFonts w:cs="Arial"/>
          <w:color w:val="2E74B5" w:themeColor="accent1" w:themeShade="BF"/>
          <w:sz w:val="24"/>
          <w:szCs w:val="24"/>
        </w:rPr>
        <w:t xml:space="preserve">El </w:t>
      </w:r>
      <w:r w:rsidR="00D5308A" w:rsidRPr="007740EF">
        <w:rPr>
          <w:rFonts w:cs="Arial"/>
          <w:color w:val="2E74B5" w:themeColor="accent1" w:themeShade="BF"/>
          <w:sz w:val="24"/>
          <w:szCs w:val="24"/>
        </w:rPr>
        <w:t xml:space="preserve">24 veinticuatro </w:t>
      </w:r>
      <w:r w:rsidRPr="007740EF">
        <w:rPr>
          <w:rFonts w:cs="Arial"/>
          <w:color w:val="2E74B5" w:themeColor="accent1" w:themeShade="BF"/>
          <w:sz w:val="24"/>
          <w:szCs w:val="24"/>
        </w:rPr>
        <w:t xml:space="preserve">de abril de 2018 dos mil </w:t>
      </w:r>
      <w:bookmarkStart w:id="0" w:name="_GoBack"/>
      <w:bookmarkEnd w:id="0"/>
      <w:r w:rsidRPr="007740EF">
        <w:rPr>
          <w:rFonts w:cs="Arial"/>
          <w:color w:val="2E74B5" w:themeColor="accent1" w:themeShade="BF"/>
          <w:sz w:val="24"/>
          <w:szCs w:val="24"/>
        </w:rPr>
        <w:t>dieciocho el solicitante de la información fue notificado de la respuesta a su solicitud.</w:t>
      </w:r>
    </w:p>
    <w:p w:rsidR="00510ECE" w:rsidRPr="007740EF" w:rsidRDefault="00510ECE" w:rsidP="001E7B64">
      <w:pPr>
        <w:pStyle w:val="corte4fondo"/>
        <w:numPr>
          <w:ilvl w:val="0"/>
          <w:numId w:val="4"/>
        </w:numPr>
        <w:spacing w:line="276" w:lineRule="auto"/>
        <w:rPr>
          <w:rFonts w:cs="Arial"/>
          <w:color w:val="2E74B5" w:themeColor="accent1" w:themeShade="BF"/>
          <w:sz w:val="24"/>
          <w:szCs w:val="24"/>
        </w:rPr>
      </w:pPr>
      <w:r w:rsidRPr="007740EF">
        <w:rPr>
          <w:rFonts w:cs="Arial"/>
          <w:color w:val="2E74B5" w:themeColor="accent1" w:themeShade="BF"/>
          <w:sz w:val="24"/>
          <w:szCs w:val="24"/>
        </w:rPr>
        <w:t xml:space="preserve">Por lo tanto, el plazo de los quince días hábiles para interponer el recurso de revisión transcurrió del día </w:t>
      </w:r>
      <w:r w:rsidR="00D5308A" w:rsidRPr="007740EF">
        <w:rPr>
          <w:rFonts w:cs="Arial"/>
          <w:color w:val="2E74B5" w:themeColor="accent1" w:themeShade="BF"/>
          <w:sz w:val="24"/>
          <w:szCs w:val="24"/>
        </w:rPr>
        <w:t xml:space="preserve">25 veinticinco </w:t>
      </w:r>
      <w:r w:rsidRPr="007740EF">
        <w:rPr>
          <w:rFonts w:cs="Arial"/>
          <w:color w:val="2E74B5" w:themeColor="accent1" w:themeShade="BF"/>
          <w:sz w:val="24"/>
          <w:szCs w:val="24"/>
        </w:rPr>
        <w:t xml:space="preserve">de abril al </w:t>
      </w:r>
      <w:r w:rsidR="00D5308A" w:rsidRPr="007740EF">
        <w:rPr>
          <w:rFonts w:cs="Arial"/>
          <w:color w:val="2E74B5" w:themeColor="accent1" w:themeShade="BF"/>
          <w:sz w:val="24"/>
          <w:szCs w:val="24"/>
        </w:rPr>
        <w:t xml:space="preserve">17 diecisiete </w:t>
      </w:r>
      <w:r w:rsidRPr="007740EF">
        <w:rPr>
          <w:rFonts w:cs="Arial"/>
          <w:color w:val="2E74B5" w:themeColor="accent1" w:themeShade="BF"/>
          <w:sz w:val="24"/>
          <w:szCs w:val="24"/>
        </w:rPr>
        <w:t xml:space="preserve">de mayo de 2018 dos mil dieciocho. </w:t>
      </w:r>
    </w:p>
    <w:p w:rsidR="00510ECE" w:rsidRPr="007740EF" w:rsidRDefault="00510ECE" w:rsidP="001E7B64">
      <w:pPr>
        <w:pStyle w:val="corte4fondo"/>
        <w:numPr>
          <w:ilvl w:val="0"/>
          <w:numId w:val="4"/>
        </w:numPr>
        <w:spacing w:line="276" w:lineRule="auto"/>
        <w:rPr>
          <w:rFonts w:cs="Arial"/>
          <w:color w:val="2E74B5" w:themeColor="accent1" w:themeShade="BF"/>
          <w:sz w:val="24"/>
          <w:szCs w:val="24"/>
        </w:rPr>
      </w:pPr>
      <w:r w:rsidRPr="007740EF">
        <w:rPr>
          <w:rFonts w:cs="Arial"/>
          <w:color w:val="2E74B5" w:themeColor="accent1" w:themeShade="BF"/>
          <w:sz w:val="24"/>
          <w:szCs w:val="24"/>
        </w:rPr>
        <w:t xml:space="preserve">Se deben de descontar de dicho cómputo por ser inhábiles los </w:t>
      </w:r>
      <w:r w:rsidR="00D5308A" w:rsidRPr="007740EF">
        <w:rPr>
          <w:rFonts w:cs="Arial"/>
          <w:color w:val="2E74B5" w:themeColor="accent1" w:themeShade="BF"/>
          <w:sz w:val="24"/>
          <w:szCs w:val="24"/>
        </w:rPr>
        <w:t>días 28</w:t>
      </w:r>
      <w:r w:rsidRPr="007740EF">
        <w:rPr>
          <w:rFonts w:cs="Arial"/>
          <w:color w:val="2E74B5" w:themeColor="accent1" w:themeShade="BF"/>
          <w:sz w:val="24"/>
          <w:szCs w:val="24"/>
        </w:rPr>
        <w:t xml:space="preserve"> veintiocho, 29 veintinueve de abril, 01 uno,</w:t>
      </w:r>
      <w:r w:rsidR="00D5308A" w:rsidRPr="007740EF">
        <w:rPr>
          <w:rFonts w:cs="Arial"/>
          <w:color w:val="2E74B5" w:themeColor="accent1" w:themeShade="BF"/>
          <w:sz w:val="24"/>
          <w:szCs w:val="24"/>
        </w:rPr>
        <w:t xml:space="preserve"> 05 cinco, 06 seis, </w:t>
      </w:r>
      <w:r w:rsidRPr="007740EF">
        <w:rPr>
          <w:rFonts w:cs="Arial"/>
          <w:color w:val="2E74B5" w:themeColor="accent1" w:themeShade="BF"/>
          <w:sz w:val="24"/>
          <w:szCs w:val="24"/>
        </w:rPr>
        <w:t>10 diez</w:t>
      </w:r>
      <w:r w:rsidR="00D5308A" w:rsidRPr="007740EF">
        <w:rPr>
          <w:rFonts w:cs="Arial"/>
          <w:color w:val="2E74B5" w:themeColor="accent1" w:themeShade="BF"/>
          <w:sz w:val="24"/>
          <w:szCs w:val="24"/>
        </w:rPr>
        <w:t xml:space="preserve">, 12 doce y 13 trece </w:t>
      </w:r>
      <w:r w:rsidRPr="007740EF">
        <w:rPr>
          <w:rFonts w:cs="Arial"/>
          <w:color w:val="2E74B5" w:themeColor="accent1" w:themeShade="BF"/>
          <w:sz w:val="24"/>
          <w:szCs w:val="24"/>
        </w:rPr>
        <w:t>de mayo del año en curso.</w:t>
      </w:r>
    </w:p>
    <w:p w:rsidR="00510ECE" w:rsidRPr="007740EF" w:rsidRDefault="00510ECE" w:rsidP="001E7B64">
      <w:pPr>
        <w:pStyle w:val="corte4fondo"/>
        <w:numPr>
          <w:ilvl w:val="0"/>
          <w:numId w:val="4"/>
        </w:numPr>
        <w:spacing w:line="276" w:lineRule="auto"/>
        <w:rPr>
          <w:rFonts w:cs="Arial"/>
          <w:color w:val="2E74B5" w:themeColor="accent1" w:themeShade="BF"/>
          <w:sz w:val="24"/>
          <w:szCs w:val="24"/>
        </w:rPr>
      </w:pPr>
      <w:r w:rsidRPr="007740EF">
        <w:rPr>
          <w:rFonts w:cs="Arial"/>
          <w:color w:val="2E74B5" w:themeColor="accent1" w:themeShade="BF"/>
          <w:sz w:val="24"/>
          <w:szCs w:val="24"/>
        </w:rPr>
        <w:t xml:space="preserve">Consecuentemente si el </w:t>
      </w:r>
      <w:r w:rsidR="00D5308A" w:rsidRPr="007740EF">
        <w:rPr>
          <w:rFonts w:cs="Arial"/>
          <w:color w:val="2E74B5" w:themeColor="accent1" w:themeShade="BF"/>
          <w:sz w:val="24"/>
          <w:szCs w:val="24"/>
        </w:rPr>
        <w:t xml:space="preserve">02 dos de mayo </w:t>
      </w:r>
      <w:r w:rsidRPr="007740EF">
        <w:rPr>
          <w:rFonts w:cs="Arial"/>
          <w:color w:val="2E74B5" w:themeColor="accent1" w:themeShade="BF"/>
          <w:sz w:val="24"/>
          <w:szCs w:val="24"/>
        </w:rPr>
        <w:t xml:space="preserve">de 2018 dos mil dieciocho el recurrente interpuso el citado medio de impugnación ante esta Comisión de Transparencia, resulta claro que es oportuna su presentación.   </w:t>
      </w:r>
    </w:p>
    <w:p w:rsidR="007740EF" w:rsidRPr="007740EF" w:rsidRDefault="007740EF" w:rsidP="007740EF">
      <w:pPr>
        <w:pStyle w:val="corte4fondo"/>
        <w:spacing w:line="276" w:lineRule="auto"/>
        <w:ind w:firstLine="0"/>
        <w:rPr>
          <w:rFonts w:cs="Arial"/>
          <w:color w:val="2E74B5" w:themeColor="accent1" w:themeShade="BF"/>
          <w:sz w:val="24"/>
          <w:szCs w:val="24"/>
        </w:rPr>
      </w:pPr>
    </w:p>
    <w:p w:rsidR="00510ECE" w:rsidRPr="007740EF" w:rsidRDefault="00510ECE" w:rsidP="007740EF">
      <w:pPr>
        <w:pStyle w:val="corte4fondo"/>
        <w:spacing w:line="276" w:lineRule="auto"/>
        <w:ind w:firstLine="0"/>
        <w:rPr>
          <w:rFonts w:cs="Arial"/>
          <w:color w:val="2E74B5" w:themeColor="accent1" w:themeShade="BF"/>
          <w:sz w:val="24"/>
          <w:szCs w:val="24"/>
        </w:rPr>
      </w:pPr>
      <w:r w:rsidRPr="007740EF">
        <w:rPr>
          <w:rFonts w:cs="Arial"/>
          <w:b/>
          <w:color w:val="2E74B5" w:themeColor="accent1" w:themeShade="BF"/>
          <w:sz w:val="24"/>
          <w:szCs w:val="24"/>
        </w:rPr>
        <w:t>QUINTO. Certeza del acto reclamado</w:t>
      </w:r>
      <w:r w:rsidRPr="007740EF">
        <w:rPr>
          <w:rFonts w:cs="Arial"/>
          <w:color w:val="2E74B5" w:themeColor="accent1" w:themeShade="BF"/>
          <w:sz w:val="24"/>
          <w:szCs w:val="24"/>
        </w:rPr>
        <w:t xml:space="preserve">. Son ciertos los actos reclamados atribuidos a los sujetos obligados, puesto que así lo reconocieron las autoridades mencionadas al momento de rendir su informe. </w:t>
      </w:r>
    </w:p>
    <w:p w:rsidR="007740EF" w:rsidRPr="007740EF" w:rsidRDefault="007740EF" w:rsidP="001E7B64">
      <w:pPr>
        <w:pStyle w:val="corte4fondo"/>
        <w:spacing w:line="276" w:lineRule="auto"/>
        <w:ind w:firstLine="708"/>
        <w:rPr>
          <w:rFonts w:cs="Arial"/>
          <w:color w:val="2E74B5" w:themeColor="accent1" w:themeShade="BF"/>
          <w:sz w:val="24"/>
          <w:szCs w:val="24"/>
        </w:rPr>
      </w:pPr>
    </w:p>
    <w:p w:rsidR="00D05130" w:rsidRPr="007740EF" w:rsidRDefault="00D05130" w:rsidP="001E7B64">
      <w:pPr>
        <w:pStyle w:val="corte4fondo"/>
        <w:spacing w:line="276" w:lineRule="auto"/>
        <w:ind w:firstLine="0"/>
        <w:rPr>
          <w:rFonts w:cs="Arial"/>
          <w:color w:val="2E74B5" w:themeColor="accent1" w:themeShade="BF"/>
          <w:sz w:val="24"/>
          <w:szCs w:val="24"/>
        </w:rPr>
      </w:pPr>
      <w:r w:rsidRPr="007740EF">
        <w:rPr>
          <w:rFonts w:cs="Arial"/>
          <w:b/>
          <w:color w:val="2E74B5" w:themeColor="accent1" w:themeShade="BF"/>
          <w:sz w:val="24"/>
          <w:szCs w:val="24"/>
        </w:rPr>
        <w:t>SEXTO</w:t>
      </w:r>
      <w:r w:rsidRPr="007740EF">
        <w:rPr>
          <w:rFonts w:cs="Arial"/>
          <w:color w:val="2E74B5" w:themeColor="accent1" w:themeShade="BF"/>
          <w:sz w:val="24"/>
          <w:szCs w:val="24"/>
        </w:rPr>
        <w:t xml:space="preserve">. </w:t>
      </w:r>
      <w:r w:rsidRPr="007740EF">
        <w:rPr>
          <w:rFonts w:cs="Arial"/>
          <w:b/>
          <w:color w:val="2E74B5" w:themeColor="accent1" w:themeShade="BF"/>
          <w:sz w:val="24"/>
          <w:szCs w:val="24"/>
        </w:rPr>
        <w:t xml:space="preserve">Causales de improcedencia. </w:t>
      </w:r>
      <w:r w:rsidRPr="007740EF">
        <w:rPr>
          <w:rFonts w:cs="Arial"/>
          <w:color w:val="2E74B5" w:themeColor="accent1" w:themeShade="BF"/>
          <w:sz w:val="24"/>
          <w:szCs w:val="24"/>
        </w:rPr>
        <w:t>Las causales de improcedencia previstas en el artículo 179 de la Ley de Transparencia son de estudio oficioso y preferente a cualquier otra cuestión planteada. En el caso al no existir causas de improcedencia invocada por las partes o advertida por este órgano colegiado se analiza el fondo de la cuestión planteada.</w:t>
      </w:r>
    </w:p>
    <w:p w:rsidR="00510ECE" w:rsidRPr="007740EF" w:rsidRDefault="00510ECE" w:rsidP="001E7B64">
      <w:pPr>
        <w:pStyle w:val="corte4fondo"/>
        <w:spacing w:line="276" w:lineRule="auto"/>
        <w:ind w:firstLine="0"/>
        <w:rPr>
          <w:rFonts w:cs="Arial"/>
          <w:color w:val="2E74B5" w:themeColor="accent1" w:themeShade="BF"/>
          <w:sz w:val="24"/>
          <w:szCs w:val="24"/>
        </w:rPr>
      </w:pPr>
    </w:p>
    <w:p w:rsidR="00510ECE" w:rsidRPr="007740EF" w:rsidRDefault="00D05130" w:rsidP="001E7B64">
      <w:pPr>
        <w:spacing w:after="0"/>
        <w:jc w:val="both"/>
        <w:rPr>
          <w:rFonts w:ascii="Arial" w:hAnsi="Arial" w:cs="Arial"/>
          <w:color w:val="2E74B5" w:themeColor="accent1" w:themeShade="BF"/>
          <w:sz w:val="24"/>
          <w:szCs w:val="24"/>
        </w:rPr>
      </w:pPr>
      <w:r w:rsidRPr="007740EF">
        <w:rPr>
          <w:rFonts w:ascii="Arial" w:hAnsi="Arial" w:cs="Arial"/>
          <w:b/>
          <w:color w:val="2E74B5" w:themeColor="accent1" w:themeShade="BF"/>
          <w:sz w:val="24"/>
          <w:szCs w:val="24"/>
        </w:rPr>
        <w:t>SÉPTIMO</w:t>
      </w:r>
      <w:r w:rsidR="00510ECE" w:rsidRPr="007740EF">
        <w:rPr>
          <w:rFonts w:ascii="Arial" w:hAnsi="Arial" w:cs="Arial"/>
          <w:b/>
          <w:color w:val="2E74B5" w:themeColor="accent1" w:themeShade="BF"/>
          <w:sz w:val="24"/>
          <w:szCs w:val="24"/>
        </w:rPr>
        <w:t>. Estudio de los agravios</w:t>
      </w:r>
      <w:r w:rsidR="00510ECE" w:rsidRPr="007740EF">
        <w:rPr>
          <w:rFonts w:ascii="Arial" w:hAnsi="Arial" w:cs="Arial"/>
          <w:color w:val="2E74B5" w:themeColor="accent1" w:themeShade="BF"/>
          <w:sz w:val="24"/>
          <w:szCs w:val="24"/>
        </w:rPr>
        <w:t xml:space="preserve">.  </w:t>
      </w:r>
    </w:p>
    <w:p w:rsidR="00510ECE" w:rsidRPr="007740EF" w:rsidRDefault="00510ECE" w:rsidP="001E7B64">
      <w:pPr>
        <w:pStyle w:val="corte4fondo"/>
        <w:spacing w:line="276" w:lineRule="auto"/>
        <w:rPr>
          <w:rFonts w:cs="Arial"/>
          <w:color w:val="2E74B5" w:themeColor="accent1" w:themeShade="BF"/>
          <w:sz w:val="24"/>
          <w:szCs w:val="24"/>
        </w:rPr>
      </w:pPr>
    </w:p>
    <w:p w:rsidR="00510ECE" w:rsidRPr="007740EF" w:rsidRDefault="007740EF" w:rsidP="001E7B64">
      <w:pPr>
        <w:pStyle w:val="corte4fondo"/>
        <w:spacing w:line="276" w:lineRule="auto"/>
        <w:ind w:firstLine="0"/>
        <w:rPr>
          <w:rFonts w:cs="Arial"/>
          <w:color w:val="2E74B5" w:themeColor="accent1" w:themeShade="BF"/>
          <w:sz w:val="24"/>
          <w:szCs w:val="24"/>
        </w:rPr>
      </w:pPr>
      <w:r w:rsidRPr="007740EF">
        <w:rPr>
          <w:rFonts w:cs="Arial"/>
          <w:b/>
          <w:color w:val="2E74B5" w:themeColor="accent1" w:themeShade="BF"/>
          <w:sz w:val="24"/>
          <w:szCs w:val="24"/>
        </w:rPr>
        <w:t>7</w:t>
      </w:r>
      <w:r w:rsidR="00510ECE" w:rsidRPr="007740EF">
        <w:rPr>
          <w:rFonts w:cs="Arial"/>
          <w:b/>
          <w:color w:val="2E74B5" w:themeColor="accent1" w:themeShade="BF"/>
          <w:sz w:val="24"/>
          <w:szCs w:val="24"/>
        </w:rPr>
        <w:t>.1. Agravios.</w:t>
      </w:r>
      <w:r w:rsidR="00510ECE" w:rsidRPr="007740EF">
        <w:rPr>
          <w:rFonts w:cs="Arial"/>
          <w:color w:val="2E74B5" w:themeColor="accent1" w:themeShade="BF"/>
          <w:sz w:val="24"/>
          <w:szCs w:val="24"/>
        </w:rPr>
        <w:t xml:space="preserve"> El recurrente expresó como inconformidad:</w:t>
      </w:r>
    </w:p>
    <w:p w:rsidR="00510ECE" w:rsidRPr="007740EF" w:rsidRDefault="00510ECE" w:rsidP="001E7B64">
      <w:pPr>
        <w:pStyle w:val="corte4fondo"/>
        <w:spacing w:line="276" w:lineRule="auto"/>
        <w:rPr>
          <w:rFonts w:cs="Arial"/>
          <w:color w:val="2E74B5" w:themeColor="accent1" w:themeShade="BF"/>
          <w:sz w:val="24"/>
          <w:szCs w:val="24"/>
        </w:rPr>
      </w:pPr>
    </w:p>
    <w:p w:rsidR="00D5308A" w:rsidRPr="007740EF" w:rsidRDefault="00510ECE" w:rsidP="001E7B64">
      <w:pPr>
        <w:pStyle w:val="corte4fondo"/>
        <w:spacing w:line="276" w:lineRule="auto"/>
        <w:ind w:firstLine="0"/>
        <w:rPr>
          <w:rFonts w:cs="Arial"/>
          <w:i/>
          <w:color w:val="2E74B5" w:themeColor="accent1" w:themeShade="BF"/>
          <w:sz w:val="20"/>
        </w:rPr>
      </w:pPr>
      <w:r w:rsidRPr="007740EF">
        <w:rPr>
          <w:rFonts w:cs="Arial"/>
          <w:i/>
          <w:color w:val="2E74B5" w:themeColor="accent1" w:themeShade="BF"/>
          <w:sz w:val="20"/>
        </w:rPr>
        <w:t>“…</w:t>
      </w:r>
      <w:r w:rsidR="00D5308A" w:rsidRPr="007740EF">
        <w:rPr>
          <w:rFonts w:cs="Arial"/>
          <w:i/>
          <w:color w:val="2E74B5" w:themeColor="accent1" w:themeShade="BF"/>
          <w:sz w:val="20"/>
        </w:rPr>
        <w:t>La fundamentación y motivación en la respuesta- copia certificada es deficiente e insuficiente</w:t>
      </w:r>
      <w:r w:rsidRPr="007740EF">
        <w:rPr>
          <w:rFonts w:cs="Arial"/>
          <w:i/>
          <w:color w:val="2E74B5" w:themeColor="accent1" w:themeShade="BF"/>
          <w:sz w:val="20"/>
        </w:rPr>
        <w:t xml:space="preserve">…”  </w:t>
      </w:r>
    </w:p>
    <w:p w:rsidR="00D5308A" w:rsidRPr="007740EF" w:rsidRDefault="00D5308A" w:rsidP="001E7B64">
      <w:pPr>
        <w:pStyle w:val="corte4fondo"/>
        <w:spacing w:line="276" w:lineRule="auto"/>
        <w:ind w:firstLine="0"/>
        <w:rPr>
          <w:rFonts w:cs="Arial"/>
          <w:i/>
          <w:color w:val="2E74B5" w:themeColor="accent1" w:themeShade="BF"/>
          <w:sz w:val="20"/>
        </w:rPr>
      </w:pPr>
    </w:p>
    <w:p w:rsidR="00510ECE" w:rsidRPr="007740EF" w:rsidRDefault="00D05130" w:rsidP="001E7B64">
      <w:pPr>
        <w:pStyle w:val="corte4fondo"/>
        <w:spacing w:line="276" w:lineRule="auto"/>
        <w:ind w:firstLine="0"/>
        <w:rPr>
          <w:rFonts w:cs="Arial"/>
          <w:i/>
          <w:color w:val="2E74B5" w:themeColor="accent1" w:themeShade="BF"/>
          <w:sz w:val="20"/>
        </w:rPr>
      </w:pPr>
      <w:r w:rsidRPr="007740EF">
        <w:rPr>
          <w:rFonts w:cs="Arial"/>
          <w:i/>
          <w:color w:val="2E74B5" w:themeColor="accent1" w:themeShade="BF"/>
          <w:sz w:val="20"/>
        </w:rPr>
        <w:t>“…</w:t>
      </w:r>
      <w:r w:rsidR="00D5308A" w:rsidRPr="007740EF">
        <w:rPr>
          <w:rFonts w:cs="Arial"/>
          <w:i/>
          <w:color w:val="2E74B5" w:themeColor="accent1" w:themeShade="BF"/>
          <w:sz w:val="20"/>
        </w:rPr>
        <w:t xml:space="preserve">El </w:t>
      </w:r>
      <w:r w:rsidR="0078108E" w:rsidRPr="007740EF">
        <w:rPr>
          <w:rFonts w:cs="Arial"/>
          <w:i/>
          <w:color w:val="2E74B5" w:themeColor="accent1" w:themeShade="BF"/>
          <w:sz w:val="20"/>
        </w:rPr>
        <w:t>suscrito NO ESTOY CONFORME NI SATISFECHO,</w:t>
      </w:r>
      <w:r w:rsidR="00D5308A" w:rsidRPr="007740EF">
        <w:rPr>
          <w:rFonts w:cs="Arial"/>
          <w:i/>
          <w:color w:val="2E74B5" w:themeColor="accent1" w:themeShade="BF"/>
          <w:sz w:val="20"/>
        </w:rPr>
        <w:t xml:space="preserve"> con la </w:t>
      </w:r>
      <w:r w:rsidR="0078108E" w:rsidRPr="007740EF">
        <w:rPr>
          <w:rFonts w:cs="Arial"/>
          <w:i/>
          <w:color w:val="2E74B5" w:themeColor="accent1" w:themeShade="BF"/>
          <w:sz w:val="20"/>
        </w:rPr>
        <w:t>CERTIFICACIÓN</w:t>
      </w:r>
      <w:r w:rsidR="00D5308A" w:rsidRPr="007740EF">
        <w:rPr>
          <w:rFonts w:cs="Arial"/>
          <w:i/>
          <w:color w:val="2E74B5" w:themeColor="accent1" w:themeShade="BF"/>
          <w:sz w:val="20"/>
        </w:rPr>
        <w:t xml:space="preserve"> de los </w:t>
      </w:r>
      <w:r w:rsidR="0078108E" w:rsidRPr="007740EF">
        <w:rPr>
          <w:rFonts w:cs="Arial"/>
          <w:i/>
          <w:color w:val="2E74B5" w:themeColor="accent1" w:themeShade="BF"/>
          <w:sz w:val="20"/>
        </w:rPr>
        <w:t xml:space="preserve">SEIS (6) LISTADOS </w:t>
      </w:r>
      <w:r w:rsidR="00D5308A" w:rsidRPr="007740EF">
        <w:rPr>
          <w:rFonts w:cs="Arial"/>
          <w:i/>
          <w:color w:val="2E74B5" w:themeColor="accent1" w:themeShade="BF"/>
          <w:sz w:val="20"/>
        </w:rPr>
        <w:t xml:space="preserve">y que en total son 21 </w:t>
      </w:r>
      <w:r w:rsidR="0078108E" w:rsidRPr="007740EF">
        <w:rPr>
          <w:rFonts w:cs="Arial"/>
          <w:i/>
          <w:color w:val="2E74B5" w:themeColor="accent1" w:themeShade="BF"/>
          <w:sz w:val="20"/>
        </w:rPr>
        <w:t>Veintiuna fojas</w:t>
      </w:r>
      <w:r w:rsidR="00D5308A" w:rsidRPr="007740EF">
        <w:rPr>
          <w:rFonts w:cs="Arial"/>
          <w:i/>
          <w:color w:val="2E74B5" w:themeColor="accent1" w:themeShade="BF"/>
          <w:sz w:val="20"/>
        </w:rPr>
        <w:t xml:space="preserve">, debido al fundamento que escribe en la </w:t>
      </w:r>
      <w:r w:rsidR="0078108E" w:rsidRPr="007740EF">
        <w:rPr>
          <w:rFonts w:cs="Arial"/>
          <w:i/>
          <w:color w:val="2E74B5" w:themeColor="accent1" w:themeShade="BF"/>
          <w:sz w:val="20"/>
        </w:rPr>
        <w:t>CERTIFICACIÓN</w:t>
      </w:r>
      <w:r w:rsidR="00D5308A" w:rsidRPr="007740EF">
        <w:rPr>
          <w:rFonts w:cs="Arial"/>
          <w:i/>
          <w:color w:val="2E74B5" w:themeColor="accent1" w:themeShade="BF"/>
          <w:sz w:val="20"/>
        </w:rPr>
        <w:t xml:space="preserve">, dice: </w:t>
      </w:r>
      <w:r w:rsidR="0078108E" w:rsidRPr="007740EF">
        <w:rPr>
          <w:rFonts w:cs="Arial"/>
          <w:i/>
          <w:color w:val="2E74B5" w:themeColor="accent1" w:themeShade="BF"/>
          <w:sz w:val="20"/>
        </w:rPr>
        <w:t xml:space="preserve">QUE ES DE CONFORMIDAD CON EL CON EL CRITERIO 002-2009 </w:t>
      </w:r>
      <w:r w:rsidR="00D5308A" w:rsidRPr="007740EF">
        <w:rPr>
          <w:rFonts w:cs="Arial"/>
          <w:i/>
          <w:color w:val="2E74B5" w:themeColor="accent1" w:themeShade="BF"/>
          <w:sz w:val="20"/>
        </w:rPr>
        <w:t xml:space="preserve">del </w:t>
      </w:r>
      <w:r w:rsidR="0078108E" w:rsidRPr="007740EF">
        <w:rPr>
          <w:rFonts w:cs="Arial"/>
          <w:i/>
          <w:color w:val="2E74B5" w:themeColor="accent1" w:themeShade="BF"/>
          <w:sz w:val="20"/>
        </w:rPr>
        <w:lastRenderedPageBreak/>
        <w:t>IFAI, porque el I</w:t>
      </w:r>
      <w:r w:rsidR="00D5308A" w:rsidRPr="007740EF">
        <w:rPr>
          <w:rFonts w:cs="Arial"/>
          <w:i/>
          <w:color w:val="2E74B5" w:themeColor="accent1" w:themeShade="BF"/>
          <w:sz w:val="20"/>
        </w:rPr>
        <w:t xml:space="preserve">nstituto </w:t>
      </w:r>
      <w:r w:rsidR="0078108E" w:rsidRPr="007740EF">
        <w:rPr>
          <w:rFonts w:cs="Arial"/>
          <w:i/>
          <w:color w:val="2E74B5" w:themeColor="accent1" w:themeShade="BF"/>
          <w:sz w:val="20"/>
        </w:rPr>
        <w:t xml:space="preserve">“IFAI” </w:t>
      </w:r>
      <w:r w:rsidR="00D5308A" w:rsidRPr="007740EF">
        <w:rPr>
          <w:rFonts w:cs="Arial"/>
          <w:i/>
          <w:color w:val="2E74B5" w:themeColor="accent1" w:themeShade="BF"/>
          <w:sz w:val="20"/>
        </w:rPr>
        <w:t>fue desaparecido hace dos años (2</w:t>
      </w:r>
      <w:r w:rsidR="0078108E" w:rsidRPr="007740EF">
        <w:rPr>
          <w:rFonts w:cs="Arial"/>
          <w:i/>
          <w:color w:val="2E74B5" w:themeColor="accent1" w:themeShade="BF"/>
          <w:sz w:val="20"/>
        </w:rPr>
        <w:t>) y</w:t>
      </w:r>
      <w:r w:rsidR="00D5308A" w:rsidRPr="007740EF">
        <w:rPr>
          <w:rFonts w:cs="Arial"/>
          <w:i/>
          <w:color w:val="2E74B5" w:themeColor="accent1" w:themeShade="BF"/>
          <w:sz w:val="20"/>
        </w:rPr>
        <w:t xml:space="preserve"> la Ley federal fue </w:t>
      </w:r>
      <w:r w:rsidR="0078108E" w:rsidRPr="007740EF">
        <w:rPr>
          <w:rFonts w:cs="Arial"/>
          <w:i/>
          <w:color w:val="2E74B5" w:themeColor="accent1" w:themeShade="BF"/>
          <w:sz w:val="20"/>
        </w:rPr>
        <w:t>DEROGADA</w:t>
      </w:r>
      <w:r w:rsidR="00D5308A" w:rsidRPr="007740EF">
        <w:rPr>
          <w:rFonts w:cs="Arial"/>
          <w:i/>
          <w:color w:val="2E74B5" w:themeColor="accent1" w:themeShade="BF"/>
          <w:sz w:val="20"/>
        </w:rPr>
        <w:t xml:space="preserve"> HOY EXISTE UN INSTITUTO </w:t>
      </w:r>
      <w:r w:rsidR="0078108E" w:rsidRPr="007740EF">
        <w:rPr>
          <w:rFonts w:cs="Arial"/>
          <w:i/>
          <w:color w:val="2E74B5" w:themeColor="accent1" w:themeShade="BF"/>
          <w:sz w:val="20"/>
        </w:rPr>
        <w:t>NACIONAL “INAI” Y UNA LEY GENERAL VIGENTES</w:t>
      </w:r>
      <w:r w:rsidRPr="007740EF">
        <w:rPr>
          <w:rFonts w:cs="Arial"/>
          <w:i/>
          <w:color w:val="2E74B5" w:themeColor="accent1" w:themeShade="BF"/>
          <w:sz w:val="20"/>
        </w:rPr>
        <w:t>…”</w:t>
      </w:r>
      <w:r w:rsidR="0078108E" w:rsidRPr="007740EF">
        <w:rPr>
          <w:rFonts w:cs="Arial"/>
          <w:i/>
          <w:color w:val="2E74B5" w:themeColor="accent1" w:themeShade="BF"/>
          <w:sz w:val="20"/>
        </w:rPr>
        <w:t xml:space="preserve"> (</w:t>
      </w:r>
      <w:r w:rsidR="00510ECE" w:rsidRPr="007740EF">
        <w:rPr>
          <w:rFonts w:cs="Arial"/>
          <w:i/>
          <w:color w:val="2E74B5" w:themeColor="accent1" w:themeShade="BF"/>
          <w:sz w:val="20"/>
        </w:rPr>
        <w:t>Sic)</w:t>
      </w:r>
    </w:p>
    <w:p w:rsidR="00510ECE" w:rsidRPr="007740EF" w:rsidRDefault="00510ECE" w:rsidP="001E7B64">
      <w:pPr>
        <w:pStyle w:val="corte4fondo"/>
        <w:spacing w:line="276" w:lineRule="auto"/>
        <w:ind w:firstLine="0"/>
        <w:rPr>
          <w:rFonts w:cs="Arial"/>
          <w:i/>
          <w:color w:val="2E74B5" w:themeColor="accent1" w:themeShade="BF"/>
          <w:sz w:val="20"/>
        </w:rPr>
      </w:pPr>
    </w:p>
    <w:p w:rsidR="0066644B" w:rsidRPr="007740EF" w:rsidRDefault="0066644B" w:rsidP="001E7B64">
      <w:pPr>
        <w:pStyle w:val="corte4fondo"/>
        <w:spacing w:line="276" w:lineRule="auto"/>
        <w:ind w:firstLine="0"/>
        <w:rPr>
          <w:rFonts w:cs="Arial"/>
          <w:color w:val="2E74B5" w:themeColor="accent1" w:themeShade="BF"/>
          <w:sz w:val="24"/>
          <w:szCs w:val="24"/>
        </w:rPr>
      </w:pPr>
      <w:r w:rsidRPr="007740EF">
        <w:rPr>
          <w:rFonts w:cs="Arial"/>
          <w:b/>
          <w:color w:val="2E74B5" w:themeColor="accent1" w:themeShade="BF"/>
          <w:sz w:val="24"/>
          <w:szCs w:val="24"/>
        </w:rPr>
        <w:t>7.1.1. Agravios infundados</w:t>
      </w:r>
      <w:r w:rsidRPr="007740EF">
        <w:rPr>
          <w:rFonts w:cs="Arial"/>
          <w:color w:val="2E74B5" w:themeColor="accent1" w:themeShade="BF"/>
          <w:sz w:val="24"/>
          <w:szCs w:val="24"/>
        </w:rPr>
        <w:t>.</w:t>
      </w:r>
    </w:p>
    <w:p w:rsidR="00384BC7" w:rsidRPr="007740EF" w:rsidRDefault="00384BC7" w:rsidP="001E7B64">
      <w:pPr>
        <w:pStyle w:val="corte4fondo"/>
        <w:spacing w:line="276" w:lineRule="auto"/>
        <w:ind w:firstLine="0"/>
        <w:rPr>
          <w:rFonts w:cs="Arial"/>
          <w:color w:val="2E74B5" w:themeColor="accent1" w:themeShade="BF"/>
          <w:sz w:val="24"/>
          <w:szCs w:val="24"/>
        </w:rPr>
      </w:pPr>
    </w:p>
    <w:p w:rsidR="00B753AD" w:rsidRPr="007740EF" w:rsidRDefault="00384BC7" w:rsidP="001E7B64">
      <w:pPr>
        <w:pStyle w:val="corte4fondo"/>
        <w:spacing w:line="276" w:lineRule="auto"/>
        <w:ind w:firstLine="708"/>
        <w:rPr>
          <w:rFonts w:cs="Arial"/>
          <w:color w:val="2E74B5" w:themeColor="accent1" w:themeShade="BF"/>
          <w:sz w:val="24"/>
          <w:szCs w:val="24"/>
        </w:rPr>
      </w:pPr>
      <w:r w:rsidRPr="007740EF">
        <w:rPr>
          <w:rFonts w:cs="Arial"/>
          <w:color w:val="2E74B5" w:themeColor="accent1" w:themeShade="BF"/>
          <w:sz w:val="24"/>
          <w:szCs w:val="24"/>
        </w:rPr>
        <w:t>Como se ve, el recurrente no se inconforma por la entrega de la información en sí, sino aduce cuestiones sobre la fundamentación y motivación en los documentos</w:t>
      </w:r>
      <w:r w:rsidR="00B753AD" w:rsidRPr="007740EF">
        <w:rPr>
          <w:rFonts w:cs="Arial"/>
          <w:color w:val="2E74B5" w:themeColor="accent1" w:themeShade="BF"/>
          <w:sz w:val="24"/>
          <w:szCs w:val="24"/>
        </w:rPr>
        <w:t xml:space="preserve"> que le fueron entregados, es decir, le fue puesta a disposición a través del oficio DG-1309/2016-2017 en donde el </w:t>
      </w:r>
      <w:r w:rsidR="00B753AD" w:rsidRPr="007740EF">
        <w:rPr>
          <w:rFonts w:cs="Arial"/>
          <w:b/>
          <w:color w:val="2E74B5" w:themeColor="accent1" w:themeShade="BF"/>
          <w:sz w:val="24"/>
          <w:szCs w:val="24"/>
        </w:rPr>
        <w:t>DIRECTOR DE LA BECENE</w:t>
      </w:r>
      <w:r w:rsidR="00B753AD" w:rsidRPr="007740EF">
        <w:rPr>
          <w:rFonts w:cs="Arial"/>
          <w:color w:val="2E74B5" w:themeColor="accent1" w:themeShade="BF"/>
          <w:sz w:val="24"/>
          <w:szCs w:val="24"/>
        </w:rPr>
        <w:t xml:space="preserve"> dijo poner a disposición 06 seis listados de los servidores públicos de la Benemérita y Centenaria Escuela Normal del Estado que cuentan con 40 cuarenta y 48 cuarenta y ocho horas, tiempo completo, sean estas propias e interinas, lo anterior de los semestres par e impar de los ciclos escolares: 2014-2015, 2015-2016 y 2017-2018 información de la cual emana un total de 21 veintiún fojas</w:t>
      </w:r>
      <w:r w:rsidR="00B753AD" w:rsidRPr="007740EF">
        <w:rPr>
          <w:rStyle w:val="Refdenotaalpie"/>
          <w:rFonts w:eastAsia="Calibri" w:cs="Arial"/>
          <w:color w:val="2E74B5" w:themeColor="accent1" w:themeShade="BF"/>
          <w:sz w:val="24"/>
          <w:szCs w:val="24"/>
        </w:rPr>
        <w:footnoteReference w:id="3"/>
      </w:r>
      <w:r w:rsidR="00B753AD" w:rsidRPr="007740EF">
        <w:rPr>
          <w:rFonts w:cs="Arial"/>
          <w:color w:val="2E74B5" w:themeColor="accent1" w:themeShade="BF"/>
          <w:sz w:val="24"/>
          <w:szCs w:val="24"/>
        </w:rPr>
        <w:t>.</w:t>
      </w:r>
    </w:p>
    <w:p w:rsidR="00B753AD" w:rsidRPr="007740EF" w:rsidRDefault="00B753AD" w:rsidP="001E7B64">
      <w:pPr>
        <w:pStyle w:val="corte4fondo"/>
        <w:spacing w:line="276" w:lineRule="auto"/>
        <w:ind w:firstLine="708"/>
        <w:rPr>
          <w:rFonts w:cs="Arial"/>
          <w:color w:val="2E74B5" w:themeColor="accent1" w:themeShade="BF"/>
          <w:sz w:val="24"/>
          <w:szCs w:val="24"/>
        </w:rPr>
      </w:pPr>
    </w:p>
    <w:p w:rsidR="00802EEF" w:rsidRPr="007740EF" w:rsidRDefault="003D7E1C" w:rsidP="001E7B64">
      <w:pPr>
        <w:pStyle w:val="corte4fondo"/>
        <w:spacing w:line="276" w:lineRule="auto"/>
        <w:ind w:firstLine="708"/>
        <w:rPr>
          <w:rFonts w:cs="Arial"/>
          <w:color w:val="2E74B5" w:themeColor="accent1" w:themeShade="BF"/>
          <w:sz w:val="24"/>
          <w:szCs w:val="24"/>
        </w:rPr>
      </w:pPr>
      <w:r w:rsidRPr="007740EF">
        <w:rPr>
          <w:rFonts w:cs="Arial"/>
          <w:color w:val="2E74B5" w:themeColor="accent1" w:themeShade="BF"/>
          <w:sz w:val="24"/>
          <w:szCs w:val="24"/>
        </w:rPr>
        <w:t>Cabe señalar que</w:t>
      </w:r>
      <w:r w:rsidR="0089263F">
        <w:rPr>
          <w:rFonts w:cs="Arial"/>
          <w:color w:val="2E74B5" w:themeColor="accent1" w:themeShade="BF"/>
          <w:sz w:val="24"/>
          <w:szCs w:val="24"/>
        </w:rPr>
        <w:t>,</w:t>
      </w:r>
      <w:r w:rsidRPr="007740EF">
        <w:rPr>
          <w:rFonts w:cs="Arial"/>
          <w:color w:val="2E74B5" w:themeColor="accent1" w:themeShade="BF"/>
          <w:sz w:val="24"/>
          <w:szCs w:val="24"/>
        </w:rPr>
        <w:t xml:space="preserve"> ciertamente </w:t>
      </w:r>
      <w:r w:rsidR="00B753AD" w:rsidRPr="007740EF">
        <w:rPr>
          <w:rFonts w:cs="Arial"/>
          <w:color w:val="2E74B5" w:themeColor="accent1" w:themeShade="BF"/>
          <w:sz w:val="24"/>
          <w:szCs w:val="24"/>
        </w:rPr>
        <w:t>la Benemérita y Centenaria Escuela Normal del Estado</w:t>
      </w:r>
      <w:r w:rsidRPr="007740EF">
        <w:rPr>
          <w:rFonts w:cs="Arial"/>
          <w:color w:val="2E74B5" w:themeColor="accent1" w:themeShade="BF"/>
          <w:sz w:val="24"/>
          <w:szCs w:val="24"/>
        </w:rPr>
        <w:t xml:space="preserve"> invocó el criterio 002/2009 emitido por el IFAI, empero aún y cuando a la fecha es el Instituto Nacional de </w:t>
      </w:r>
      <w:r w:rsidR="00802EEF" w:rsidRPr="007740EF">
        <w:rPr>
          <w:rFonts w:cs="Arial"/>
          <w:color w:val="2E74B5" w:themeColor="accent1" w:themeShade="BF"/>
          <w:sz w:val="24"/>
          <w:szCs w:val="24"/>
        </w:rPr>
        <w:t>Transparencia Acceso</w:t>
      </w:r>
      <w:r w:rsidRPr="007740EF">
        <w:rPr>
          <w:rFonts w:cs="Arial"/>
          <w:color w:val="2E74B5" w:themeColor="accent1" w:themeShade="BF"/>
          <w:sz w:val="24"/>
          <w:szCs w:val="24"/>
        </w:rPr>
        <w:t xml:space="preserve"> a la Infor</w:t>
      </w:r>
      <w:r w:rsidR="0089263F">
        <w:rPr>
          <w:rFonts w:cs="Arial"/>
          <w:color w:val="2E74B5" w:themeColor="accent1" w:themeShade="BF"/>
          <w:sz w:val="24"/>
          <w:szCs w:val="24"/>
        </w:rPr>
        <w:t>mación Pública y Protección de D</w:t>
      </w:r>
      <w:r w:rsidRPr="007740EF">
        <w:rPr>
          <w:rFonts w:cs="Arial"/>
          <w:color w:val="2E74B5" w:themeColor="accent1" w:themeShade="BF"/>
          <w:sz w:val="24"/>
          <w:szCs w:val="24"/>
        </w:rPr>
        <w:t>atos Personales, dicho criterio se enuncia de manera correcta en virtud de que se encuentra publicado en la página oficial del ahora Instituto antes referido</w:t>
      </w:r>
      <w:r w:rsidR="0089263F">
        <w:rPr>
          <w:rFonts w:cs="Arial"/>
          <w:color w:val="2E74B5" w:themeColor="accent1" w:themeShade="BF"/>
          <w:sz w:val="24"/>
          <w:szCs w:val="24"/>
        </w:rPr>
        <w:t>,</w:t>
      </w:r>
      <w:r w:rsidR="00802EEF" w:rsidRPr="007740EF">
        <w:rPr>
          <w:rFonts w:cs="Arial"/>
          <w:color w:val="2E74B5" w:themeColor="accent1" w:themeShade="BF"/>
          <w:sz w:val="24"/>
          <w:szCs w:val="24"/>
        </w:rPr>
        <w:t xml:space="preserve"> toda vez que aún y cuando se encuentra en los criterios Históricos por ser formulado entre los años 2009 al 2014, con fundamento en la abrogada Ley Federal de Trasparencia y Acceso a la Información Pública  Gubernamental, </w:t>
      </w:r>
      <w:r w:rsidR="0089263F">
        <w:rPr>
          <w:rFonts w:cs="Arial"/>
          <w:color w:val="2E74B5" w:themeColor="accent1" w:themeShade="BF"/>
          <w:sz w:val="24"/>
          <w:szCs w:val="24"/>
        </w:rPr>
        <w:t>el mismo tiene validez</w:t>
      </w:r>
      <w:r w:rsidR="00802EEF" w:rsidRPr="007740EF">
        <w:rPr>
          <w:rFonts w:cs="Arial"/>
          <w:color w:val="2E74B5" w:themeColor="accent1" w:themeShade="BF"/>
          <w:sz w:val="24"/>
          <w:szCs w:val="24"/>
        </w:rPr>
        <w:t xml:space="preserve">, </w:t>
      </w:r>
      <w:r w:rsidR="0089263F">
        <w:rPr>
          <w:rFonts w:cs="Arial"/>
          <w:color w:val="2E74B5" w:themeColor="accent1" w:themeShade="BF"/>
          <w:sz w:val="24"/>
          <w:szCs w:val="24"/>
        </w:rPr>
        <w:t xml:space="preserve">en virtud de que </w:t>
      </w:r>
      <w:r w:rsidR="00802EEF" w:rsidRPr="007740EF">
        <w:rPr>
          <w:rFonts w:cs="Arial"/>
          <w:color w:val="2E74B5" w:themeColor="accent1" w:themeShade="BF"/>
          <w:sz w:val="24"/>
          <w:szCs w:val="24"/>
        </w:rPr>
        <w:t>el Pleno no</w:t>
      </w:r>
      <w:r w:rsidR="0089263F">
        <w:rPr>
          <w:rFonts w:cs="Arial"/>
          <w:color w:val="2E74B5" w:themeColor="accent1" w:themeShade="BF"/>
          <w:sz w:val="24"/>
          <w:szCs w:val="24"/>
        </w:rPr>
        <w:t xml:space="preserve"> lo</w:t>
      </w:r>
      <w:r w:rsidR="00802EEF" w:rsidRPr="007740EF">
        <w:rPr>
          <w:rFonts w:cs="Arial"/>
          <w:color w:val="2E74B5" w:themeColor="accent1" w:themeShade="BF"/>
          <w:sz w:val="24"/>
          <w:szCs w:val="24"/>
        </w:rPr>
        <w:t xml:space="preserve"> ha interrumpido</w:t>
      </w:r>
      <w:r w:rsidR="0089263F">
        <w:rPr>
          <w:rFonts w:cs="Arial"/>
          <w:color w:val="2E74B5" w:themeColor="accent1" w:themeShade="BF"/>
          <w:sz w:val="24"/>
          <w:szCs w:val="24"/>
        </w:rPr>
        <w:t>,</w:t>
      </w:r>
      <w:r w:rsidR="00802EEF" w:rsidRPr="007740EF">
        <w:rPr>
          <w:rFonts w:cs="Arial"/>
          <w:color w:val="2E74B5" w:themeColor="accent1" w:themeShade="BF"/>
          <w:sz w:val="24"/>
          <w:szCs w:val="24"/>
        </w:rPr>
        <w:t xml:space="preserve"> esto es</w:t>
      </w:r>
      <w:r w:rsidR="0089263F">
        <w:rPr>
          <w:rFonts w:cs="Arial"/>
          <w:color w:val="2E74B5" w:themeColor="accent1" w:themeShade="BF"/>
          <w:sz w:val="24"/>
          <w:szCs w:val="24"/>
        </w:rPr>
        <w:t>,</w:t>
      </w:r>
      <w:r w:rsidR="00802EEF" w:rsidRPr="007740EF">
        <w:rPr>
          <w:rFonts w:cs="Arial"/>
          <w:color w:val="2E74B5" w:themeColor="accent1" w:themeShade="BF"/>
          <w:sz w:val="24"/>
          <w:szCs w:val="24"/>
        </w:rPr>
        <w:t xml:space="preserve"> que no </w:t>
      </w:r>
      <w:r w:rsidR="00E51191" w:rsidRPr="007740EF">
        <w:rPr>
          <w:rFonts w:cs="Arial"/>
          <w:color w:val="2E74B5" w:themeColor="accent1" w:themeShade="BF"/>
          <w:sz w:val="24"/>
          <w:szCs w:val="24"/>
        </w:rPr>
        <w:t>deba utilizarse por haber cambiado el razonamiento, tan es así</w:t>
      </w:r>
      <w:r w:rsidR="0089263F">
        <w:rPr>
          <w:rFonts w:cs="Arial"/>
          <w:color w:val="2E74B5" w:themeColor="accent1" w:themeShade="BF"/>
          <w:sz w:val="24"/>
          <w:szCs w:val="24"/>
        </w:rPr>
        <w:t>,</w:t>
      </w:r>
      <w:r w:rsidR="00E51191" w:rsidRPr="007740EF">
        <w:rPr>
          <w:rFonts w:cs="Arial"/>
          <w:color w:val="2E74B5" w:themeColor="accent1" w:themeShade="BF"/>
          <w:sz w:val="24"/>
          <w:szCs w:val="24"/>
        </w:rPr>
        <w:t xml:space="preserve"> que no ha sido identificado en el Portal </w:t>
      </w:r>
      <w:r w:rsidR="0089263F">
        <w:rPr>
          <w:rFonts w:cs="Arial"/>
          <w:color w:val="2E74B5" w:themeColor="accent1" w:themeShade="BF"/>
          <w:sz w:val="24"/>
          <w:szCs w:val="24"/>
        </w:rPr>
        <w:t xml:space="preserve">del INAI </w:t>
      </w:r>
      <w:r w:rsidR="00E51191" w:rsidRPr="007740EF">
        <w:rPr>
          <w:rFonts w:cs="Arial"/>
          <w:color w:val="2E74B5" w:themeColor="accent1" w:themeShade="BF"/>
          <w:sz w:val="24"/>
          <w:szCs w:val="24"/>
        </w:rPr>
        <w:t>con el título en resaltado en rojo</w:t>
      </w:r>
      <w:r w:rsidR="00A3500D" w:rsidRPr="007740EF">
        <w:rPr>
          <w:rFonts w:cs="Arial"/>
          <w:color w:val="2E74B5" w:themeColor="accent1" w:themeShade="BF"/>
          <w:sz w:val="24"/>
          <w:szCs w:val="24"/>
        </w:rPr>
        <w:t>.</w:t>
      </w:r>
    </w:p>
    <w:p w:rsidR="00A3500D" w:rsidRPr="007740EF" w:rsidRDefault="00A3500D" w:rsidP="001E7B64">
      <w:pPr>
        <w:pStyle w:val="corte4fondo"/>
        <w:spacing w:line="276" w:lineRule="auto"/>
        <w:ind w:firstLine="708"/>
        <w:rPr>
          <w:rFonts w:cs="Arial"/>
          <w:color w:val="2E74B5" w:themeColor="accent1" w:themeShade="BF"/>
          <w:sz w:val="24"/>
          <w:szCs w:val="24"/>
        </w:rPr>
      </w:pPr>
    </w:p>
    <w:p w:rsidR="0066644B" w:rsidRPr="007740EF" w:rsidRDefault="00770DF7" w:rsidP="001E7B64">
      <w:pPr>
        <w:pStyle w:val="corte4fondo"/>
        <w:spacing w:line="276" w:lineRule="auto"/>
        <w:ind w:firstLine="708"/>
        <w:rPr>
          <w:rFonts w:cs="Arial"/>
          <w:color w:val="2E74B5" w:themeColor="accent1" w:themeShade="BF"/>
          <w:sz w:val="24"/>
          <w:szCs w:val="24"/>
        </w:rPr>
      </w:pPr>
      <w:r w:rsidRPr="007740EF">
        <w:rPr>
          <w:rFonts w:cs="Arial"/>
          <w:color w:val="2E74B5" w:themeColor="accent1" w:themeShade="BF"/>
          <w:sz w:val="24"/>
          <w:szCs w:val="24"/>
        </w:rPr>
        <w:t xml:space="preserve">De ahí que sea infundado el agravio, porque </w:t>
      </w:r>
      <w:r w:rsidR="00A3500D" w:rsidRPr="007740EF">
        <w:rPr>
          <w:rFonts w:cs="Arial"/>
          <w:color w:val="2E74B5" w:themeColor="accent1" w:themeShade="BF"/>
          <w:sz w:val="24"/>
          <w:szCs w:val="24"/>
        </w:rPr>
        <w:t xml:space="preserve">resulta un hecho notorio para esta </w:t>
      </w:r>
      <w:r w:rsidRPr="007740EF">
        <w:rPr>
          <w:rFonts w:cs="Arial"/>
          <w:color w:val="2E74B5" w:themeColor="accent1" w:themeShade="BF"/>
          <w:sz w:val="24"/>
          <w:szCs w:val="24"/>
        </w:rPr>
        <w:t>Comisión</w:t>
      </w:r>
      <w:r w:rsidR="00A3500D" w:rsidRPr="007740EF">
        <w:rPr>
          <w:rFonts w:cs="Arial"/>
          <w:color w:val="2E74B5" w:themeColor="accent1" w:themeShade="BF"/>
          <w:sz w:val="24"/>
          <w:szCs w:val="24"/>
        </w:rPr>
        <w:t xml:space="preserve"> que </w:t>
      </w:r>
      <w:r w:rsidRPr="007740EF">
        <w:rPr>
          <w:rFonts w:cs="Arial"/>
          <w:color w:val="2E74B5" w:themeColor="accent1" w:themeShade="BF"/>
          <w:sz w:val="24"/>
          <w:szCs w:val="24"/>
        </w:rPr>
        <w:t xml:space="preserve">la autoridad aplicó </w:t>
      </w:r>
      <w:r w:rsidR="00A3500D" w:rsidRPr="007740EF">
        <w:rPr>
          <w:rFonts w:cs="Arial"/>
          <w:color w:val="2E74B5" w:themeColor="accent1" w:themeShade="BF"/>
          <w:sz w:val="24"/>
          <w:szCs w:val="24"/>
        </w:rPr>
        <w:t xml:space="preserve">dicho criterio </w:t>
      </w:r>
      <w:r w:rsidRPr="007740EF">
        <w:rPr>
          <w:rFonts w:cs="Arial"/>
          <w:color w:val="2E74B5" w:themeColor="accent1" w:themeShade="BF"/>
          <w:sz w:val="24"/>
          <w:szCs w:val="24"/>
        </w:rPr>
        <w:t>por analogía.</w:t>
      </w:r>
      <w:r w:rsidR="0066644B" w:rsidRPr="007740EF">
        <w:rPr>
          <w:rFonts w:cs="Arial"/>
          <w:color w:val="2E74B5" w:themeColor="accent1" w:themeShade="BF"/>
          <w:sz w:val="24"/>
          <w:szCs w:val="24"/>
        </w:rPr>
        <w:t xml:space="preserve"> </w:t>
      </w:r>
    </w:p>
    <w:p w:rsidR="00BE008F" w:rsidRPr="007740EF" w:rsidRDefault="00BE008F" w:rsidP="001E7B64">
      <w:pPr>
        <w:pStyle w:val="corte4fondo"/>
        <w:spacing w:line="276" w:lineRule="auto"/>
        <w:ind w:firstLine="708"/>
        <w:rPr>
          <w:rFonts w:cs="Arial"/>
          <w:color w:val="2E74B5" w:themeColor="accent1" w:themeShade="BF"/>
          <w:sz w:val="24"/>
          <w:szCs w:val="24"/>
        </w:rPr>
      </w:pPr>
    </w:p>
    <w:p w:rsidR="002278B6" w:rsidRDefault="002278B6" w:rsidP="001E7B64">
      <w:pPr>
        <w:pStyle w:val="corte4fondo"/>
        <w:spacing w:line="276" w:lineRule="auto"/>
        <w:ind w:firstLine="708"/>
        <w:rPr>
          <w:rFonts w:cs="Arial"/>
          <w:color w:val="2E74B5" w:themeColor="accent1" w:themeShade="BF"/>
          <w:sz w:val="24"/>
          <w:szCs w:val="24"/>
        </w:rPr>
      </w:pPr>
      <w:r w:rsidRPr="007740EF">
        <w:rPr>
          <w:rFonts w:cs="Arial"/>
          <w:color w:val="2E74B5" w:themeColor="accent1" w:themeShade="BF"/>
          <w:sz w:val="24"/>
          <w:szCs w:val="24"/>
        </w:rPr>
        <w:t>Aunado a lo anterior, no pasa desapercibido para esta Comisión que el mismo particular manifestó una serie de aclaraciones que es como sigue:</w:t>
      </w:r>
    </w:p>
    <w:p w:rsidR="00C77FD0" w:rsidRPr="007740EF" w:rsidRDefault="00C77FD0" w:rsidP="001E7B64">
      <w:pPr>
        <w:pStyle w:val="corte4fondo"/>
        <w:spacing w:line="276" w:lineRule="auto"/>
        <w:ind w:firstLine="708"/>
        <w:rPr>
          <w:rFonts w:cs="Arial"/>
          <w:color w:val="2E74B5" w:themeColor="accent1" w:themeShade="BF"/>
          <w:sz w:val="24"/>
          <w:szCs w:val="24"/>
        </w:rPr>
      </w:pPr>
    </w:p>
    <w:p w:rsidR="002278B6" w:rsidRDefault="00C77FD0" w:rsidP="00C77FD0">
      <w:pPr>
        <w:pStyle w:val="corte4fondo"/>
        <w:spacing w:line="276" w:lineRule="auto"/>
        <w:ind w:firstLine="0"/>
        <w:rPr>
          <w:rFonts w:cs="Arial"/>
          <w:color w:val="2E74B5" w:themeColor="accent1" w:themeShade="BF"/>
          <w:sz w:val="24"/>
          <w:szCs w:val="24"/>
        </w:rPr>
      </w:pPr>
      <w:r>
        <w:rPr>
          <w:rFonts w:cs="Arial"/>
          <w:noProof/>
          <w:color w:val="2E74B5" w:themeColor="accent1" w:themeShade="BF"/>
          <w:sz w:val="24"/>
          <w:szCs w:val="24"/>
        </w:rPr>
        <w:drawing>
          <wp:inline distT="0" distB="0" distL="0" distR="0">
            <wp:extent cx="5610860" cy="1565275"/>
            <wp:effectExtent l="0" t="0" r="889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0860" cy="1565275"/>
                    </a:xfrm>
                    <a:prstGeom prst="rect">
                      <a:avLst/>
                    </a:prstGeom>
                    <a:noFill/>
                    <a:ln>
                      <a:noFill/>
                    </a:ln>
                  </pic:spPr>
                </pic:pic>
              </a:graphicData>
            </a:graphic>
          </wp:inline>
        </w:drawing>
      </w:r>
    </w:p>
    <w:p w:rsidR="00C77FD0" w:rsidRDefault="00C77FD0" w:rsidP="00C77FD0">
      <w:pPr>
        <w:pStyle w:val="corte4fondo"/>
        <w:spacing w:line="276" w:lineRule="auto"/>
        <w:ind w:firstLine="0"/>
        <w:rPr>
          <w:rFonts w:cs="Arial"/>
          <w:color w:val="2E74B5" w:themeColor="accent1" w:themeShade="BF"/>
          <w:sz w:val="24"/>
          <w:szCs w:val="24"/>
        </w:rPr>
      </w:pPr>
      <w:r>
        <w:rPr>
          <w:rFonts w:cs="Arial"/>
          <w:noProof/>
          <w:color w:val="2E74B5" w:themeColor="accent1" w:themeShade="BF"/>
          <w:sz w:val="24"/>
          <w:szCs w:val="24"/>
        </w:rPr>
        <w:drawing>
          <wp:inline distT="0" distB="0" distL="0" distR="0">
            <wp:extent cx="5610225" cy="657225"/>
            <wp:effectExtent l="0" t="0" r="9525"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0225" cy="657225"/>
                    </a:xfrm>
                    <a:prstGeom prst="rect">
                      <a:avLst/>
                    </a:prstGeom>
                    <a:noFill/>
                    <a:ln>
                      <a:noFill/>
                    </a:ln>
                  </pic:spPr>
                </pic:pic>
              </a:graphicData>
            </a:graphic>
          </wp:inline>
        </w:drawing>
      </w:r>
    </w:p>
    <w:p w:rsidR="00C77FD0" w:rsidRDefault="00C77FD0" w:rsidP="00C77FD0">
      <w:pPr>
        <w:pStyle w:val="corte4fondo"/>
        <w:spacing w:line="276" w:lineRule="auto"/>
        <w:ind w:firstLine="0"/>
        <w:rPr>
          <w:rFonts w:cs="Arial"/>
          <w:color w:val="2E74B5" w:themeColor="accent1" w:themeShade="BF"/>
          <w:sz w:val="24"/>
          <w:szCs w:val="24"/>
        </w:rPr>
      </w:pPr>
      <w:r>
        <w:rPr>
          <w:rFonts w:cs="Arial"/>
          <w:noProof/>
          <w:color w:val="2E74B5" w:themeColor="accent1" w:themeShade="BF"/>
          <w:sz w:val="24"/>
          <w:szCs w:val="24"/>
        </w:rPr>
        <w:lastRenderedPageBreak/>
        <w:drawing>
          <wp:inline distT="0" distB="0" distL="0" distR="0">
            <wp:extent cx="5610860" cy="1214120"/>
            <wp:effectExtent l="0" t="0" r="8890" b="508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0860" cy="1214120"/>
                    </a:xfrm>
                    <a:prstGeom prst="rect">
                      <a:avLst/>
                    </a:prstGeom>
                    <a:noFill/>
                    <a:ln>
                      <a:noFill/>
                    </a:ln>
                  </pic:spPr>
                </pic:pic>
              </a:graphicData>
            </a:graphic>
          </wp:inline>
        </w:drawing>
      </w:r>
    </w:p>
    <w:p w:rsidR="00C77FD0" w:rsidRDefault="00C77FD0" w:rsidP="00C77FD0">
      <w:pPr>
        <w:pStyle w:val="corte4fondo"/>
        <w:spacing w:line="276" w:lineRule="auto"/>
        <w:ind w:firstLine="0"/>
        <w:rPr>
          <w:rFonts w:cs="Arial"/>
          <w:color w:val="2E74B5" w:themeColor="accent1" w:themeShade="BF"/>
          <w:sz w:val="24"/>
          <w:szCs w:val="24"/>
        </w:rPr>
      </w:pPr>
    </w:p>
    <w:p w:rsidR="00C77FD0" w:rsidRDefault="00C77FD0" w:rsidP="00C77FD0">
      <w:pPr>
        <w:pStyle w:val="corte4fondo"/>
        <w:spacing w:line="276" w:lineRule="auto"/>
        <w:ind w:firstLine="0"/>
        <w:rPr>
          <w:rFonts w:cs="Arial"/>
          <w:color w:val="2E74B5" w:themeColor="accent1" w:themeShade="BF"/>
          <w:sz w:val="24"/>
          <w:szCs w:val="24"/>
        </w:rPr>
      </w:pPr>
      <w:r>
        <w:rPr>
          <w:rFonts w:cs="Arial"/>
          <w:noProof/>
          <w:color w:val="2E74B5" w:themeColor="accent1" w:themeShade="BF"/>
          <w:sz w:val="24"/>
          <w:szCs w:val="24"/>
        </w:rPr>
        <w:drawing>
          <wp:inline distT="0" distB="0" distL="0" distR="0">
            <wp:extent cx="5610860" cy="2172335"/>
            <wp:effectExtent l="0" t="0" r="889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0860" cy="2172335"/>
                    </a:xfrm>
                    <a:prstGeom prst="rect">
                      <a:avLst/>
                    </a:prstGeom>
                    <a:noFill/>
                    <a:ln>
                      <a:noFill/>
                    </a:ln>
                  </pic:spPr>
                </pic:pic>
              </a:graphicData>
            </a:graphic>
          </wp:inline>
        </w:drawing>
      </w:r>
    </w:p>
    <w:p w:rsidR="00C77FD0" w:rsidRPr="007740EF" w:rsidRDefault="00C77FD0" w:rsidP="00C77FD0">
      <w:pPr>
        <w:pStyle w:val="corte4fondo"/>
        <w:spacing w:line="276" w:lineRule="auto"/>
        <w:ind w:firstLine="0"/>
        <w:rPr>
          <w:rFonts w:cs="Arial"/>
          <w:color w:val="2E74B5" w:themeColor="accent1" w:themeShade="BF"/>
          <w:sz w:val="24"/>
          <w:szCs w:val="24"/>
        </w:rPr>
      </w:pPr>
    </w:p>
    <w:p w:rsidR="002278B6" w:rsidRPr="007740EF" w:rsidRDefault="002278B6" w:rsidP="001E7B64">
      <w:pPr>
        <w:pStyle w:val="corte4fondo"/>
        <w:spacing w:line="276" w:lineRule="auto"/>
        <w:ind w:firstLine="708"/>
        <w:rPr>
          <w:rFonts w:cs="Arial"/>
          <w:color w:val="2E74B5" w:themeColor="accent1" w:themeShade="BF"/>
          <w:sz w:val="24"/>
          <w:szCs w:val="24"/>
        </w:rPr>
      </w:pPr>
      <w:r w:rsidRPr="007740EF">
        <w:rPr>
          <w:rFonts w:cs="Arial"/>
          <w:color w:val="2E74B5" w:themeColor="accent1" w:themeShade="BF"/>
          <w:sz w:val="24"/>
          <w:szCs w:val="24"/>
        </w:rPr>
        <w:t>En cuanto a su primera aclaración, resulta innecesario</w:t>
      </w:r>
      <w:r w:rsidR="0089263F">
        <w:rPr>
          <w:rFonts w:cs="Arial"/>
          <w:color w:val="2E74B5" w:themeColor="accent1" w:themeShade="BF"/>
          <w:sz w:val="24"/>
          <w:szCs w:val="24"/>
        </w:rPr>
        <w:t xml:space="preserve"> </w:t>
      </w:r>
      <w:r w:rsidRPr="007740EF">
        <w:rPr>
          <w:rFonts w:cs="Arial"/>
          <w:color w:val="2E74B5" w:themeColor="accent1" w:themeShade="BF"/>
          <w:sz w:val="24"/>
          <w:szCs w:val="24"/>
        </w:rPr>
        <w:t>emitir pronunciamiento toda vez</w:t>
      </w:r>
      <w:r w:rsidR="0089263F">
        <w:rPr>
          <w:rFonts w:cs="Arial"/>
          <w:color w:val="2E74B5" w:themeColor="accent1" w:themeShade="BF"/>
          <w:sz w:val="24"/>
          <w:szCs w:val="24"/>
        </w:rPr>
        <w:t xml:space="preserve"> que el propio particular indicó que</w:t>
      </w:r>
      <w:r w:rsidRPr="007740EF">
        <w:rPr>
          <w:rFonts w:cs="Arial"/>
          <w:color w:val="2E74B5" w:themeColor="accent1" w:themeShade="BF"/>
          <w:sz w:val="24"/>
          <w:szCs w:val="24"/>
        </w:rPr>
        <w:t xml:space="preserve"> pres</w:t>
      </w:r>
      <w:r w:rsidR="0089263F">
        <w:rPr>
          <w:rFonts w:cs="Arial"/>
          <w:color w:val="2E74B5" w:themeColor="accent1" w:themeShade="BF"/>
          <w:sz w:val="24"/>
          <w:szCs w:val="24"/>
        </w:rPr>
        <w:t>entara</w:t>
      </w:r>
      <w:r w:rsidRPr="007740EF">
        <w:rPr>
          <w:rFonts w:cs="Arial"/>
          <w:color w:val="2E74B5" w:themeColor="accent1" w:themeShade="BF"/>
          <w:sz w:val="24"/>
          <w:szCs w:val="24"/>
        </w:rPr>
        <w:t xml:space="preserve"> otra solicitud de información pública solicitando los listados del ciclo </w:t>
      </w:r>
      <w:r w:rsidR="0089263F">
        <w:rPr>
          <w:rFonts w:cs="Arial"/>
          <w:color w:val="2E74B5" w:themeColor="accent1" w:themeShade="BF"/>
          <w:sz w:val="24"/>
          <w:szCs w:val="24"/>
        </w:rPr>
        <w:t xml:space="preserve">escolar </w:t>
      </w:r>
      <w:r w:rsidRPr="007740EF">
        <w:rPr>
          <w:rFonts w:cs="Arial"/>
          <w:color w:val="2E74B5" w:themeColor="accent1" w:themeShade="BF"/>
          <w:sz w:val="24"/>
          <w:szCs w:val="24"/>
        </w:rPr>
        <w:t>faltante 2016-2017.</w:t>
      </w:r>
    </w:p>
    <w:p w:rsidR="002278B6" w:rsidRPr="007740EF" w:rsidRDefault="002278B6" w:rsidP="001E7B64">
      <w:pPr>
        <w:pStyle w:val="corte4fondo"/>
        <w:spacing w:line="276" w:lineRule="auto"/>
        <w:ind w:firstLine="708"/>
        <w:rPr>
          <w:rFonts w:cs="Arial"/>
          <w:color w:val="2E74B5" w:themeColor="accent1" w:themeShade="BF"/>
          <w:sz w:val="24"/>
          <w:szCs w:val="24"/>
        </w:rPr>
      </w:pPr>
    </w:p>
    <w:p w:rsidR="00BE008F" w:rsidRPr="007740EF" w:rsidRDefault="00C77FD0" w:rsidP="001E7B64">
      <w:pPr>
        <w:pStyle w:val="corte4fondo"/>
        <w:spacing w:line="276" w:lineRule="auto"/>
        <w:ind w:firstLine="708"/>
        <w:rPr>
          <w:rFonts w:cs="Arial"/>
          <w:color w:val="2E74B5" w:themeColor="accent1" w:themeShade="BF"/>
          <w:sz w:val="24"/>
          <w:szCs w:val="24"/>
        </w:rPr>
      </w:pPr>
      <w:r>
        <w:rPr>
          <w:rFonts w:cs="Arial"/>
          <w:color w:val="2E74B5" w:themeColor="accent1" w:themeShade="BF"/>
          <w:sz w:val="24"/>
          <w:szCs w:val="24"/>
        </w:rPr>
        <w:t xml:space="preserve">Por lo que toca </w:t>
      </w:r>
      <w:r w:rsidR="002278B6" w:rsidRPr="007740EF">
        <w:rPr>
          <w:rFonts w:cs="Arial"/>
          <w:color w:val="2E74B5" w:themeColor="accent1" w:themeShade="BF"/>
          <w:sz w:val="24"/>
          <w:szCs w:val="24"/>
        </w:rPr>
        <w:t xml:space="preserve">a la segunda </w:t>
      </w:r>
      <w:r w:rsidR="00AE63E4" w:rsidRPr="007740EF">
        <w:rPr>
          <w:rFonts w:cs="Arial"/>
          <w:color w:val="2E74B5" w:themeColor="accent1" w:themeShade="BF"/>
          <w:sz w:val="24"/>
          <w:szCs w:val="24"/>
        </w:rPr>
        <w:t>aclaración</w:t>
      </w:r>
      <w:r w:rsidR="002278B6" w:rsidRPr="007740EF">
        <w:rPr>
          <w:rFonts w:cs="Arial"/>
          <w:color w:val="2E74B5" w:themeColor="accent1" w:themeShade="BF"/>
          <w:sz w:val="24"/>
          <w:szCs w:val="24"/>
        </w:rPr>
        <w:t>,</w:t>
      </w:r>
      <w:r w:rsidR="00AE63E4" w:rsidRPr="007740EF">
        <w:rPr>
          <w:rFonts w:cs="Arial"/>
          <w:color w:val="2E74B5" w:themeColor="accent1" w:themeShade="BF"/>
          <w:sz w:val="24"/>
          <w:szCs w:val="24"/>
        </w:rPr>
        <w:t xml:space="preserve"> no pasa inadvertido para esta </w:t>
      </w:r>
      <w:r w:rsidR="0084698D" w:rsidRPr="007740EF">
        <w:rPr>
          <w:rFonts w:cs="Arial"/>
          <w:color w:val="2E74B5" w:themeColor="accent1" w:themeShade="BF"/>
          <w:sz w:val="24"/>
          <w:szCs w:val="24"/>
        </w:rPr>
        <w:t xml:space="preserve">Comisión </w:t>
      </w:r>
      <w:r w:rsidR="00BE008F" w:rsidRPr="007740EF">
        <w:rPr>
          <w:rFonts w:cs="Arial"/>
          <w:color w:val="2E74B5" w:themeColor="accent1" w:themeShade="BF"/>
          <w:sz w:val="24"/>
          <w:szCs w:val="24"/>
        </w:rPr>
        <w:t xml:space="preserve">que el recurrente </w:t>
      </w:r>
      <w:r w:rsidR="0084698D" w:rsidRPr="007740EF">
        <w:rPr>
          <w:rFonts w:cs="Arial"/>
          <w:color w:val="2E74B5" w:themeColor="accent1" w:themeShade="BF"/>
          <w:sz w:val="24"/>
          <w:szCs w:val="24"/>
        </w:rPr>
        <w:t>aduce</w:t>
      </w:r>
      <w:r w:rsidR="00AE63E4" w:rsidRPr="007740EF">
        <w:rPr>
          <w:rFonts w:cs="Arial"/>
          <w:color w:val="2E74B5" w:themeColor="accent1" w:themeShade="BF"/>
          <w:sz w:val="24"/>
          <w:szCs w:val="24"/>
        </w:rPr>
        <w:t xml:space="preserve"> cuestiones de un diverso recurso tramitado ante esta Comisión, tan es así que el ahora recurrente señala que es derivado de la solicitud 317/0054/2018 a la cual recayó el recurso de revisión 139/2018-1 del índice de este Órgano Colegiado, en ese sentido, cabe señalar que dicha manifestación </w:t>
      </w:r>
      <w:r w:rsidR="0084698D" w:rsidRPr="007740EF">
        <w:rPr>
          <w:rFonts w:cs="Arial"/>
          <w:color w:val="2E74B5" w:themeColor="accent1" w:themeShade="BF"/>
          <w:sz w:val="24"/>
          <w:szCs w:val="24"/>
        </w:rPr>
        <w:t>se debió</w:t>
      </w:r>
      <w:r w:rsidR="00AE63E4" w:rsidRPr="007740EF">
        <w:rPr>
          <w:rFonts w:cs="Arial"/>
          <w:color w:val="2E74B5" w:themeColor="accent1" w:themeShade="BF"/>
          <w:sz w:val="24"/>
          <w:szCs w:val="24"/>
        </w:rPr>
        <w:t xml:space="preserve"> realiza</w:t>
      </w:r>
      <w:r w:rsidR="0084698D" w:rsidRPr="007740EF">
        <w:rPr>
          <w:rFonts w:cs="Arial"/>
          <w:color w:val="2E74B5" w:themeColor="accent1" w:themeShade="BF"/>
          <w:sz w:val="24"/>
          <w:szCs w:val="24"/>
        </w:rPr>
        <w:t>r</w:t>
      </w:r>
      <w:r w:rsidR="00AE63E4" w:rsidRPr="007740EF">
        <w:rPr>
          <w:rFonts w:cs="Arial"/>
          <w:color w:val="2E74B5" w:themeColor="accent1" w:themeShade="BF"/>
          <w:sz w:val="24"/>
          <w:szCs w:val="24"/>
        </w:rPr>
        <w:t xml:space="preserve"> dentro del recurso señalado en líneas anteriores</w:t>
      </w:r>
      <w:r w:rsidR="0084698D" w:rsidRPr="007740EF">
        <w:rPr>
          <w:rFonts w:cs="Arial"/>
          <w:color w:val="2E74B5" w:themeColor="accent1" w:themeShade="BF"/>
          <w:sz w:val="24"/>
          <w:szCs w:val="24"/>
        </w:rPr>
        <w:t xml:space="preserve">, y no como pretende hacerlo valer en el presente </w:t>
      </w:r>
      <w:r w:rsidR="00BE008F" w:rsidRPr="007740EF">
        <w:rPr>
          <w:rFonts w:cs="Arial"/>
          <w:color w:val="2E74B5" w:themeColor="accent1" w:themeShade="BF"/>
          <w:sz w:val="24"/>
          <w:szCs w:val="24"/>
        </w:rPr>
        <w:t>recurso</w:t>
      </w:r>
      <w:r w:rsidR="0084698D" w:rsidRPr="007740EF">
        <w:rPr>
          <w:rFonts w:cs="Arial"/>
          <w:color w:val="2E74B5" w:themeColor="accent1" w:themeShade="BF"/>
          <w:sz w:val="24"/>
          <w:szCs w:val="24"/>
        </w:rPr>
        <w:t>.</w:t>
      </w:r>
    </w:p>
    <w:p w:rsidR="00D20808" w:rsidRPr="007740EF" w:rsidRDefault="00D20808" w:rsidP="001E7B64">
      <w:pPr>
        <w:pStyle w:val="corte4fondo"/>
        <w:spacing w:line="276" w:lineRule="auto"/>
        <w:ind w:firstLine="708"/>
        <w:rPr>
          <w:rFonts w:cs="Arial"/>
          <w:b/>
          <w:color w:val="2E74B5" w:themeColor="accent1" w:themeShade="BF"/>
          <w:sz w:val="24"/>
          <w:szCs w:val="24"/>
        </w:rPr>
      </w:pPr>
    </w:p>
    <w:p w:rsidR="008318F3" w:rsidRDefault="00BE008F" w:rsidP="001E7B64">
      <w:pPr>
        <w:pStyle w:val="corte4fondo"/>
        <w:spacing w:line="276" w:lineRule="auto"/>
        <w:ind w:firstLine="708"/>
        <w:rPr>
          <w:rFonts w:cs="Arial"/>
          <w:color w:val="2E74B5" w:themeColor="accent1" w:themeShade="BF"/>
          <w:sz w:val="24"/>
          <w:szCs w:val="24"/>
        </w:rPr>
      </w:pPr>
      <w:r w:rsidRPr="007740EF">
        <w:rPr>
          <w:rFonts w:cs="Arial"/>
          <w:color w:val="2E74B5" w:themeColor="accent1" w:themeShade="BF"/>
          <w:sz w:val="24"/>
          <w:szCs w:val="24"/>
        </w:rPr>
        <w:t xml:space="preserve">Tocante a la </w:t>
      </w:r>
      <w:r w:rsidR="005E5E33" w:rsidRPr="007740EF">
        <w:rPr>
          <w:rFonts w:cs="Arial"/>
          <w:color w:val="2E74B5" w:themeColor="accent1" w:themeShade="BF"/>
          <w:sz w:val="24"/>
          <w:szCs w:val="24"/>
        </w:rPr>
        <w:t>tercera aclaración</w:t>
      </w:r>
      <w:r w:rsidR="008318F3">
        <w:rPr>
          <w:rFonts w:cs="Arial"/>
          <w:color w:val="2E74B5" w:themeColor="accent1" w:themeShade="BF"/>
          <w:sz w:val="24"/>
          <w:szCs w:val="24"/>
        </w:rPr>
        <w:t xml:space="preserve"> que esta </w:t>
      </w:r>
      <w:r w:rsidR="004713EA">
        <w:rPr>
          <w:rFonts w:cs="Arial"/>
          <w:color w:val="2E74B5" w:themeColor="accent1" w:themeShade="BF"/>
          <w:sz w:val="24"/>
          <w:szCs w:val="24"/>
        </w:rPr>
        <w:t>Comisión</w:t>
      </w:r>
      <w:r w:rsidR="008318F3">
        <w:rPr>
          <w:rFonts w:cs="Arial"/>
          <w:color w:val="2E74B5" w:themeColor="accent1" w:themeShade="BF"/>
          <w:sz w:val="24"/>
          <w:szCs w:val="24"/>
        </w:rPr>
        <w:t xml:space="preserve"> </w:t>
      </w:r>
      <w:r w:rsidR="004713EA">
        <w:rPr>
          <w:rFonts w:cs="Arial"/>
          <w:color w:val="2E74B5" w:themeColor="accent1" w:themeShade="BF"/>
          <w:sz w:val="24"/>
          <w:szCs w:val="24"/>
        </w:rPr>
        <w:t>advierte como inconformidad</w:t>
      </w:r>
      <w:r w:rsidR="008318F3">
        <w:rPr>
          <w:rFonts w:cs="Arial"/>
          <w:color w:val="2E74B5" w:themeColor="accent1" w:themeShade="BF"/>
          <w:sz w:val="24"/>
          <w:szCs w:val="24"/>
        </w:rPr>
        <w:t>:</w:t>
      </w:r>
    </w:p>
    <w:p w:rsidR="004713EA" w:rsidRDefault="004713EA" w:rsidP="004713EA">
      <w:pPr>
        <w:pStyle w:val="corte4fondo"/>
        <w:spacing w:line="276" w:lineRule="auto"/>
        <w:ind w:firstLine="708"/>
        <w:rPr>
          <w:rFonts w:cs="Arial"/>
          <w:b/>
          <w:color w:val="2E74B5" w:themeColor="accent1" w:themeShade="BF"/>
          <w:sz w:val="24"/>
          <w:szCs w:val="24"/>
        </w:rPr>
      </w:pPr>
    </w:p>
    <w:p w:rsidR="004713EA" w:rsidRPr="007740EF" w:rsidRDefault="004713EA" w:rsidP="004713EA">
      <w:pPr>
        <w:pStyle w:val="corte4fondo"/>
        <w:spacing w:line="276" w:lineRule="auto"/>
        <w:ind w:firstLine="708"/>
        <w:rPr>
          <w:rFonts w:cs="Arial"/>
          <w:b/>
          <w:color w:val="2E74B5" w:themeColor="accent1" w:themeShade="BF"/>
          <w:sz w:val="24"/>
          <w:szCs w:val="24"/>
        </w:rPr>
      </w:pPr>
      <w:r w:rsidRPr="007740EF">
        <w:rPr>
          <w:rFonts w:cs="Arial"/>
          <w:b/>
          <w:color w:val="2E74B5" w:themeColor="accent1" w:themeShade="BF"/>
          <w:sz w:val="24"/>
          <w:szCs w:val="24"/>
        </w:rPr>
        <w:t>7.1.2 Agravio fundado.</w:t>
      </w:r>
    </w:p>
    <w:p w:rsidR="008318F3" w:rsidRDefault="008318F3" w:rsidP="001E7B64">
      <w:pPr>
        <w:pStyle w:val="corte4fondo"/>
        <w:spacing w:line="276" w:lineRule="auto"/>
        <w:ind w:firstLine="708"/>
        <w:rPr>
          <w:rFonts w:cs="Arial"/>
          <w:color w:val="2E74B5" w:themeColor="accent1" w:themeShade="BF"/>
          <w:sz w:val="24"/>
          <w:szCs w:val="24"/>
        </w:rPr>
      </w:pPr>
    </w:p>
    <w:p w:rsidR="00AA0B9E" w:rsidRPr="007740EF" w:rsidRDefault="005E5E33" w:rsidP="001E7B64">
      <w:pPr>
        <w:pStyle w:val="corte4fondo"/>
        <w:spacing w:line="276" w:lineRule="auto"/>
        <w:ind w:firstLine="708"/>
        <w:rPr>
          <w:rFonts w:cs="Arial"/>
          <w:color w:val="2E74B5" w:themeColor="accent1" w:themeShade="BF"/>
          <w:sz w:val="24"/>
          <w:szCs w:val="24"/>
        </w:rPr>
      </w:pPr>
      <w:r w:rsidRPr="007740EF">
        <w:rPr>
          <w:rFonts w:cs="Arial"/>
          <w:color w:val="2E74B5" w:themeColor="accent1" w:themeShade="BF"/>
          <w:sz w:val="24"/>
          <w:szCs w:val="24"/>
        </w:rPr>
        <w:t xml:space="preserve"> </w:t>
      </w:r>
      <w:r w:rsidR="004713EA">
        <w:rPr>
          <w:rFonts w:cs="Arial"/>
          <w:color w:val="2E74B5" w:themeColor="accent1" w:themeShade="BF"/>
          <w:sz w:val="24"/>
          <w:szCs w:val="24"/>
        </w:rPr>
        <w:t xml:space="preserve">Es importante señalar, que aún y cuando </w:t>
      </w:r>
      <w:r w:rsidRPr="007740EF">
        <w:rPr>
          <w:rFonts w:cs="Arial"/>
          <w:color w:val="2E74B5" w:themeColor="accent1" w:themeShade="BF"/>
          <w:sz w:val="24"/>
          <w:szCs w:val="24"/>
        </w:rPr>
        <w:t xml:space="preserve">está demostrado que la autoridad, en aras de garantizar el derecho a la información realizó un documento </w:t>
      </w:r>
      <w:r w:rsidRPr="007740EF">
        <w:rPr>
          <w:rFonts w:cs="Arial"/>
          <w:i/>
          <w:color w:val="2E74B5" w:themeColor="accent1" w:themeShade="BF"/>
          <w:sz w:val="24"/>
          <w:szCs w:val="24"/>
        </w:rPr>
        <w:t>ad hoc</w:t>
      </w:r>
      <w:r w:rsidRPr="007740EF">
        <w:rPr>
          <w:rFonts w:cs="Arial"/>
          <w:color w:val="2E74B5" w:themeColor="accent1" w:themeShade="BF"/>
          <w:sz w:val="24"/>
          <w:szCs w:val="24"/>
        </w:rPr>
        <w:t>,</w:t>
      </w:r>
      <w:r w:rsidR="001D4484" w:rsidRPr="007740EF">
        <w:rPr>
          <w:rFonts w:cs="Arial"/>
          <w:color w:val="2E74B5" w:themeColor="accent1" w:themeShade="BF"/>
          <w:sz w:val="24"/>
          <w:szCs w:val="24"/>
        </w:rPr>
        <w:t xml:space="preserve"> </w:t>
      </w:r>
      <w:r w:rsidRPr="007740EF">
        <w:rPr>
          <w:rFonts w:cs="Arial"/>
          <w:color w:val="2E74B5" w:themeColor="accent1" w:themeShade="BF"/>
          <w:sz w:val="24"/>
          <w:szCs w:val="24"/>
        </w:rPr>
        <w:t xml:space="preserve">empero, de una simple lectura del mismo se advierte que ciertamente del primer listado se aprecia </w:t>
      </w:r>
      <w:r w:rsidR="001D4484" w:rsidRPr="007740EF">
        <w:rPr>
          <w:rFonts w:cs="Arial"/>
          <w:color w:val="2E74B5" w:themeColor="accent1" w:themeShade="BF"/>
          <w:sz w:val="24"/>
          <w:szCs w:val="24"/>
        </w:rPr>
        <w:t xml:space="preserve">que carece de las horas propias  y las interinas, así como del mismo listado se aprecia que </w:t>
      </w:r>
      <w:r w:rsidRPr="007740EF">
        <w:rPr>
          <w:rFonts w:cs="Arial"/>
          <w:color w:val="2E74B5" w:themeColor="accent1" w:themeShade="BF"/>
          <w:sz w:val="24"/>
          <w:szCs w:val="24"/>
        </w:rPr>
        <w:t>en el número 32</w:t>
      </w:r>
      <w:r w:rsidR="001D4484" w:rsidRPr="007740EF">
        <w:rPr>
          <w:rFonts w:cs="Arial"/>
          <w:color w:val="2E74B5" w:themeColor="accent1" w:themeShade="BF"/>
          <w:sz w:val="24"/>
          <w:szCs w:val="24"/>
        </w:rPr>
        <w:t xml:space="preserve"> aparece</w:t>
      </w:r>
      <w:r w:rsidRPr="007740EF">
        <w:rPr>
          <w:rFonts w:cs="Arial"/>
          <w:color w:val="2E74B5" w:themeColor="accent1" w:themeShade="BF"/>
          <w:sz w:val="24"/>
          <w:szCs w:val="24"/>
        </w:rPr>
        <w:t xml:space="preserve"> la </w:t>
      </w:r>
      <w:r w:rsidR="004713EA">
        <w:rPr>
          <w:rFonts w:cs="Arial"/>
          <w:color w:val="2E74B5" w:themeColor="accent1" w:themeShade="BF"/>
          <w:sz w:val="24"/>
          <w:szCs w:val="24"/>
        </w:rPr>
        <w:t>docente</w:t>
      </w:r>
      <w:r w:rsidRPr="007740EF">
        <w:rPr>
          <w:rFonts w:cs="Arial"/>
          <w:color w:val="2E74B5" w:themeColor="accent1" w:themeShade="BF"/>
          <w:sz w:val="24"/>
          <w:szCs w:val="24"/>
        </w:rPr>
        <w:t xml:space="preserve"> Mena Manrique Ana María, por lo que no menos cierto lo es que del segundo listado ya no se aprecia el nombre de la citada maestra,</w:t>
      </w:r>
      <w:r w:rsidR="00BE008F" w:rsidRPr="007740EF">
        <w:rPr>
          <w:rFonts w:cs="Arial"/>
          <w:color w:val="2E74B5" w:themeColor="accent1" w:themeShade="BF"/>
          <w:sz w:val="24"/>
          <w:szCs w:val="24"/>
        </w:rPr>
        <w:t xml:space="preserve"> </w:t>
      </w:r>
      <w:r w:rsidR="001D4484" w:rsidRPr="007740EF">
        <w:rPr>
          <w:rFonts w:cs="Arial"/>
          <w:color w:val="2E74B5" w:themeColor="accent1" w:themeShade="BF"/>
          <w:sz w:val="24"/>
          <w:szCs w:val="24"/>
        </w:rPr>
        <w:t xml:space="preserve">cabe señalar que del </w:t>
      </w:r>
      <w:r w:rsidR="0089263F">
        <w:rPr>
          <w:rFonts w:cs="Arial"/>
          <w:color w:val="2E74B5" w:themeColor="accent1" w:themeShade="BF"/>
          <w:sz w:val="24"/>
          <w:szCs w:val="24"/>
        </w:rPr>
        <w:t xml:space="preserve">mismo </w:t>
      </w:r>
      <w:r w:rsidR="001D4484" w:rsidRPr="007740EF">
        <w:rPr>
          <w:rFonts w:cs="Arial"/>
          <w:color w:val="2E74B5" w:themeColor="accent1" w:themeShade="BF"/>
          <w:sz w:val="24"/>
          <w:szCs w:val="24"/>
        </w:rPr>
        <w:t xml:space="preserve">ya se aprecian las horas propias y las interinas, </w:t>
      </w:r>
      <w:r w:rsidR="00AA0B9E" w:rsidRPr="007740EF">
        <w:rPr>
          <w:rFonts w:cs="Arial"/>
          <w:color w:val="2E74B5" w:themeColor="accent1" w:themeShade="BF"/>
          <w:sz w:val="24"/>
          <w:szCs w:val="24"/>
        </w:rPr>
        <w:t xml:space="preserve">por ende, aún y cuando se haya elaborado el documento ad hoc, la autoridad omitió </w:t>
      </w:r>
      <w:r w:rsidR="001D4484" w:rsidRPr="007740EF">
        <w:rPr>
          <w:rFonts w:cs="Arial"/>
          <w:color w:val="2E74B5" w:themeColor="accent1" w:themeShade="BF"/>
          <w:sz w:val="24"/>
          <w:szCs w:val="24"/>
        </w:rPr>
        <w:t xml:space="preserve">justificar o en su caso </w:t>
      </w:r>
      <w:r w:rsidR="00BE7A3F" w:rsidRPr="007740EF">
        <w:rPr>
          <w:rFonts w:cs="Arial"/>
          <w:color w:val="2E74B5" w:themeColor="accent1" w:themeShade="BF"/>
          <w:sz w:val="24"/>
          <w:szCs w:val="24"/>
        </w:rPr>
        <w:t xml:space="preserve">señalar </w:t>
      </w:r>
      <w:r w:rsidR="00AA0B9E" w:rsidRPr="007740EF">
        <w:rPr>
          <w:rFonts w:cs="Arial"/>
          <w:color w:val="2E74B5" w:themeColor="accent1" w:themeShade="BF"/>
          <w:sz w:val="24"/>
          <w:szCs w:val="24"/>
        </w:rPr>
        <w:t>el motivo por el cual ya en el segundo listado no aparece la maestra Mena Manrique Ana María</w:t>
      </w:r>
      <w:r w:rsidR="007B3889" w:rsidRPr="007740EF">
        <w:rPr>
          <w:rFonts w:cs="Arial"/>
          <w:color w:val="2E74B5" w:themeColor="accent1" w:themeShade="BF"/>
          <w:sz w:val="24"/>
          <w:szCs w:val="24"/>
        </w:rPr>
        <w:t xml:space="preserve">, </w:t>
      </w:r>
      <w:r w:rsidR="007B3889" w:rsidRPr="007740EF">
        <w:rPr>
          <w:rFonts w:cs="Arial"/>
          <w:color w:val="2E74B5" w:themeColor="accent1" w:themeShade="BF"/>
          <w:sz w:val="24"/>
          <w:szCs w:val="24"/>
        </w:rPr>
        <w:lastRenderedPageBreak/>
        <w:t>consecuentemente en el primer listado existe una relación de 69  docentes y del segundo hay un total de 68 docentes</w:t>
      </w:r>
      <w:r w:rsidR="00AA0B9E" w:rsidRPr="007740EF">
        <w:rPr>
          <w:rFonts w:cs="Arial"/>
          <w:color w:val="2E74B5" w:themeColor="accent1" w:themeShade="BF"/>
          <w:sz w:val="24"/>
          <w:szCs w:val="24"/>
        </w:rPr>
        <w:t>, por tal, dicho agravio resultó fundado, pues falta que se entregue información en un formato que no deje lugar a dudas de dicho listado que es lo que deseaba acceder el inconforme por lo que los efectos de esta determinación, este órgano colegiado los precisará más adelante.</w:t>
      </w:r>
    </w:p>
    <w:p w:rsidR="00BE7A3F" w:rsidRPr="007740EF" w:rsidRDefault="00BE7A3F" w:rsidP="001E7B64">
      <w:pPr>
        <w:pStyle w:val="corte4fondo"/>
        <w:spacing w:line="276" w:lineRule="auto"/>
        <w:ind w:firstLine="708"/>
        <w:rPr>
          <w:rFonts w:cs="Arial"/>
          <w:color w:val="2E74B5" w:themeColor="accent1" w:themeShade="BF"/>
          <w:sz w:val="24"/>
          <w:szCs w:val="24"/>
        </w:rPr>
      </w:pPr>
    </w:p>
    <w:p w:rsidR="00BE7A3F" w:rsidRPr="007740EF" w:rsidRDefault="007740EF" w:rsidP="0089263F">
      <w:pPr>
        <w:pStyle w:val="corte4fondo"/>
        <w:tabs>
          <w:tab w:val="left" w:pos="567"/>
        </w:tabs>
        <w:spacing w:line="276" w:lineRule="auto"/>
        <w:ind w:firstLine="0"/>
        <w:rPr>
          <w:rFonts w:cs="Arial"/>
          <w:color w:val="2E74B5" w:themeColor="accent1" w:themeShade="BF"/>
          <w:sz w:val="23"/>
          <w:szCs w:val="23"/>
        </w:rPr>
      </w:pPr>
      <w:r w:rsidRPr="007740EF">
        <w:rPr>
          <w:rFonts w:cs="Arial"/>
          <w:b/>
          <w:color w:val="2E74B5" w:themeColor="accent1" w:themeShade="BF"/>
          <w:sz w:val="23"/>
          <w:szCs w:val="23"/>
        </w:rPr>
        <w:t>7.2</w:t>
      </w:r>
      <w:r w:rsidR="00BE7A3F" w:rsidRPr="007740EF">
        <w:rPr>
          <w:rFonts w:cs="Arial"/>
          <w:b/>
          <w:color w:val="2E74B5" w:themeColor="accent1" w:themeShade="BF"/>
          <w:sz w:val="23"/>
          <w:szCs w:val="23"/>
        </w:rPr>
        <w:t>. Forma de entrega de la información –primeras veinte hojas–</w:t>
      </w:r>
      <w:r w:rsidR="00BE7A3F" w:rsidRPr="007740EF">
        <w:rPr>
          <w:rFonts w:cs="Arial"/>
          <w:color w:val="2E74B5" w:themeColor="accent1" w:themeShade="BF"/>
          <w:sz w:val="23"/>
          <w:szCs w:val="23"/>
        </w:rPr>
        <w:t>.</w:t>
      </w:r>
    </w:p>
    <w:p w:rsidR="00BE7A3F" w:rsidRPr="007740EF" w:rsidRDefault="00BE7A3F" w:rsidP="001E7B64">
      <w:pPr>
        <w:pStyle w:val="corte4fondo"/>
        <w:tabs>
          <w:tab w:val="left" w:pos="567"/>
        </w:tabs>
        <w:spacing w:line="276" w:lineRule="auto"/>
        <w:rPr>
          <w:rFonts w:cs="Arial"/>
          <w:color w:val="2E74B5" w:themeColor="accent1" w:themeShade="BF"/>
          <w:sz w:val="23"/>
          <w:szCs w:val="23"/>
        </w:rPr>
      </w:pPr>
    </w:p>
    <w:p w:rsidR="00BE7A3F" w:rsidRPr="007740EF" w:rsidRDefault="00BE7A3F" w:rsidP="001E7B64">
      <w:pPr>
        <w:pStyle w:val="corte4fondo"/>
        <w:tabs>
          <w:tab w:val="left" w:pos="567"/>
        </w:tabs>
        <w:spacing w:line="276" w:lineRule="auto"/>
        <w:rPr>
          <w:color w:val="2E74B5" w:themeColor="accent1" w:themeShade="BF"/>
          <w:sz w:val="24"/>
          <w:szCs w:val="24"/>
        </w:rPr>
      </w:pPr>
      <w:r w:rsidRPr="007740EF">
        <w:rPr>
          <w:rFonts w:cs="Arial"/>
          <w:color w:val="2E74B5" w:themeColor="accent1" w:themeShade="BF"/>
          <w:sz w:val="24"/>
          <w:szCs w:val="24"/>
        </w:rPr>
        <w:t xml:space="preserve">Ahora, para la entrega de la información el sujeto obligado debe </w:t>
      </w:r>
      <w:r w:rsidRPr="007740EF">
        <w:rPr>
          <w:color w:val="2E74B5" w:themeColor="accent1" w:themeShade="BF"/>
          <w:sz w:val="24"/>
          <w:szCs w:val="24"/>
        </w:rPr>
        <w:t>atender los artículos 22, 62 y 165</w:t>
      </w:r>
      <w:r w:rsidRPr="007740EF">
        <w:rPr>
          <w:rStyle w:val="Refdenotaalpie"/>
          <w:rFonts w:eastAsia="Calibri"/>
          <w:color w:val="2E74B5" w:themeColor="accent1" w:themeShade="BF"/>
          <w:sz w:val="24"/>
          <w:szCs w:val="24"/>
        </w:rPr>
        <w:footnoteReference w:id="4"/>
      </w:r>
      <w:r w:rsidRPr="007740EF">
        <w:rPr>
          <w:color w:val="2E74B5" w:themeColor="accent1" w:themeShade="BF"/>
          <w:sz w:val="24"/>
          <w:szCs w:val="24"/>
        </w:rPr>
        <w:t xml:space="preserve">,  </w:t>
      </w:r>
      <w:r w:rsidRPr="007740EF">
        <w:rPr>
          <w:rFonts w:cs="Arial"/>
          <w:color w:val="2E74B5" w:themeColor="accent1" w:themeShade="BF"/>
          <w:sz w:val="24"/>
          <w:szCs w:val="24"/>
        </w:rPr>
        <w:t xml:space="preserve">esto es propiciar las condiciones necesarias para que el </w:t>
      </w:r>
      <w:r w:rsidRPr="007740EF">
        <w:rPr>
          <w:color w:val="2E74B5" w:themeColor="accent1" w:themeShade="BF"/>
          <w:sz w:val="24"/>
          <w:szCs w:val="24"/>
        </w:rPr>
        <w:t xml:space="preserve">procedimiento de acceso y entrega de la información, </w:t>
      </w:r>
      <w:r w:rsidRPr="007740EF">
        <w:rPr>
          <w:b/>
          <w:color w:val="2E74B5" w:themeColor="accent1" w:themeShade="BF"/>
          <w:sz w:val="24"/>
          <w:szCs w:val="24"/>
        </w:rPr>
        <w:t>al menos las primeras veinte hojas</w:t>
      </w:r>
      <w:r w:rsidRPr="007740EF">
        <w:rPr>
          <w:color w:val="2E74B5" w:themeColor="accent1" w:themeShade="BF"/>
          <w:sz w:val="24"/>
          <w:szCs w:val="24"/>
        </w:rPr>
        <w:t xml:space="preserve"> </w:t>
      </w:r>
      <w:r w:rsidRPr="007740EF">
        <w:rPr>
          <w:b/>
          <w:color w:val="2E74B5" w:themeColor="accent1" w:themeShade="BF"/>
          <w:sz w:val="24"/>
          <w:szCs w:val="24"/>
        </w:rPr>
        <w:t xml:space="preserve">sean entregadas sin costo </w:t>
      </w:r>
      <w:r w:rsidRPr="007740EF">
        <w:rPr>
          <w:color w:val="2E74B5" w:themeColor="accent1" w:themeShade="BF"/>
          <w:sz w:val="24"/>
          <w:szCs w:val="24"/>
        </w:rPr>
        <w:t>en atención al principio de máxima publicidad.</w:t>
      </w:r>
    </w:p>
    <w:p w:rsidR="00BE7A3F" w:rsidRPr="007740EF" w:rsidRDefault="00BE7A3F" w:rsidP="001E7B64">
      <w:pPr>
        <w:pStyle w:val="corte4fondo"/>
        <w:tabs>
          <w:tab w:val="left" w:pos="567"/>
        </w:tabs>
        <w:spacing w:line="276" w:lineRule="auto"/>
        <w:rPr>
          <w:color w:val="2E74B5" w:themeColor="accent1" w:themeShade="BF"/>
          <w:sz w:val="24"/>
          <w:szCs w:val="24"/>
        </w:rPr>
      </w:pPr>
    </w:p>
    <w:p w:rsidR="00BE7A3F" w:rsidRPr="007740EF" w:rsidRDefault="007740EF" w:rsidP="0089263F">
      <w:pPr>
        <w:pStyle w:val="corte4fondo"/>
        <w:tabs>
          <w:tab w:val="left" w:pos="142"/>
          <w:tab w:val="left" w:pos="567"/>
        </w:tabs>
        <w:spacing w:line="276" w:lineRule="auto"/>
        <w:ind w:firstLine="0"/>
        <w:rPr>
          <w:b/>
          <w:color w:val="2E74B5" w:themeColor="accent1" w:themeShade="BF"/>
          <w:sz w:val="24"/>
          <w:szCs w:val="24"/>
        </w:rPr>
      </w:pPr>
      <w:r w:rsidRPr="007740EF">
        <w:rPr>
          <w:b/>
          <w:color w:val="2E74B5" w:themeColor="accent1" w:themeShade="BF"/>
          <w:sz w:val="24"/>
          <w:szCs w:val="24"/>
        </w:rPr>
        <w:t>7</w:t>
      </w:r>
      <w:r w:rsidR="00BE7A3F" w:rsidRPr="007740EF">
        <w:rPr>
          <w:b/>
          <w:color w:val="2E74B5" w:themeColor="accent1" w:themeShade="BF"/>
          <w:sz w:val="24"/>
          <w:szCs w:val="24"/>
        </w:rPr>
        <w:t xml:space="preserve">.2.1. Excepción a la entrega gratuita de las primeras veinte fojas. –Versión pública, costo–. </w:t>
      </w:r>
    </w:p>
    <w:p w:rsidR="00BE7A3F" w:rsidRPr="007740EF" w:rsidRDefault="00BE7A3F" w:rsidP="001E7B64">
      <w:pPr>
        <w:pStyle w:val="corte4fondo"/>
        <w:tabs>
          <w:tab w:val="left" w:pos="567"/>
        </w:tabs>
        <w:spacing w:line="276" w:lineRule="auto"/>
        <w:rPr>
          <w:rFonts w:cs="Arial"/>
          <w:color w:val="2E74B5" w:themeColor="accent1" w:themeShade="BF"/>
          <w:sz w:val="23"/>
          <w:szCs w:val="23"/>
        </w:rPr>
      </w:pPr>
    </w:p>
    <w:p w:rsidR="00BE7A3F" w:rsidRPr="007740EF" w:rsidRDefault="00BE7A3F" w:rsidP="001E7B64">
      <w:pPr>
        <w:pStyle w:val="corte4fondo"/>
        <w:tabs>
          <w:tab w:val="left" w:pos="567"/>
        </w:tabs>
        <w:spacing w:line="276" w:lineRule="auto"/>
        <w:rPr>
          <w:rFonts w:cs="Arial"/>
          <w:color w:val="2E74B5" w:themeColor="accent1" w:themeShade="BF"/>
          <w:sz w:val="23"/>
          <w:szCs w:val="23"/>
        </w:rPr>
      </w:pPr>
      <w:r w:rsidRPr="007740EF">
        <w:rPr>
          <w:rFonts w:cs="Arial"/>
          <w:color w:val="2E74B5" w:themeColor="accent1" w:themeShade="BF"/>
          <w:sz w:val="23"/>
          <w:szCs w:val="23"/>
        </w:rPr>
        <w:t xml:space="preserve">En caso de que la información contenga información confidencial y, por </w:t>
      </w:r>
      <w:r w:rsidR="001E7B64" w:rsidRPr="007740EF">
        <w:rPr>
          <w:rFonts w:cs="Arial"/>
          <w:color w:val="2E74B5" w:themeColor="accent1" w:themeShade="BF"/>
          <w:sz w:val="23"/>
          <w:szCs w:val="23"/>
        </w:rPr>
        <w:t>ende,</w:t>
      </w:r>
      <w:r w:rsidRPr="007740EF">
        <w:rPr>
          <w:rFonts w:cs="Arial"/>
          <w:color w:val="2E74B5" w:themeColor="accent1" w:themeShade="BF"/>
          <w:sz w:val="23"/>
          <w:szCs w:val="23"/>
        </w:rPr>
        <w:t xml:space="preserve"> la autoridad deba de elaborar la versión pública para poder entregar la información, entonces dicho costo de reproducción lo absorberá el solicitante de la información. </w:t>
      </w:r>
    </w:p>
    <w:p w:rsidR="0066644B" w:rsidRPr="007740EF" w:rsidRDefault="0066644B" w:rsidP="001E7B64">
      <w:pPr>
        <w:pStyle w:val="corte4fondo"/>
        <w:spacing w:line="276" w:lineRule="auto"/>
        <w:ind w:firstLine="0"/>
        <w:rPr>
          <w:rFonts w:cs="Arial"/>
          <w:color w:val="2E74B5" w:themeColor="accent1" w:themeShade="BF"/>
          <w:sz w:val="24"/>
          <w:szCs w:val="24"/>
        </w:rPr>
      </w:pPr>
    </w:p>
    <w:p w:rsidR="00510ECE" w:rsidRPr="007740EF" w:rsidRDefault="007740EF" w:rsidP="001E7B64">
      <w:pPr>
        <w:pStyle w:val="corte4fondo"/>
        <w:tabs>
          <w:tab w:val="left" w:pos="567"/>
        </w:tabs>
        <w:spacing w:line="276" w:lineRule="auto"/>
        <w:ind w:firstLine="0"/>
        <w:rPr>
          <w:rFonts w:cs="Arial"/>
          <w:color w:val="2E74B5" w:themeColor="accent1" w:themeShade="BF"/>
          <w:sz w:val="24"/>
          <w:szCs w:val="24"/>
        </w:rPr>
      </w:pPr>
      <w:r w:rsidRPr="007740EF">
        <w:rPr>
          <w:rFonts w:cs="Arial"/>
          <w:b/>
          <w:color w:val="2E74B5" w:themeColor="accent1" w:themeShade="BF"/>
          <w:sz w:val="24"/>
          <w:szCs w:val="24"/>
        </w:rPr>
        <w:t>7</w:t>
      </w:r>
      <w:r w:rsidR="00510ECE" w:rsidRPr="007740EF">
        <w:rPr>
          <w:rFonts w:cs="Arial"/>
          <w:b/>
          <w:color w:val="2E74B5" w:themeColor="accent1" w:themeShade="BF"/>
          <w:sz w:val="24"/>
          <w:szCs w:val="24"/>
        </w:rPr>
        <w:t>.</w:t>
      </w:r>
      <w:r w:rsidRPr="007740EF">
        <w:rPr>
          <w:rFonts w:cs="Arial"/>
          <w:b/>
          <w:color w:val="2E74B5" w:themeColor="accent1" w:themeShade="BF"/>
          <w:sz w:val="24"/>
          <w:szCs w:val="24"/>
        </w:rPr>
        <w:t>3</w:t>
      </w:r>
      <w:r w:rsidR="00510ECE" w:rsidRPr="007740EF">
        <w:rPr>
          <w:rFonts w:cs="Arial"/>
          <w:b/>
          <w:color w:val="2E74B5" w:themeColor="accent1" w:themeShade="BF"/>
          <w:sz w:val="24"/>
          <w:szCs w:val="24"/>
        </w:rPr>
        <w:t>. Sentido de esta resolución</w:t>
      </w:r>
      <w:r w:rsidR="00510ECE" w:rsidRPr="007740EF">
        <w:rPr>
          <w:rFonts w:cs="Arial"/>
          <w:color w:val="2E74B5" w:themeColor="accent1" w:themeShade="BF"/>
          <w:sz w:val="24"/>
          <w:szCs w:val="24"/>
        </w:rPr>
        <w:t>.</w:t>
      </w:r>
    </w:p>
    <w:p w:rsidR="00510ECE" w:rsidRPr="007740EF" w:rsidRDefault="00510ECE" w:rsidP="001E7B64">
      <w:pPr>
        <w:pStyle w:val="corte4fondo"/>
        <w:tabs>
          <w:tab w:val="left" w:pos="567"/>
        </w:tabs>
        <w:spacing w:line="276" w:lineRule="auto"/>
        <w:rPr>
          <w:rFonts w:cs="Arial"/>
          <w:color w:val="2E74B5" w:themeColor="accent1" w:themeShade="BF"/>
          <w:sz w:val="24"/>
          <w:szCs w:val="24"/>
        </w:rPr>
      </w:pPr>
    </w:p>
    <w:p w:rsidR="00510ECE" w:rsidRPr="007740EF" w:rsidRDefault="00510ECE" w:rsidP="001E7B64">
      <w:pPr>
        <w:pStyle w:val="corte4fondo"/>
        <w:tabs>
          <w:tab w:val="left" w:pos="567"/>
        </w:tabs>
        <w:spacing w:line="276" w:lineRule="auto"/>
        <w:rPr>
          <w:rFonts w:cs="Arial"/>
          <w:color w:val="2E74B5" w:themeColor="accent1" w:themeShade="BF"/>
          <w:sz w:val="24"/>
          <w:szCs w:val="24"/>
        </w:rPr>
      </w:pPr>
      <w:r w:rsidRPr="007740EF">
        <w:rPr>
          <w:rFonts w:cs="Arial"/>
          <w:color w:val="2E74B5" w:themeColor="accent1" w:themeShade="BF"/>
          <w:sz w:val="24"/>
          <w:szCs w:val="24"/>
        </w:rPr>
        <w:t xml:space="preserve">En las condiciones anotadas y, al haber resultado uno fundado el agravio que hizo valer el recurrente, lo procedente es que este órgano colegiado de conformidad con el artículo 175, fracción III, de la Ley de Transparencia y Acceso a la Información Pública del Estado </w:t>
      </w:r>
      <w:r w:rsidRPr="007740EF">
        <w:rPr>
          <w:rFonts w:cs="Arial"/>
          <w:b/>
          <w:color w:val="2E74B5" w:themeColor="accent1" w:themeShade="BF"/>
          <w:sz w:val="24"/>
          <w:szCs w:val="24"/>
        </w:rPr>
        <w:t xml:space="preserve">modifica </w:t>
      </w:r>
      <w:r w:rsidRPr="007740EF">
        <w:rPr>
          <w:rFonts w:cs="Arial"/>
          <w:color w:val="2E74B5" w:themeColor="accent1" w:themeShade="BF"/>
          <w:sz w:val="24"/>
          <w:szCs w:val="24"/>
        </w:rPr>
        <w:t xml:space="preserve">la respuesta proporcionada por </w:t>
      </w:r>
      <w:r w:rsidR="007B3889" w:rsidRPr="007740EF">
        <w:rPr>
          <w:rFonts w:cs="Arial"/>
          <w:color w:val="2E74B5" w:themeColor="accent1" w:themeShade="BF"/>
          <w:sz w:val="24"/>
          <w:szCs w:val="24"/>
        </w:rPr>
        <w:t xml:space="preserve">la </w:t>
      </w:r>
      <w:r w:rsidR="007B3889" w:rsidRPr="00C77FD0">
        <w:rPr>
          <w:rFonts w:cs="Arial"/>
          <w:b/>
          <w:color w:val="2E74B5" w:themeColor="accent1" w:themeShade="BF"/>
          <w:sz w:val="24"/>
          <w:szCs w:val="24"/>
        </w:rPr>
        <w:t>Benemérita y Centenaria Escuela Normal del Estado</w:t>
      </w:r>
      <w:r w:rsidR="007B3889" w:rsidRPr="007740EF">
        <w:rPr>
          <w:rFonts w:cs="Arial"/>
          <w:color w:val="2E74B5" w:themeColor="accent1" w:themeShade="BF"/>
          <w:sz w:val="24"/>
          <w:szCs w:val="24"/>
        </w:rPr>
        <w:t xml:space="preserve"> </w:t>
      </w:r>
      <w:r w:rsidRPr="007740EF">
        <w:rPr>
          <w:rFonts w:cs="Arial"/>
          <w:color w:val="2E74B5" w:themeColor="accent1" w:themeShade="BF"/>
          <w:sz w:val="24"/>
          <w:szCs w:val="24"/>
        </w:rPr>
        <w:t xml:space="preserve">y, por lo tanto, lo </w:t>
      </w:r>
      <w:r w:rsidRPr="007740EF">
        <w:rPr>
          <w:rFonts w:cs="Arial"/>
          <w:b/>
          <w:color w:val="2E74B5" w:themeColor="accent1" w:themeShade="BF"/>
          <w:sz w:val="24"/>
          <w:szCs w:val="24"/>
        </w:rPr>
        <w:t>conmina</w:t>
      </w:r>
      <w:r w:rsidRPr="007740EF">
        <w:rPr>
          <w:rFonts w:cs="Arial"/>
          <w:color w:val="2E74B5" w:themeColor="accent1" w:themeShade="BF"/>
          <w:sz w:val="24"/>
          <w:szCs w:val="24"/>
        </w:rPr>
        <w:t xml:space="preserve"> a que emita otra respuesta en la que:</w:t>
      </w:r>
    </w:p>
    <w:p w:rsidR="007B3889" w:rsidRPr="007740EF" w:rsidRDefault="007B3889" w:rsidP="001E7B64">
      <w:pPr>
        <w:pStyle w:val="corte4fondo"/>
        <w:tabs>
          <w:tab w:val="left" w:pos="567"/>
        </w:tabs>
        <w:spacing w:line="276" w:lineRule="auto"/>
        <w:rPr>
          <w:rFonts w:cs="Arial"/>
          <w:color w:val="2E74B5" w:themeColor="accent1" w:themeShade="BF"/>
          <w:sz w:val="24"/>
          <w:szCs w:val="24"/>
        </w:rPr>
      </w:pPr>
    </w:p>
    <w:p w:rsidR="007B3889" w:rsidRPr="007740EF" w:rsidRDefault="007B3889" w:rsidP="001E7B64">
      <w:pPr>
        <w:pStyle w:val="corte4fondo"/>
        <w:numPr>
          <w:ilvl w:val="0"/>
          <w:numId w:val="8"/>
        </w:numPr>
        <w:spacing w:line="276" w:lineRule="auto"/>
        <w:ind w:left="1069" w:firstLine="0"/>
        <w:rPr>
          <w:rFonts w:cs="Arial"/>
          <w:color w:val="2E74B5" w:themeColor="accent1" w:themeShade="BF"/>
          <w:sz w:val="24"/>
          <w:szCs w:val="24"/>
        </w:rPr>
      </w:pPr>
      <w:r w:rsidRPr="007740EF">
        <w:rPr>
          <w:rFonts w:cs="Arial"/>
          <w:color w:val="2E74B5" w:themeColor="accent1" w:themeShade="BF"/>
          <w:sz w:val="24"/>
          <w:szCs w:val="24"/>
        </w:rPr>
        <w:t>Justifique o en su caso señale el motivo por el cual ya en el segundo listado</w:t>
      </w:r>
      <w:r w:rsidR="001E7B64" w:rsidRPr="007740EF">
        <w:rPr>
          <w:rFonts w:cs="Arial"/>
          <w:color w:val="2E74B5" w:themeColor="accent1" w:themeShade="BF"/>
          <w:sz w:val="24"/>
          <w:szCs w:val="24"/>
        </w:rPr>
        <w:t xml:space="preserve"> entregado al solicitante</w:t>
      </w:r>
      <w:r w:rsidRPr="007740EF">
        <w:rPr>
          <w:rFonts w:cs="Arial"/>
          <w:color w:val="2E74B5" w:themeColor="accent1" w:themeShade="BF"/>
          <w:sz w:val="24"/>
          <w:szCs w:val="24"/>
        </w:rPr>
        <w:t xml:space="preserve"> no aparece la docente Mena Manrique Ana María, o en su caso </w:t>
      </w:r>
      <w:r w:rsidR="00C77FD0" w:rsidRPr="007740EF">
        <w:rPr>
          <w:rFonts w:cs="Arial"/>
          <w:color w:val="2E74B5" w:themeColor="accent1" w:themeShade="BF"/>
          <w:sz w:val="24"/>
          <w:szCs w:val="24"/>
        </w:rPr>
        <w:t xml:space="preserve">permita </w:t>
      </w:r>
      <w:r w:rsidR="00C77FD0">
        <w:rPr>
          <w:rFonts w:cs="Arial"/>
          <w:color w:val="2E74B5" w:themeColor="accent1" w:themeShade="BF"/>
          <w:sz w:val="24"/>
          <w:szCs w:val="24"/>
        </w:rPr>
        <w:t xml:space="preserve">el acceso a la información y entregue </w:t>
      </w:r>
      <w:r w:rsidRPr="007740EF">
        <w:rPr>
          <w:rFonts w:cs="Arial"/>
          <w:color w:val="2E74B5" w:themeColor="accent1" w:themeShade="BF"/>
          <w:sz w:val="24"/>
          <w:szCs w:val="24"/>
        </w:rPr>
        <w:t>de manera correcta y completa los listados de los servidores públicos q</w:t>
      </w:r>
      <w:r w:rsidR="001E7B64" w:rsidRPr="007740EF">
        <w:rPr>
          <w:rFonts w:cs="Arial"/>
          <w:color w:val="2E74B5" w:themeColor="accent1" w:themeShade="BF"/>
          <w:sz w:val="24"/>
          <w:szCs w:val="24"/>
        </w:rPr>
        <w:t>u</w:t>
      </w:r>
      <w:r w:rsidRPr="007740EF">
        <w:rPr>
          <w:rFonts w:cs="Arial"/>
          <w:color w:val="2E74B5" w:themeColor="accent1" w:themeShade="BF"/>
          <w:sz w:val="24"/>
          <w:szCs w:val="24"/>
        </w:rPr>
        <w:t>e cuentan con 40 y 48 horas de tiempo completo, sean estas propias, o interinas de los semestres par e impar I y II de los ciclos escolares 2014- 2015, 2015-2016</w:t>
      </w:r>
      <w:r w:rsidR="001E7B64" w:rsidRPr="007740EF">
        <w:rPr>
          <w:rFonts w:cs="Arial"/>
          <w:color w:val="2E74B5" w:themeColor="accent1" w:themeShade="BF"/>
          <w:sz w:val="24"/>
          <w:szCs w:val="24"/>
        </w:rPr>
        <w:t xml:space="preserve"> y 2017-2018.</w:t>
      </w:r>
    </w:p>
    <w:p w:rsidR="00510ECE" w:rsidRPr="007740EF" w:rsidRDefault="00510ECE" w:rsidP="001E7B64">
      <w:pPr>
        <w:pStyle w:val="corte4fondo"/>
        <w:tabs>
          <w:tab w:val="left" w:pos="567"/>
        </w:tabs>
        <w:spacing w:line="276" w:lineRule="auto"/>
        <w:rPr>
          <w:rFonts w:cs="Arial"/>
          <w:color w:val="2E74B5" w:themeColor="accent1" w:themeShade="BF"/>
          <w:sz w:val="24"/>
          <w:szCs w:val="24"/>
        </w:rPr>
      </w:pPr>
    </w:p>
    <w:p w:rsidR="00510ECE" w:rsidRPr="007740EF" w:rsidRDefault="007740EF" w:rsidP="001E7B64">
      <w:pPr>
        <w:pStyle w:val="NormalWeb"/>
        <w:spacing w:before="0" w:beforeAutospacing="0" w:after="0" w:afterAutospacing="0" w:line="276" w:lineRule="auto"/>
        <w:jc w:val="both"/>
        <w:rPr>
          <w:rFonts w:ascii="Arial" w:hAnsi="Arial" w:cs="Arial"/>
          <w:b/>
          <w:color w:val="2E74B5" w:themeColor="accent1" w:themeShade="BF"/>
        </w:rPr>
      </w:pPr>
      <w:r w:rsidRPr="007740EF">
        <w:rPr>
          <w:rFonts w:ascii="Arial" w:hAnsi="Arial" w:cs="Arial"/>
          <w:b/>
          <w:color w:val="2E74B5" w:themeColor="accent1" w:themeShade="BF"/>
        </w:rPr>
        <w:lastRenderedPageBreak/>
        <w:t>7</w:t>
      </w:r>
      <w:r w:rsidR="00510ECE" w:rsidRPr="007740EF">
        <w:rPr>
          <w:rFonts w:ascii="Arial" w:hAnsi="Arial" w:cs="Arial"/>
          <w:b/>
          <w:color w:val="2E74B5" w:themeColor="accent1" w:themeShade="BF"/>
        </w:rPr>
        <w:t>.</w:t>
      </w:r>
      <w:r w:rsidRPr="007740EF">
        <w:rPr>
          <w:rFonts w:ascii="Arial" w:hAnsi="Arial" w:cs="Arial"/>
          <w:b/>
          <w:color w:val="2E74B5" w:themeColor="accent1" w:themeShade="BF"/>
        </w:rPr>
        <w:t>4</w:t>
      </w:r>
      <w:r w:rsidR="00510ECE" w:rsidRPr="007740EF">
        <w:rPr>
          <w:rFonts w:ascii="Arial" w:hAnsi="Arial" w:cs="Arial"/>
          <w:b/>
          <w:color w:val="2E74B5" w:themeColor="accent1" w:themeShade="BF"/>
        </w:rPr>
        <w:t>. Precisiones de esta resolución.</w:t>
      </w:r>
    </w:p>
    <w:p w:rsidR="00510ECE" w:rsidRPr="007740EF" w:rsidRDefault="00510ECE" w:rsidP="001E7B64">
      <w:pPr>
        <w:pStyle w:val="NormalWeb"/>
        <w:spacing w:before="0" w:beforeAutospacing="0" w:after="0" w:afterAutospacing="0" w:line="276" w:lineRule="auto"/>
        <w:jc w:val="both"/>
        <w:rPr>
          <w:rFonts w:ascii="Arial" w:hAnsi="Arial" w:cs="Arial"/>
          <w:b/>
          <w:color w:val="2E74B5" w:themeColor="accent1" w:themeShade="BF"/>
        </w:rPr>
      </w:pPr>
    </w:p>
    <w:p w:rsidR="00510ECE" w:rsidRPr="007740EF" w:rsidRDefault="00510ECE" w:rsidP="001E7B64">
      <w:pPr>
        <w:pStyle w:val="NormalWeb"/>
        <w:spacing w:before="0" w:beforeAutospacing="0" w:after="0" w:afterAutospacing="0" w:line="276" w:lineRule="auto"/>
        <w:ind w:firstLine="708"/>
        <w:jc w:val="both"/>
        <w:rPr>
          <w:rFonts w:ascii="Arial" w:hAnsi="Arial" w:cs="Arial"/>
          <w:color w:val="2E74B5" w:themeColor="accent1" w:themeShade="BF"/>
        </w:rPr>
      </w:pPr>
      <w:r w:rsidRPr="007740EF">
        <w:rPr>
          <w:rFonts w:ascii="Arial" w:hAnsi="Arial" w:cs="Arial"/>
          <w:color w:val="2E74B5" w:themeColor="accent1" w:themeShade="BF"/>
        </w:rPr>
        <w:t>De conformidad con la última parte del artículo 176 de la Ley de Transparencia está Comisión de Transparencia establece los siguientes términos para el cumplimiento de la resolución.</w:t>
      </w:r>
    </w:p>
    <w:p w:rsidR="00510ECE" w:rsidRPr="007740EF" w:rsidRDefault="00510ECE" w:rsidP="001E7B64">
      <w:pPr>
        <w:pStyle w:val="NormalWeb"/>
        <w:spacing w:before="0" w:beforeAutospacing="0" w:after="0" w:afterAutospacing="0" w:line="276" w:lineRule="auto"/>
        <w:ind w:firstLine="708"/>
        <w:jc w:val="both"/>
        <w:rPr>
          <w:rFonts w:ascii="Arial" w:hAnsi="Arial" w:cs="Arial"/>
          <w:color w:val="2E74B5" w:themeColor="accent1" w:themeShade="BF"/>
        </w:rPr>
      </w:pPr>
    </w:p>
    <w:p w:rsidR="00510ECE" w:rsidRPr="007740EF" w:rsidRDefault="00510ECE" w:rsidP="001E7B64">
      <w:pPr>
        <w:pStyle w:val="corte4fondo"/>
        <w:numPr>
          <w:ilvl w:val="0"/>
          <w:numId w:val="5"/>
        </w:numPr>
        <w:tabs>
          <w:tab w:val="left" w:pos="567"/>
        </w:tabs>
        <w:spacing w:line="276" w:lineRule="auto"/>
        <w:rPr>
          <w:rFonts w:cs="Arial"/>
          <w:color w:val="2E74B5" w:themeColor="accent1" w:themeShade="BF"/>
          <w:sz w:val="23"/>
          <w:szCs w:val="23"/>
        </w:rPr>
      </w:pPr>
      <w:r w:rsidRPr="007740EF">
        <w:rPr>
          <w:rFonts w:cs="Arial"/>
          <w:color w:val="2E74B5" w:themeColor="accent1" w:themeShade="BF"/>
          <w:sz w:val="23"/>
          <w:szCs w:val="23"/>
        </w:rPr>
        <w:t xml:space="preserve">En cuanto a lo ordenado, se reitera que la información debe de entregarse en la modalidad solicitada, </w:t>
      </w:r>
      <w:r w:rsidRPr="007740EF">
        <w:rPr>
          <w:rFonts w:cs="Arial"/>
          <w:color w:val="2E74B5" w:themeColor="accent1" w:themeShade="BF"/>
          <w:sz w:val="24"/>
          <w:szCs w:val="24"/>
        </w:rPr>
        <w:t>en la inteligencia de que esta deberá ponerse a disposición del aquí recurrente en alguna de las Unidades de Transparencia de la Secretaría de Educación y/o Sistema Educativo Estatal Regular, ello de conformidad con los artículos 54 fracción VIII, 55 y 151 de la ley de la materia, así como en el acuerdo de Pleno CEGAIP-428/2018 S.E., emitido en la sesión extraordinaria de 20 de abril de 2018 dos mil dieciocho</w:t>
      </w:r>
      <w:r w:rsidRPr="007740EF">
        <w:rPr>
          <w:rFonts w:cs="Arial"/>
          <w:color w:val="2E74B5" w:themeColor="accent1" w:themeShade="BF"/>
          <w:sz w:val="23"/>
          <w:szCs w:val="23"/>
        </w:rPr>
        <w:t xml:space="preserve">. </w:t>
      </w:r>
    </w:p>
    <w:p w:rsidR="00510ECE" w:rsidRPr="007740EF" w:rsidRDefault="00510ECE" w:rsidP="001E7B64">
      <w:pPr>
        <w:pStyle w:val="corte4fondo"/>
        <w:tabs>
          <w:tab w:val="left" w:pos="567"/>
        </w:tabs>
        <w:spacing w:line="276" w:lineRule="auto"/>
        <w:ind w:left="720" w:firstLine="0"/>
        <w:rPr>
          <w:rFonts w:cs="Arial"/>
          <w:color w:val="2E74B5" w:themeColor="accent1" w:themeShade="BF"/>
          <w:sz w:val="24"/>
          <w:szCs w:val="24"/>
        </w:rPr>
      </w:pPr>
    </w:p>
    <w:p w:rsidR="00510ECE" w:rsidRPr="007740EF" w:rsidRDefault="00510ECE" w:rsidP="001E7B64">
      <w:pPr>
        <w:pStyle w:val="corte4fondo"/>
        <w:numPr>
          <w:ilvl w:val="0"/>
          <w:numId w:val="5"/>
        </w:numPr>
        <w:tabs>
          <w:tab w:val="left" w:pos="567"/>
        </w:tabs>
        <w:spacing w:line="276" w:lineRule="auto"/>
        <w:rPr>
          <w:rFonts w:cs="Arial"/>
          <w:color w:val="2E74B5" w:themeColor="accent1" w:themeShade="BF"/>
          <w:sz w:val="24"/>
          <w:szCs w:val="24"/>
        </w:rPr>
      </w:pPr>
      <w:r w:rsidRPr="007740EF">
        <w:rPr>
          <w:rFonts w:cs="Arial"/>
          <w:color w:val="2E74B5" w:themeColor="accent1" w:themeShade="BF"/>
          <w:sz w:val="25"/>
          <w:szCs w:val="25"/>
        </w:rPr>
        <w:t>El sujeto obligado deberá de cuidar en todo momento que la información que entregará no contenga datos personales o confidenciales, pues en caso de contener información con esos datos, deberá de elaborar la versión pública a costa del solicitante.</w:t>
      </w:r>
    </w:p>
    <w:p w:rsidR="00510ECE" w:rsidRPr="007740EF" w:rsidRDefault="00510ECE" w:rsidP="001E7B64">
      <w:pPr>
        <w:pStyle w:val="NormalWeb"/>
        <w:spacing w:before="0" w:beforeAutospacing="0" w:after="0" w:afterAutospacing="0" w:line="276" w:lineRule="auto"/>
        <w:ind w:firstLine="708"/>
        <w:jc w:val="both"/>
        <w:rPr>
          <w:rFonts w:ascii="Arial" w:hAnsi="Arial" w:cs="Arial"/>
          <w:color w:val="2E74B5" w:themeColor="accent1" w:themeShade="BF"/>
        </w:rPr>
      </w:pPr>
    </w:p>
    <w:p w:rsidR="00510ECE" w:rsidRPr="007740EF" w:rsidRDefault="007740EF" w:rsidP="001E7B64">
      <w:pPr>
        <w:pStyle w:val="NormalWeb"/>
        <w:spacing w:before="0" w:beforeAutospacing="0" w:after="0" w:afterAutospacing="0" w:line="276" w:lineRule="auto"/>
        <w:jc w:val="both"/>
        <w:rPr>
          <w:rFonts w:ascii="Arial" w:hAnsi="Arial" w:cs="Arial"/>
          <w:b/>
          <w:color w:val="2E74B5" w:themeColor="accent1" w:themeShade="BF"/>
        </w:rPr>
      </w:pPr>
      <w:r w:rsidRPr="007740EF">
        <w:rPr>
          <w:rFonts w:ascii="Arial" w:hAnsi="Arial" w:cs="Arial"/>
          <w:b/>
          <w:color w:val="2E74B5" w:themeColor="accent1" w:themeShade="BF"/>
        </w:rPr>
        <w:t>7</w:t>
      </w:r>
      <w:r w:rsidR="00510ECE" w:rsidRPr="007740EF">
        <w:rPr>
          <w:rFonts w:ascii="Arial" w:hAnsi="Arial" w:cs="Arial"/>
          <w:b/>
          <w:color w:val="2E74B5" w:themeColor="accent1" w:themeShade="BF"/>
        </w:rPr>
        <w:t>.</w:t>
      </w:r>
      <w:r w:rsidRPr="007740EF">
        <w:rPr>
          <w:rFonts w:ascii="Arial" w:hAnsi="Arial" w:cs="Arial"/>
          <w:b/>
          <w:color w:val="2E74B5" w:themeColor="accent1" w:themeShade="BF"/>
        </w:rPr>
        <w:t>5</w:t>
      </w:r>
      <w:r w:rsidR="00510ECE" w:rsidRPr="007740EF">
        <w:rPr>
          <w:rFonts w:ascii="Arial" w:hAnsi="Arial" w:cs="Arial"/>
          <w:b/>
          <w:color w:val="2E74B5" w:themeColor="accent1" w:themeShade="BF"/>
        </w:rPr>
        <w:t>. Plazo de diez días hábiles para el cumplimento de esta resolución.</w:t>
      </w:r>
    </w:p>
    <w:p w:rsidR="00510ECE" w:rsidRPr="007740EF" w:rsidRDefault="00510ECE" w:rsidP="001E7B64">
      <w:pPr>
        <w:pStyle w:val="NormalWeb"/>
        <w:spacing w:before="0" w:beforeAutospacing="0" w:after="0" w:afterAutospacing="0" w:line="276" w:lineRule="auto"/>
        <w:jc w:val="both"/>
        <w:rPr>
          <w:rFonts w:ascii="Arial" w:hAnsi="Arial" w:cs="Arial"/>
          <w:color w:val="2E74B5" w:themeColor="accent1" w:themeShade="BF"/>
        </w:rPr>
      </w:pPr>
    </w:p>
    <w:p w:rsidR="00510ECE" w:rsidRPr="007740EF" w:rsidRDefault="00510ECE" w:rsidP="001E7B64">
      <w:pPr>
        <w:pStyle w:val="NormalWeb"/>
        <w:spacing w:before="0" w:beforeAutospacing="0" w:after="0" w:afterAutospacing="0" w:line="276" w:lineRule="auto"/>
        <w:ind w:firstLine="708"/>
        <w:jc w:val="both"/>
        <w:rPr>
          <w:rFonts w:ascii="Arial" w:hAnsi="Arial" w:cs="Arial"/>
          <w:color w:val="2E74B5" w:themeColor="accent1" w:themeShade="BF"/>
        </w:rPr>
      </w:pPr>
      <w:r w:rsidRPr="007740EF">
        <w:rPr>
          <w:rFonts w:ascii="Arial" w:hAnsi="Arial" w:cs="Arial"/>
          <w:color w:val="2E74B5" w:themeColor="accent1" w:themeShade="BF"/>
        </w:rPr>
        <w:t>Con fundamento en el artículo 175 de la Ley de Transparencia y Acceso a la Información Pública del Estado, este órgano colegiado le concede al sujeto obligado el plazo de diez días para la entrega de la información, plazo que es el que está Comisión de Transparencia considera que es suficiente, ya que es el máximo autorizado por el citado precepto.</w:t>
      </w:r>
    </w:p>
    <w:p w:rsidR="00510ECE" w:rsidRPr="007740EF" w:rsidRDefault="00510ECE" w:rsidP="001E7B64">
      <w:pPr>
        <w:pStyle w:val="NormalWeb"/>
        <w:spacing w:before="0" w:beforeAutospacing="0" w:after="0" w:afterAutospacing="0" w:line="276" w:lineRule="auto"/>
        <w:jc w:val="both"/>
        <w:rPr>
          <w:rFonts w:ascii="Arial" w:hAnsi="Arial" w:cs="Arial"/>
          <w:color w:val="2E74B5" w:themeColor="accent1" w:themeShade="BF"/>
        </w:rPr>
      </w:pPr>
    </w:p>
    <w:p w:rsidR="00510ECE" w:rsidRPr="007740EF" w:rsidRDefault="007740EF" w:rsidP="001E7B64">
      <w:pPr>
        <w:pStyle w:val="NormalWeb"/>
        <w:spacing w:before="0" w:beforeAutospacing="0" w:after="0" w:afterAutospacing="0" w:line="276" w:lineRule="auto"/>
        <w:jc w:val="both"/>
        <w:rPr>
          <w:rFonts w:ascii="Arial" w:hAnsi="Arial" w:cs="Arial"/>
          <w:b/>
          <w:color w:val="2E74B5" w:themeColor="accent1" w:themeShade="BF"/>
        </w:rPr>
      </w:pPr>
      <w:r w:rsidRPr="007740EF">
        <w:rPr>
          <w:rFonts w:ascii="Arial" w:hAnsi="Arial" w:cs="Arial"/>
          <w:b/>
          <w:color w:val="2E74B5" w:themeColor="accent1" w:themeShade="BF"/>
        </w:rPr>
        <w:t>7</w:t>
      </w:r>
      <w:r w:rsidR="00510ECE" w:rsidRPr="007740EF">
        <w:rPr>
          <w:rFonts w:ascii="Arial" w:hAnsi="Arial" w:cs="Arial"/>
          <w:b/>
          <w:color w:val="2E74B5" w:themeColor="accent1" w:themeShade="BF"/>
        </w:rPr>
        <w:t>.</w:t>
      </w:r>
      <w:r w:rsidRPr="007740EF">
        <w:rPr>
          <w:rFonts w:ascii="Arial" w:hAnsi="Arial" w:cs="Arial"/>
          <w:b/>
          <w:color w:val="2E74B5" w:themeColor="accent1" w:themeShade="BF"/>
        </w:rPr>
        <w:t>6</w:t>
      </w:r>
      <w:r w:rsidR="00510ECE" w:rsidRPr="007740EF">
        <w:rPr>
          <w:rFonts w:ascii="Arial" w:hAnsi="Arial" w:cs="Arial"/>
          <w:b/>
          <w:color w:val="2E74B5" w:themeColor="accent1" w:themeShade="BF"/>
        </w:rPr>
        <w:t>. Informe sobre el cumplimento a la resolución dentro del plazo de tres días hábiles.</w:t>
      </w:r>
    </w:p>
    <w:p w:rsidR="00510ECE" w:rsidRPr="007740EF" w:rsidRDefault="00510ECE" w:rsidP="001E7B64">
      <w:pPr>
        <w:pStyle w:val="NormalWeb"/>
        <w:spacing w:before="0" w:beforeAutospacing="0" w:after="0" w:afterAutospacing="0" w:line="276" w:lineRule="auto"/>
        <w:jc w:val="both"/>
        <w:rPr>
          <w:rFonts w:ascii="Arial" w:hAnsi="Arial" w:cs="Arial"/>
          <w:b/>
          <w:color w:val="2E74B5" w:themeColor="accent1" w:themeShade="BF"/>
        </w:rPr>
      </w:pPr>
    </w:p>
    <w:p w:rsidR="00510ECE" w:rsidRPr="007740EF" w:rsidRDefault="00510ECE" w:rsidP="001E7B64">
      <w:pPr>
        <w:pStyle w:val="NormalWeb"/>
        <w:spacing w:before="0" w:beforeAutospacing="0" w:after="0" w:afterAutospacing="0" w:line="276" w:lineRule="auto"/>
        <w:ind w:firstLine="708"/>
        <w:jc w:val="both"/>
        <w:rPr>
          <w:rFonts w:ascii="Arial" w:hAnsi="Arial" w:cs="Arial"/>
          <w:color w:val="2E74B5" w:themeColor="accent1" w:themeShade="BF"/>
        </w:rPr>
      </w:pPr>
      <w:r w:rsidRPr="007740EF">
        <w:rPr>
          <w:rFonts w:ascii="Arial" w:hAnsi="Arial" w:cs="Arial"/>
          <w:color w:val="2E74B5" w:themeColor="accent1" w:themeShade="BF"/>
        </w:rPr>
        <w:t>De conformidad con el artículo 177, segundo párrafo, el sujeto obligado deberá de informar a esta Comisión de Transparencia el cumplimento a la presente resolución en un plazo que no deberá de exceder de tres días siguientes a los diez días que tiene para la entrega de la información en donde justificará con los documentos necesarios el cumplimento a lo aquí ordenado.</w:t>
      </w:r>
    </w:p>
    <w:p w:rsidR="00510ECE" w:rsidRPr="007740EF" w:rsidRDefault="00510ECE" w:rsidP="001E7B64">
      <w:pPr>
        <w:pStyle w:val="NormalWeb"/>
        <w:spacing w:before="0" w:beforeAutospacing="0" w:after="0" w:afterAutospacing="0" w:line="276" w:lineRule="auto"/>
        <w:ind w:firstLine="708"/>
        <w:jc w:val="both"/>
        <w:rPr>
          <w:rFonts w:ascii="Arial" w:hAnsi="Arial" w:cs="Arial"/>
          <w:color w:val="2E74B5" w:themeColor="accent1" w:themeShade="BF"/>
        </w:rPr>
      </w:pPr>
    </w:p>
    <w:p w:rsidR="00510ECE" w:rsidRPr="007740EF" w:rsidRDefault="007740EF" w:rsidP="001E7B64">
      <w:pPr>
        <w:pStyle w:val="NormalWeb"/>
        <w:spacing w:before="0" w:beforeAutospacing="0" w:after="0" w:afterAutospacing="0" w:line="276" w:lineRule="auto"/>
        <w:jc w:val="both"/>
        <w:rPr>
          <w:rFonts w:ascii="Arial" w:hAnsi="Arial" w:cs="Arial"/>
          <w:b/>
          <w:color w:val="2E74B5" w:themeColor="accent1" w:themeShade="BF"/>
        </w:rPr>
      </w:pPr>
      <w:r w:rsidRPr="007740EF">
        <w:rPr>
          <w:rFonts w:ascii="Arial" w:hAnsi="Arial" w:cs="Arial"/>
          <w:b/>
          <w:color w:val="2E74B5" w:themeColor="accent1" w:themeShade="BF"/>
        </w:rPr>
        <w:t>7</w:t>
      </w:r>
      <w:r w:rsidR="00510ECE" w:rsidRPr="007740EF">
        <w:rPr>
          <w:rFonts w:ascii="Arial" w:hAnsi="Arial" w:cs="Arial"/>
          <w:b/>
          <w:color w:val="2E74B5" w:themeColor="accent1" w:themeShade="BF"/>
        </w:rPr>
        <w:t>.</w:t>
      </w:r>
      <w:r w:rsidRPr="007740EF">
        <w:rPr>
          <w:rFonts w:ascii="Arial" w:hAnsi="Arial" w:cs="Arial"/>
          <w:b/>
          <w:color w:val="2E74B5" w:themeColor="accent1" w:themeShade="BF"/>
        </w:rPr>
        <w:t>7</w:t>
      </w:r>
      <w:r w:rsidR="00510ECE" w:rsidRPr="007740EF">
        <w:rPr>
          <w:rFonts w:ascii="Arial" w:hAnsi="Arial" w:cs="Arial"/>
          <w:b/>
          <w:color w:val="2E74B5" w:themeColor="accent1" w:themeShade="BF"/>
        </w:rPr>
        <w:t>. Medida de apremio en caso de incumplimiento a la resolución.</w:t>
      </w:r>
    </w:p>
    <w:p w:rsidR="00510ECE" w:rsidRPr="007740EF" w:rsidRDefault="00510ECE" w:rsidP="001E7B64">
      <w:pPr>
        <w:pStyle w:val="NormalWeb"/>
        <w:spacing w:before="0" w:beforeAutospacing="0" w:after="0" w:afterAutospacing="0" w:line="276" w:lineRule="auto"/>
        <w:jc w:val="both"/>
        <w:rPr>
          <w:rFonts w:ascii="Arial" w:hAnsi="Arial" w:cs="Arial"/>
          <w:color w:val="2E74B5" w:themeColor="accent1" w:themeShade="BF"/>
        </w:rPr>
      </w:pPr>
    </w:p>
    <w:p w:rsidR="00510ECE" w:rsidRPr="007740EF" w:rsidRDefault="00510ECE" w:rsidP="001E7B64">
      <w:pPr>
        <w:pStyle w:val="corte4fondo"/>
        <w:tabs>
          <w:tab w:val="left" w:pos="567"/>
        </w:tabs>
        <w:spacing w:line="276" w:lineRule="auto"/>
        <w:rPr>
          <w:rFonts w:cs="Arial"/>
          <w:color w:val="2E74B5" w:themeColor="accent1" w:themeShade="BF"/>
          <w:sz w:val="24"/>
          <w:szCs w:val="24"/>
        </w:rPr>
      </w:pPr>
      <w:r w:rsidRPr="007740EF">
        <w:rPr>
          <w:rFonts w:cs="Arial"/>
          <w:color w:val="2E74B5" w:themeColor="accent1" w:themeShade="BF"/>
          <w:sz w:val="24"/>
          <w:szCs w:val="24"/>
        </w:rPr>
        <w:t xml:space="preserve">Esta Comisión Estatal de Garantía de Acceso a la Información Pública apercibe al ente obligado que, en caso de no acatar la presente resolución, podrá ser acreedor de alguna de las medidas de apremio establecidas en el artículo 190 de la Ley de Transparencia, en virtud de que este órgano colegiado debe de garantizar el debido cumplimiento al derecho humano de acceso a la información pública.  </w:t>
      </w:r>
    </w:p>
    <w:p w:rsidR="00510ECE" w:rsidRPr="007740EF" w:rsidRDefault="00510ECE" w:rsidP="001E7B64">
      <w:pPr>
        <w:pStyle w:val="corte4fondo"/>
        <w:tabs>
          <w:tab w:val="left" w:pos="567"/>
        </w:tabs>
        <w:spacing w:line="276" w:lineRule="auto"/>
        <w:ind w:left="720" w:firstLine="0"/>
        <w:rPr>
          <w:rFonts w:cs="Arial"/>
          <w:b/>
          <w:color w:val="2E74B5" w:themeColor="accent1" w:themeShade="BF"/>
          <w:sz w:val="24"/>
          <w:szCs w:val="24"/>
        </w:rPr>
      </w:pPr>
    </w:p>
    <w:p w:rsidR="00510ECE" w:rsidRPr="007740EF" w:rsidRDefault="004713EA" w:rsidP="001E7B64">
      <w:pPr>
        <w:pStyle w:val="NormalWeb"/>
        <w:spacing w:before="0" w:beforeAutospacing="0" w:after="0" w:afterAutospacing="0" w:line="276" w:lineRule="auto"/>
        <w:jc w:val="both"/>
        <w:rPr>
          <w:rFonts w:ascii="Arial" w:hAnsi="Arial" w:cs="Arial"/>
          <w:b/>
          <w:color w:val="2E74B5" w:themeColor="accent1" w:themeShade="BF"/>
        </w:rPr>
      </w:pPr>
      <w:r>
        <w:rPr>
          <w:rFonts w:ascii="Arial" w:hAnsi="Arial" w:cs="Arial"/>
          <w:b/>
          <w:color w:val="2E74B5" w:themeColor="accent1" w:themeShade="BF"/>
        </w:rPr>
        <w:t xml:space="preserve">7.8. </w:t>
      </w:r>
      <w:r w:rsidR="00510ECE" w:rsidRPr="007740EF">
        <w:rPr>
          <w:rFonts w:ascii="Arial" w:hAnsi="Arial" w:cs="Arial"/>
          <w:b/>
          <w:color w:val="2E74B5" w:themeColor="accent1" w:themeShade="BF"/>
        </w:rPr>
        <w:t>Medios de impugnación.</w:t>
      </w:r>
    </w:p>
    <w:p w:rsidR="00510ECE" w:rsidRPr="007740EF" w:rsidRDefault="00510ECE" w:rsidP="001E7B64">
      <w:pPr>
        <w:pStyle w:val="NormalWeb"/>
        <w:spacing w:before="0" w:beforeAutospacing="0" w:after="0" w:afterAutospacing="0" w:line="276" w:lineRule="auto"/>
        <w:jc w:val="both"/>
        <w:rPr>
          <w:rFonts w:ascii="Arial" w:hAnsi="Arial" w:cs="Arial"/>
          <w:b/>
          <w:color w:val="2E74B5" w:themeColor="accent1" w:themeShade="BF"/>
        </w:rPr>
      </w:pPr>
    </w:p>
    <w:p w:rsidR="00510ECE" w:rsidRPr="007740EF" w:rsidRDefault="00510ECE" w:rsidP="001E7B64">
      <w:pPr>
        <w:pStyle w:val="NormalWeb"/>
        <w:spacing w:before="0" w:beforeAutospacing="0" w:after="0" w:afterAutospacing="0" w:line="276" w:lineRule="auto"/>
        <w:ind w:firstLine="708"/>
        <w:jc w:val="both"/>
        <w:rPr>
          <w:rFonts w:ascii="Arial" w:hAnsi="Arial" w:cs="Arial"/>
          <w:color w:val="2E74B5" w:themeColor="accent1" w:themeShade="BF"/>
        </w:rPr>
      </w:pPr>
      <w:r w:rsidRPr="007740EF">
        <w:rPr>
          <w:rFonts w:ascii="Arial" w:hAnsi="Arial" w:cs="Arial"/>
          <w:color w:val="2E74B5" w:themeColor="accent1" w:themeShade="BF"/>
        </w:rPr>
        <w:lastRenderedPageBreak/>
        <w:t>Por último, de conformidad con el artículo 159 de la Ley General de Transparencia y Acceso a la Información Pública mediante la presente resolución se hace del conocimien</w:t>
      </w:r>
      <w:r w:rsidR="00E2762F">
        <w:rPr>
          <w:rFonts w:ascii="Arial" w:hAnsi="Arial" w:cs="Arial"/>
          <w:color w:val="2E74B5" w:themeColor="accent1" w:themeShade="BF"/>
        </w:rPr>
        <w:t xml:space="preserve">to a la parte recurrente que </w:t>
      </w:r>
      <w:r w:rsidRPr="007740EF">
        <w:rPr>
          <w:rFonts w:ascii="Arial" w:hAnsi="Arial" w:cs="Arial"/>
          <w:color w:val="2E74B5" w:themeColor="accent1" w:themeShade="BF"/>
        </w:rPr>
        <w:t>contra de la    presente determinación puede acudir ante el Instituto Nacional de Transparencia, Acceso a la Información y Protección de Datos Personales o ante el Poder Judicial de la Federación.</w:t>
      </w:r>
    </w:p>
    <w:p w:rsidR="00510ECE" w:rsidRPr="007740EF" w:rsidRDefault="00510ECE" w:rsidP="001E7B64">
      <w:pPr>
        <w:pStyle w:val="NormalWeb"/>
        <w:spacing w:before="0" w:beforeAutospacing="0" w:after="0" w:afterAutospacing="0" w:line="276" w:lineRule="auto"/>
        <w:ind w:firstLine="708"/>
        <w:jc w:val="both"/>
        <w:rPr>
          <w:rFonts w:ascii="Arial" w:hAnsi="Arial" w:cs="Arial"/>
          <w:color w:val="2E74B5" w:themeColor="accent1" w:themeShade="BF"/>
        </w:rPr>
      </w:pPr>
    </w:p>
    <w:p w:rsidR="00510ECE" w:rsidRPr="007740EF" w:rsidRDefault="00510ECE" w:rsidP="001E7B64">
      <w:pPr>
        <w:pStyle w:val="NormalWeb"/>
        <w:spacing w:before="0" w:beforeAutospacing="0" w:after="0" w:afterAutospacing="0" w:line="276" w:lineRule="auto"/>
        <w:ind w:firstLine="708"/>
        <w:jc w:val="center"/>
        <w:rPr>
          <w:rFonts w:ascii="Arial" w:hAnsi="Arial" w:cs="Arial"/>
          <w:b/>
          <w:color w:val="2E74B5" w:themeColor="accent1" w:themeShade="BF"/>
        </w:rPr>
      </w:pPr>
      <w:r w:rsidRPr="007740EF">
        <w:rPr>
          <w:rFonts w:ascii="Arial" w:hAnsi="Arial" w:cs="Arial"/>
          <w:b/>
          <w:color w:val="2E74B5" w:themeColor="accent1" w:themeShade="BF"/>
        </w:rPr>
        <w:t>RESOLUTIVOS</w:t>
      </w:r>
    </w:p>
    <w:p w:rsidR="00510ECE" w:rsidRPr="007740EF" w:rsidRDefault="00510ECE" w:rsidP="001E7B64">
      <w:pPr>
        <w:pStyle w:val="NormalWeb"/>
        <w:spacing w:before="0" w:beforeAutospacing="0" w:after="0" w:afterAutospacing="0" w:line="276" w:lineRule="auto"/>
        <w:jc w:val="center"/>
        <w:rPr>
          <w:rFonts w:ascii="Arial" w:hAnsi="Arial" w:cs="Arial"/>
          <w:b/>
          <w:color w:val="2E74B5" w:themeColor="accent1" w:themeShade="BF"/>
        </w:rPr>
      </w:pPr>
    </w:p>
    <w:p w:rsidR="00510ECE" w:rsidRPr="007740EF" w:rsidRDefault="00510ECE" w:rsidP="001E7B64">
      <w:pPr>
        <w:pStyle w:val="NormalWeb"/>
        <w:spacing w:before="0" w:beforeAutospacing="0" w:after="0" w:afterAutospacing="0" w:line="276" w:lineRule="auto"/>
        <w:jc w:val="both"/>
        <w:rPr>
          <w:rFonts w:ascii="Arial" w:hAnsi="Arial" w:cs="Arial"/>
          <w:color w:val="2E74B5" w:themeColor="accent1" w:themeShade="BF"/>
        </w:rPr>
      </w:pPr>
      <w:r w:rsidRPr="007740EF">
        <w:rPr>
          <w:rFonts w:ascii="Arial" w:hAnsi="Arial" w:cs="Arial"/>
          <w:color w:val="2E74B5" w:themeColor="accent1" w:themeShade="BF"/>
        </w:rPr>
        <w:t>Por lo expuesto y fundado, SE RESUELVE:</w:t>
      </w:r>
    </w:p>
    <w:p w:rsidR="00510ECE" w:rsidRPr="007740EF" w:rsidRDefault="00510ECE" w:rsidP="001E7B64">
      <w:pPr>
        <w:pStyle w:val="NormalWeb"/>
        <w:spacing w:before="0" w:beforeAutospacing="0" w:after="0" w:afterAutospacing="0" w:line="276" w:lineRule="auto"/>
        <w:jc w:val="both"/>
        <w:rPr>
          <w:rFonts w:ascii="Arial" w:hAnsi="Arial" w:cs="Arial"/>
          <w:b/>
          <w:color w:val="2E74B5" w:themeColor="accent1" w:themeShade="BF"/>
        </w:rPr>
      </w:pPr>
    </w:p>
    <w:p w:rsidR="00510ECE" w:rsidRPr="007740EF" w:rsidRDefault="00510ECE" w:rsidP="001E7B64">
      <w:pPr>
        <w:pStyle w:val="NormalWeb"/>
        <w:spacing w:before="0" w:beforeAutospacing="0" w:after="0" w:afterAutospacing="0" w:line="276" w:lineRule="auto"/>
        <w:ind w:firstLine="708"/>
        <w:jc w:val="both"/>
        <w:rPr>
          <w:rFonts w:ascii="Arial" w:hAnsi="Arial" w:cs="Arial"/>
          <w:color w:val="2E74B5" w:themeColor="accent1" w:themeShade="BF"/>
          <w:sz w:val="25"/>
          <w:szCs w:val="25"/>
          <w:lang w:val="es-MX"/>
        </w:rPr>
      </w:pPr>
      <w:r w:rsidRPr="007740EF">
        <w:rPr>
          <w:rFonts w:ascii="Arial" w:hAnsi="Arial" w:cs="Arial"/>
          <w:b/>
          <w:color w:val="2E74B5" w:themeColor="accent1" w:themeShade="BF"/>
        </w:rPr>
        <w:t>UNICO.</w:t>
      </w:r>
      <w:r w:rsidRPr="007740EF">
        <w:rPr>
          <w:rFonts w:ascii="Arial" w:hAnsi="Arial" w:cs="Arial"/>
          <w:color w:val="2E74B5" w:themeColor="accent1" w:themeShade="BF"/>
        </w:rPr>
        <w:t xml:space="preserve"> </w:t>
      </w:r>
      <w:r w:rsidRPr="007740EF">
        <w:rPr>
          <w:rFonts w:ascii="Arial" w:hAnsi="Arial" w:cs="Arial"/>
          <w:color w:val="2E74B5" w:themeColor="accent1" w:themeShade="BF"/>
          <w:sz w:val="25"/>
          <w:szCs w:val="25"/>
          <w:lang w:val="es-MX"/>
        </w:rPr>
        <w:t xml:space="preserve">Esta Comisión Estatal de Garantía y Acceso a la Información Pública </w:t>
      </w:r>
      <w:r w:rsidRPr="007740EF">
        <w:rPr>
          <w:rFonts w:ascii="Arial" w:hAnsi="Arial" w:cs="Arial"/>
          <w:b/>
          <w:color w:val="2E74B5" w:themeColor="accent1" w:themeShade="BF"/>
          <w:sz w:val="25"/>
          <w:szCs w:val="25"/>
          <w:lang w:val="es-MX"/>
        </w:rPr>
        <w:t>modifica el acto impugnado</w:t>
      </w:r>
      <w:r w:rsidRPr="007740EF">
        <w:rPr>
          <w:rFonts w:ascii="Arial" w:hAnsi="Arial" w:cs="Arial"/>
          <w:color w:val="2E74B5" w:themeColor="accent1" w:themeShade="BF"/>
          <w:sz w:val="25"/>
          <w:szCs w:val="25"/>
          <w:lang w:val="es-MX"/>
        </w:rPr>
        <w:t xml:space="preserve"> por los fundamentos y las razones desarrolladas en el considerando </w:t>
      </w:r>
      <w:r w:rsidR="002C244D" w:rsidRPr="007740EF">
        <w:rPr>
          <w:rFonts w:ascii="Arial" w:hAnsi="Arial" w:cs="Arial"/>
          <w:color w:val="2E74B5" w:themeColor="accent1" w:themeShade="BF"/>
          <w:sz w:val="25"/>
          <w:szCs w:val="25"/>
          <w:lang w:val="es-MX"/>
        </w:rPr>
        <w:t>sé</w:t>
      </w:r>
      <w:r w:rsidR="002C244D">
        <w:rPr>
          <w:rFonts w:ascii="Arial" w:hAnsi="Arial" w:cs="Arial"/>
          <w:color w:val="2E74B5" w:themeColor="accent1" w:themeShade="BF"/>
          <w:sz w:val="25"/>
          <w:szCs w:val="25"/>
          <w:lang w:val="es-MX"/>
        </w:rPr>
        <w:t>ptimo</w:t>
      </w:r>
      <w:r w:rsidRPr="007740EF">
        <w:rPr>
          <w:rFonts w:ascii="Arial" w:hAnsi="Arial" w:cs="Arial"/>
          <w:color w:val="2E74B5" w:themeColor="accent1" w:themeShade="BF"/>
          <w:sz w:val="25"/>
          <w:szCs w:val="25"/>
          <w:lang w:val="es-MX"/>
        </w:rPr>
        <w:t xml:space="preserve"> de la presente resolución.</w:t>
      </w:r>
    </w:p>
    <w:p w:rsidR="00510ECE" w:rsidRPr="007740EF" w:rsidRDefault="00510ECE" w:rsidP="001E7B64">
      <w:pPr>
        <w:pStyle w:val="NormalWeb"/>
        <w:spacing w:before="0" w:beforeAutospacing="0" w:after="0" w:afterAutospacing="0" w:line="276" w:lineRule="auto"/>
        <w:ind w:firstLine="708"/>
        <w:jc w:val="both"/>
        <w:rPr>
          <w:rFonts w:ascii="Arial" w:hAnsi="Arial" w:cs="Arial"/>
          <w:color w:val="2E74B5" w:themeColor="accent1" w:themeShade="BF"/>
        </w:rPr>
      </w:pPr>
    </w:p>
    <w:p w:rsidR="00510ECE" w:rsidRPr="007740EF" w:rsidRDefault="00510ECE" w:rsidP="001E7B64">
      <w:pPr>
        <w:pStyle w:val="corte4fondo"/>
        <w:tabs>
          <w:tab w:val="left" w:pos="567"/>
        </w:tabs>
        <w:spacing w:line="276" w:lineRule="auto"/>
        <w:rPr>
          <w:rFonts w:cs="Arial"/>
          <w:color w:val="2E74B5" w:themeColor="accent1" w:themeShade="BF"/>
          <w:sz w:val="24"/>
          <w:szCs w:val="24"/>
        </w:rPr>
      </w:pPr>
      <w:r w:rsidRPr="007740EF">
        <w:rPr>
          <w:rFonts w:cs="Arial"/>
          <w:b/>
          <w:color w:val="2E74B5" w:themeColor="accent1" w:themeShade="BF"/>
          <w:sz w:val="24"/>
          <w:szCs w:val="24"/>
        </w:rPr>
        <w:t>Notifíquese;</w:t>
      </w:r>
      <w:r w:rsidRPr="007740EF">
        <w:rPr>
          <w:rFonts w:cs="Arial"/>
          <w:color w:val="2E74B5" w:themeColor="accent1" w:themeShade="BF"/>
        </w:rPr>
        <w:t xml:space="preserve"> </w:t>
      </w:r>
      <w:r w:rsidRPr="007740EF">
        <w:rPr>
          <w:rFonts w:cs="Arial"/>
          <w:color w:val="2E74B5" w:themeColor="accent1" w:themeShade="BF"/>
          <w:sz w:val="24"/>
          <w:szCs w:val="24"/>
        </w:rPr>
        <w:t>por oficio a las autoridades y al recurrente por el medio que designó.</w:t>
      </w:r>
    </w:p>
    <w:p w:rsidR="00510ECE" w:rsidRPr="007740EF" w:rsidRDefault="00510ECE" w:rsidP="001E7B64">
      <w:pPr>
        <w:pStyle w:val="NormalWeb"/>
        <w:spacing w:before="0" w:beforeAutospacing="0" w:after="0" w:afterAutospacing="0" w:line="276" w:lineRule="auto"/>
        <w:jc w:val="both"/>
        <w:rPr>
          <w:rFonts w:ascii="Arial" w:hAnsi="Arial" w:cs="Arial"/>
          <w:color w:val="2E74B5" w:themeColor="accent1" w:themeShade="BF"/>
        </w:rPr>
      </w:pPr>
    </w:p>
    <w:p w:rsidR="00510ECE" w:rsidRPr="007740EF" w:rsidRDefault="00510ECE" w:rsidP="001E7B64">
      <w:pPr>
        <w:pStyle w:val="corte4fondo"/>
        <w:tabs>
          <w:tab w:val="left" w:pos="567"/>
        </w:tabs>
        <w:spacing w:line="276" w:lineRule="auto"/>
        <w:rPr>
          <w:rFonts w:eastAsia="Arial Unicode MS" w:cs="Arial"/>
          <w:color w:val="2E74B5" w:themeColor="accent1" w:themeShade="BF"/>
          <w:sz w:val="24"/>
          <w:szCs w:val="24"/>
        </w:rPr>
      </w:pPr>
      <w:r w:rsidRPr="007740EF">
        <w:rPr>
          <w:rFonts w:cs="Arial"/>
          <w:color w:val="2E74B5" w:themeColor="accent1" w:themeShade="BF"/>
          <w:sz w:val="24"/>
          <w:szCs w:val="24"/>
        </w:rPr>
        <w:t>Así, por unanimidad de votos lo resolvió la Comisión Estatal de Garantía de Acceso a la Información Pública, integrada por los</w:t>
      </w:r>
      <w:r w:rsidR="003E3858">
        <w:rPr>
          <w:rFonts w:cs="Arial"/>
          <w:color w:val="2E74B5" w:themeColor="accent1" w:themeShade="BF"/>
          <w:sz w:val="24"/>
          <w:szCs w:val="24"/>
        </w:rPr>
        <w:t xml:space="preserve"> Comisionados Licenciados Mariaj</w:t>
      </w:r>
      <w:r w:rsidRPr="007740EF">
        <w:rPr>
          <w:rFonts w:cs="Arial"/>
          <w:color w:val="2E74B5" w:themeColor="accent1" w:themeShade="BF"/>
          <w:sz w:val="24"/>
          <w:szCs w:val="24"/>
        </w:rPr>
        <w:t xml:space="preserve">osé González Zarzosa, Mtro. Alejandro Lafuente Torres, Paulina Sánchez Pérez del Pozo, Presidenta, siendo ponente la última de los nombrados, quienes, en unión de la Licenciada Rosa María Motilla García, Secretaria de Pleno que da fe, firman esta resolución. </w:t>
      </w:r>
      <w:r w:rsidRPr="007740EF">
        <w:rPr>
          <w:rFonts w:eastAsia="Arial Unicode MS" w:cs="Arial"/>
          <w:color w:val="2E74B5" w:themeColor="accent1" w:themeShade="BF"/>
          <w:sz w:val="24"/>
          <w:szCs w:val="24"/>
        </w:rPr>
        <w:t xml:space="preserve">   </w:t>
      </w:r>
    </w:p>
    <w:p w:rsidR="00510ECE" w:rsidRPr="007740EF" w:rsidRDefault="00510ECE" w:rsidP="001E7B64">
      <w:pPr>
        <w:pStyle w:val="corte4fondo"/>
        <w:tabs>
          <w:tab w:val="left" w:pos="567"/>
        </w:tabs>
        <w:spacing w:line="276" w:lineRule="auto"/>
        <w:rPr>
          <w:rFonts w:cs="Arial"/>
          <w:color w:val="2E74B5" w:themeColor="accent1" w:themeShade="BF"/>
          <w:sz w:val="24"/>
          <w:szCs w:val="24"/>
        </w:rPr>
      </w:pPr>
    </w:p>
    <w:p w:rsidR="00510ECE" w:rsidRPr="007740EF" w:rsidRDefault="00510ECE" w:rsidP="001E7B64">
      <w:pPr>
        <w:spacing w:after="0"/>
        <w:ind w:left="360" w:firstLine="900"/>
        <w:jc w:val="both"/>
        <w:rPr>
          <w:rFonts w:ascii="Arial" w:eastAsia="Arial Unicode MS" w:hAnsi="Arial" w:cs="Arial"/>
          <w:b/>
          <w:color w:val="2E74B5" w:themeColor="accent1" w:themeShade="BF"/>
          <w:sz w:val="24"/>
          <w:szCs w:val="24"/>
        </w:rPr>
      </w:pPr>
    </w:p>
    <w:tbl>
      <w:tblPr>
        <w:tblW w:w="9900" w:type="dxa"/>
        <w:jc w:val="center"/>
        <w:tblLook w:val="01E0" w:firstRow="1" w:lastRow="1" w:firstColumn="1" w:lastColumn="1" w:noHBand="0" w:noVBand="0"/>
      </w:tblPr>
      <w:tblGrid>
        <w:gridCol w:w="4552"/>
        <w:gridCol w:w="154"/>
        <w:gridCol w:w="180"/>
        <w:gridCol w:w="5014"/>
      </w:tblGrid>
      <w:tr w:rsidR="007740EF" w:rsidRPr="007740EF" w:rsidTr="00CB0847">
        <w:trPr>
          <w:trHeight w:val="2654"/>
          <w:jc w:val="center"/>
        </w:trPr>
        <w:tc>
          <w:tcPr>
            <w:tcW w:w="4706" w:type="dxa"/>
            <w:gridSpan w:val="2"/>
          </w:tcPr>
          <w:p w:rsidR="00510ECE" w:rsidRPr="007740EF" w:rsidRDefault="00510ECE" w:rsidP="001E7B64">
            <w:pPr>
              <w:spacing w:after="0"/>
              <w:jc w:val="center"/>
              <w:rPr>
                <w:rFonts w:ascii="Arial" w:eastAsia="Arial Unicode MS" w:hAnsi="Arial" w:cs="Arial"/>
                <w:b/>
                <w:color w:val="2E74B5" w:themeColor="accent1" w:themeShade="BF"/>
                <w:sz w:val="24"/>
                <w:szCs w:val="24"/>
              </w:rPr>
            </w:pPr>
            <w:r w:rsidRPr="007740EF">
              <w:rPr>
                <w:rFonts w:ascii="Arial" w:eastAsia="Arial Unicode MS" w:hAnsi="Arial" w:cs="Arial"/>
                <w:b/>
                <w:color w:val="2E74B5" w:themeColor="accent1" w:themeShade="BF"/>
                <w:sz w:val="24"/>
                <w:szCs w:val="24"/>
              </w:rPr>
              <w:t xml:space="preserve">        COMISIONADA </w:t>
            </w:r>
          </w:p>
          <w:p w:rsidR="00510ECE" w:rsidRPr="007740EF" w:rsidRDefault="00510ECE" w:rsidP="001E7B64">
            <w:pPr>
              <w:spacing w:after="0"/>
              <w:ind w:left="360" w:firstLine="708"/>
              <w:jc w:val="center"/>
              <w:rPr>
                <w:rFonts w:ascii="Arial" w:eastAsia="Arial Unicode MS" w:hAnsi="Arial" w:cs="Arial"/>
                <w:b/>
                <w:color w:val="2E74B5" w:themeColor="accent1" w:themeShade="BF"/>
                <w:sz w:val="24"/>
                <w:szCs w:val="24"/>
              </w:rPr>
            </w:pPr>
          </w:p>
          <w:p w:rsidR="00510ECE" w:rsidRPr="007740EF" w:rsidRDefault="00510ECE" w:rsidP="001E7B64">
            <w:pPr>
              <w:spacing w:after="0"/>
              <w:ind w:left="360" w:firstLine="708"/>
              <w:jc w:val="center"/>
              <w:rPr>
                <w:rFonts w:ascii="Arial" w:eastAsia="Arial Unicode MS" w:hAnsi="Arial" w:cs="Arial"/>
                <w:b/>
                <w:color w:val="2E74B5" w:themeColor="accent1" w:themeShade="BF"/>
                <w:sz w:val="24"/>
                <w:szCs w:val="24"/>
              </w:rPr>
            </w:pPr>
          </w:p>
          <w:p w:rsidR="00510ECE" w:rsidRPr="007740EF" w:rsidRDefault="00510ECE" w:rsidP="001E7B64">
            <w:pPr>
              <w:tabs>
                <w:tab w:val="left" w:pos="1358"/>
              </w:tabs>
              <w:spacing w:after="0"/>
              <w:ind w:firstLine="36"/>
              <w:jc w:val="center"/>
              <w:rPr>
                <w:rFonts w:ascii="Arial" w:eastAsia="Arial Unicode MS" w:hAnsi="Arial" w:cs="Arial"/>
                <w:b/>
                <w:color w:val="2E74B5" w:themeColor="accent1" w:themeShade="BF"/>
                <w:sz w:val="24"/>
                <w:szCs w:val="24"/>
              </w:rPr>
            </w:pPr>
            <w:r w:rsidRPr="007740EF">
              <w:rPr>
                <w:rFonts w:ascii="Arial" w:eastAsia="Arial Unicode MS" w:hAnsi="Arial" w:cs="Arial"/>
                <w:b/>
                <w:color w:val="2E74B5" w:themeColor="accent1" w:themeShade="BF"/>
                <w:sz w:val="24"/>
                <w:szCs w:val="24"/>
              </w:rPr>
              <w:t xml:space="preserve">MARIAJOSÉ </w:t>
            </w:r>
          </w:p>
          <w:p w:rsidR="00510ECE" w:rsidRPr="007740EF" w:rsidRDefault="00510ECE" w:rsidP="001E7B64">
            <w:pPr>
              <w:spacing w:after="0"/>
              <w:ind w:left="360" w:firstLine="36"/>
              <w:jc w:val="center"/>
              <w:rPr>
                <w:rFonts w:ascii="Arial" w:eastAsia="Arial Unicode MS" w:hAnsi="Arial" w:cs="Arial"/>
                <w:b/>
                <w:color w:val="2E74B5" w:themeColor="accent1" w:themeShade="BF"/>
                <w:sz w:val="24"/>
                <w:szCs w:val="24"/>
              </w:rPr>
            </w:pPr>
            <w:r w:rsidRPr="007740EF">
              <w:rPr>
                <w:rFonts w:ascii="Arial" w:eastAsia="Arial Unicode MS" w:hAnsi="Arial" w:cs="Arial"/>
                <w:b/>
                <w:color w:val="2E74B5" w:themeColor="accent1" w:themeShade="BF"/>
                <w:sz w:val="24"/>
                <w:szCs w:val="24"/>
              </w:rPr>
              <w:t xml:space="preserve">GONZÁLEZ ZARZOSA </w:t>
            </w:r>
          </w:p>
          <w:p w:rsidR="00510ECE" w:rsidRPr="007740EF" w:rsidRDefault="00510ECE" w:rsidP="001E7B64">
            <w:pPr>
              <w:spacing w:after="0"/>
              <w:ind w:left="360" w:firstLine="708"/>
              <w:jc w:val="center"/>
              <w:rPr>
                <w:rFonts w:ascii="Arial" w:eastAsia="Arial Unicode MS" w:hAnsi="Arial" w:cs="Arial"/>
                <w:b/>
                <w:color w:val="2E74B5" w:themeColor="accent1" w:themeShade="BF"/>
                <w:sz w:val="24"/>
                <w:szCs w:val="24"/>
              </w:rPr>
            </w:pPr>
          </w:p>
          <w:p w:rsidR="00510ECE" w:rsidRPr="007740EF" w:rsidRDefault="00510ECE" w:rsidP="001E7B64">
            <w:pPr>
              <w:spacing w:after="0"/>
              <w:rPr>
                <w:rFonts w:ascii="Arial" w:eastAsia="Arial Unicode MS" w:hAnsi="Arial" w:cs="Arial"/>
                <w:b/>
                <w:color w:val="2E74B5" w:themeColor="accent1" w:themeShade="BF"/>
                <w:sz w:val="24"/>
                <w:szCs w:val="24"/>
              </w:rPr>
            </w:pPr>
            <w:r w:rsidRPr="007740EF">
              <w:rPr>
                <w:rFonts w:ascii="Arial" w:eastAsia="Arial Unicode MS" w:hAnsi="Arial" w:cs="Arial"/>
                <w:b/>
                <w:color w:val="2E74B5" w:themeColor="accent1" w:themeShade="BF"/>
                <w:sz w:val="24"/>
                <w:szCs w:val="24"/>
              </w:rPr>
              <w:t xml:space="preserve">                   </w:t>
            </w:r>
          </w:p>
          <w:p w:rsidR="00510ECE" w:rsidRPr="007740EF" w:rsidRDefault="00510ECE" w:rsidP="001E7B64">
            <w:pPr>
              <w:spacing w:after="0"/>
              <w:rPr>
                <w:rFonts w:ascii="Arial" w:eastAsia="Arial Unicode MS" w:hAnsi="Arial" w:cs="Arial"/>
                <w:b/>
                <w:color w:val="2E74B5" w:themeColor="accent1" w:themeShade="BF"/>
                <w:sz w:val="24"/>
                <w:szCs w:val="24"/>
              </w:rPr>
            </w:pPr>
          </w:p>
        </w:tc>
        <w:tc>
          <w:tcPr>
            <w:tcW w:w="5194" w:type="dxa"/>
            <w:gridSpan w:val="2"/>
          </w:tcPr>
          <w:p w:rsidR="00510ECE" w:rsidRPr="007740EF" w:rsidRDefault="00510ECE" w:rsidP="001E7B64">
            <w:pPr>
              <w:spacing w:after="0"/>
              <w:ind w:left="360" w:firstLine="708"/>
              <w:rPr>
                <w:rFonts w:ascii="Arial" w:eastAsia="Arial Unicode MS" w:hAnsi="Arial" w:cs="Arial"/>
                <w:b/>
                <w:color w:val="2E74B5" w:themeColor="accent1" w:themeShade="BF"/>
                <w:sz w:val="24"/>
                <w:szCs w:val="24"/>
              </w:rPr>
            </w:pPr>
            <w:r w:rsidRPr="007740EF">
              <w:rPr>
                <w:rFonts w:ascii="Arial" w:eastAsia="Arial Unicode MS" w:hAnsi="Arial" w:cs="Arial"/>
                <w:b/>
                <w:color w:val="2E74B5" w:themeColor="accent1" w:themeShade="BF"/>
                <w:sz w:val="24"/>
                <w:szCs w:val="24"/>
              </w:rPr>
              <w:t xml:space="preserve">              COMISIONADO </w:t>
            </w:r>
          </w:p>
          <w:p w:rsidR="00510ECE" w:rsidRPr="007740EF" w:rsidRDefault="00510ECE" w:rsidP="001E7B64">
            <w:pPr>
              <w:spacing w:after="0"/>
              <w:ind w:left="360" w:firstLine="708"/>
              <w:jc w:val="center"/>
              <w:rPr>
                <w:rFonts w:ascii="Arial" w:eastAsia="Arial Unicode MS" w:hAnsi="Arial" w:cs="Arial"/>
                <w:b/>
                <w:color w:val="2E74B5" w:themeColor="accent1" w:themeShade="BF"/>
                <w:sz w:val="24"/>
                <w:szCs w:val="24"/>
              </w:rPr>
            </w:pPr>
          </w:p>
          <w:p w:rsidR="00510ECE" w:rsidRPr="007740EF" w:rsidRDefault="00510ECE" w:rsidP="001E7B64">
            <w:pPr>
              <w:spacing w:after="0"/>
              <w:ind w:left="360" w:firstLine="708"/>
              <w:jc w:val="center"/>
              <w:rPr>
                <w:rFonts w:ascii="Arial" w:eastAsia="Arial Unicode MS" w:hAnsi="Arial" w:cs="Arial"/>
                <w:b/>
                <w:color w:val="2E74B5" w:themeColor="accent1" w:themeShade="BF"/>
                <w:sz w:val="24"/>
                <w:szCs w:val="24"/>
              </w:rPr>
            </w:pPr>
          </w:p>
          <w:p w:rsidR="00510ECE" w:rsidRPr="007740EF" w:rsidRDefault="00510ECE" w:rsidP="001E7B64">
            <w:pPr>
              <w:spacing w:after="0"/>
              <w:rPr>
                <w:rFonts w:ascii="Arial" w:eastAsia="Arial Unicode MS" w:hAnsi="Arial" w:cs="Arial"/>
                <w:b/>
                <w:color w:val="2E74B5" w:themeColor="accent1" w:themeShade="BF"/>
                <w:sz w:val="24"/>
                <w:szCs w:val="24"/>
              </w:rPr>
            </w:pPr>
            <w:r w:rsidRPr="007740EF">
              <w:rPr>
                <w:rFonts w:ascii="Arial" w:eastAsia="Arial Unicode MS" w:hAnsi="Arial" w:cs="Arial"/>
                <w:b/>
                <w:color w:val="2E74B5" w:themeColor="accent1" w:themeShade="BF"/>
                <w:sz w:val="24"/>
                <w:szCs w:val="24"/>
              </w:rPr>
              <w:t xml:space="preserve">                     MTRO. ALEJANDRO </w:t>
            </w:r>
          </w:p>
          <w:p w:rsidR="00510ECE" w:rsidRPr="007740EF" w:rsidRDefault="00510ECE" w:rsidP="001E7B64">
            <w:pPr>
              <w:pStyle w:val="corte4fondo"/>
              <w:tabs>
                <w:tab w:val="left" w:pos="567"/>
              </w:tabs>
              <w:spacing w:line="276" w:lineRule="auto"/>
              <w:ind w:firstLine="0"/>
              <w:rPr>
                <w:rFonts w:cs="Arial"/>
                <w:i/>
                <w:color w:val="2E74B5" w:themeColor="accent1" w:themeShade="BF"/>
                <w:sz w:val="10"/>
                <w:szCs w:val="10"/>
              </w:rPr>
            </w:pPr>
            <w:r w:rsidRPr="007740EF">
              <w:rPr>
                <w:rFonts w:eastAsia="Arial Unicode MS" w:cs="Arial"/>
                <w:b/>
                <w:color w:val="2E74B5" w:themeColor="accent1" w:themeShade="BF"/>
                <w:sz w:val="24"/>
                <w:szCs w:val="24"/>
              </w:rPr>
              <w:t xml:space="preserve">                    LAFUENTE TORRES</w:t>
            </w:r>
          </w:p>
          <w:p w:rsidR="00510ECE" w:rsidRPr="007740EF" w:rsidRDefault="00510ECE" w:rsidP="001E7B64">
            <w:pPr>
              <w:spacing w:after="0"/>
              <w:ind w:left="360" w:firstLine="708"/>
              <w:jc w:val="center"/>
              <w:rPr>
                <w:rFonts w:ascii="Arial" w:eastAsia="Arial Unicode MS" w:hAnsi="Arial" w:cs="Arial"/>
                <w:b/>
                <w:color w:val="2E74B5" w:themeColor="accent1" w:themeShade="BF"/>
                <w:sz w:val="24"/>
                <w:szCs w:val="24"/>
              </w:rPr>
            </w:pPr>
          </w:p>
          <w:p w:rsidR="00510ECE" w:rsidRPr="007740EF" w:rsidRDefault="00510ECE" w:rsidP="001E7B64">
            <w:pPr>
              <w:pStyle w:val="corte4fondo"/>
              <w:tabs>
                <w:tab w:val="left" w:pos="567"/>
              </w:tabs>
              <w:spacing w:line="276" w:lineRule="auto"/>
              <w:ind w:firstLine="0"/>
              <w:rPr>
                <w:rFonts w:eastAsia="Arial Unicode MS" w:cs="Arial"/>
                <w:b/>
                <w:color w:val="2E74B5" w:themeColor="accent1" w:themeShade="BF"/>
                <w:sz w:val="24"/>
                <w:szCs w:val="24"/>
              </w:rPr>
            </w:pPr>
          </w:p>
        </w:tc>
      </w:tr>
      <w:tr w:rsidR="00510ECE" w:rsidRPr="007740EF" w:rsidTr="00CB0847">
        <w:trPr>
          <w:trHeight w:val="2085"/>
          <w:jc w:val="center"/>
        </w:trPr>
        <w:tc>
          <w:tcPr>
            <w:tcW w:w="4552" w:type="dxa"/>
          </w:tcPr>
          <w:p w:rsidR="00510ECE" w:rsidRPr="007740EF" w:rsidRDefault="00510ECE" w:rsidP="001E7B64">
            <w:pPr>
              <w:spacing w:after="0"/>
              <w:ind w:left="360" w:hanging="360"/>
              <w:jc w:val="center"/>
              <w:rPr>
                <w:rFonts w:ascii="Arial" w:eastAsia="Arial Unicode MS" w:hAnsi="Arial" w:cs="Arial"/>
                <w:b/>
                <w:color w:val="2E74B5" w:themeColor="accent1" w:themeShade="BF"/>
                <w:sz w:val="24"/>
                <w:szCs w:val="24"/>
              </w:rPr>
            </w:pPr>
            <w:r w:rsidRPr="007740EF">
              <w:rPr>
                <w:rFonts w:ascii="Arial" w:eastAsia="Arial Unicode MS" w:hAnsi="Arial" w:cs="Arial"/>
                <w:b/>
                <w:color w:val="2E74B5" w:themeColor="accent1" w:themeShade="BF"/>
                <w:sz w:val="24"/>
                <w:szCs w:val="24"/>
              </w:rPr>
              <w:t>COMISIONADA PRESIDENTA</w:t>
            </w:r>
          </w:p>
          <w:p w:rsidR="00510ECE" w:rsidRPr="007740EF" w:rsidRDefault="00510ECE" w:rsidP="001E7B64">
            <w:pPr>
              <w:spacing w:after="0"/>
              <w:ind w:left="360"/>
              <w:rPr>
                <w:rFonts w:ascii="Arial" w:eastAsia="Arial Unicode MS" w:hAnsi="Arial" w:cs="Arial"/>
                <w:b/>
                <w:color w:val="2E74B5" w:themeColor="accent1" w:themeShade="BF"/>
                <w:sz w:val="24"/>
                <w:szCs w:val="24"/>
              </w:rPr>
            </w:pPr>
          </w:p>
          <w:p w:rsidR="00510ECE" w:rsidRPr="007740EF" w:rsidRDefault="00510ECE" w:rsidP="001E7B64">
            <w:pPr>
              <w:spacing w:after="0"/>
              <w:ind w:left="360"/>
              <w:rPr>
                <w:rFonts w:ascii="Arial" w:eastAsia="Arial Unicode MS" w:hAnsi="Arial" w:cs="Arial"/>
                <w:b/>
                <w:color w:val="2E74B5" w:themeColor="accent1" w:themeShade="BF"/>
                <w:sz w:val="24"/>
                <w:szCs w:val="24"/>
              </w:rPr>
            </w:pPr>
          </w:p>
          <w:p w:rsidR="00510ECE" w:rsidRPr="007740EF" w:rsidRDefault="00510ECE" w:rsidP="001E7B64">
            <w:pPr>
              <w:spacing w:after="0"/>
              <w:ind w:left="360"/>
              <w:rPr>
                <w:rFonts w:ascii="Arial" w:eastAsia="Arial Unicode MS" w:hAnsi="Arial" w:cs="Arial"/>
                <w:b/>
                <w:color w:val="2E74B5" w:themeColor="accent1" w:themeShade="BF"/>
                <w:sz w:val="24"/>
                <w:szCs w:val="24"/>
              </w:rPr>
            </w:pPr>
          </w:p>
          <w:p w:rsidR="00510ECE" w:rsidRPr="007740EF" w:rsidRDefault="00510ECE" w:rsidP="001E7B64">
            <w:pPr>
              <w:spacing w:after="0"/>
              <w:jc w:val="center"/>
              <w:rPr>
                <w:rFonts w:ascii="Arial" w:eastAsia="Arial Unicode MS" w:hAnsi="Arial" w:cs="Arial"/>
                <w:b/>
                <w:color w:val="2E74B5" w:themeColor="accent1" w:themeShade="BF"/>
                <w:sz w:val="24"/>
                <w:szCs w:val="24"/>
              </w:rPr>
            </w:pPr>
            <w:r w:rsidRPr="007740EF">
              <w:rPr>
                <w:rFonts w:ascii="Arial" w:eastAsia="Arial Unicode MS" w:hAnsi="Arial" w:cs="Arial"/>
                <w:b/>
                <w:color w:val="2E74B5" w:themeColor="accent1" w:themeShade="BF"/>
                <w:sz w:val="24"/>
                <w:szCs w:val="24"/>
              </w:rPr>
              <w:t xml:space="preserve">LIC. PAULINA SÁNCHEZ </w:t>
            </w:r>
          </w:p>
          <w:p w:rsidR="00510ECE" w:rsidRPr="007740EF" w:rsidRDefault="00510ECE" w:rsidP="001E7B64">
            <w:pPr>
              <w:spacing w:after="0"/>
              <w:jc w:val="center"/>
              <w:rPr>
                <w:rFonts w:ascii="Arial" w:eastAsia="Arial Unicode MS" w:hAnsi="Arial" w:cs="Arial"/>
                <w:b/>
                <w:color w:val="2E74B5" w:themeColor="accent1" w:themeShade="BF"/>
                <w:sz w:val="24"/>
                <w:szCs w:val="24"/>
              </w:rPr>
            </w:pPr>
            <w:r w:rsidRPr="007740EF">
              <w:rPr>
                <w:rFonts w:ascii="Arial" w:eastAsia="Arial Unicode MS" w:hAnsi="Arial" w:cs="Arial"/>
                <w:b/>
                <w:color w:val="2E74B5" w:themeColor="accent1" w:themeShade="BF"/>
                <w:sz w:val="24"/>
                <w:szCs w:val="24"/>
              </w:rPr>
              <w:t>PÉREZ DEL POZO</w:t>
            </w:r>
          </w:p>
          <w:p w:rsidR="00510ECE" w:rsidRPr="007740EF" w:rsidRDefault="00510ECE" w:rsidP="001E7B64">
            <w:pPr>
              <w:spacing w:after="0"/>
              <w:ind w:left="360" w:firstLine="36"/>
              <w:jc w:val="center"/>
              <w:rPr>
                <w:rFonts w:ascii="Arial" w:eastAsia="Arial Unicode MS" w:hAnsi="Arial" w:cs="Arial"/>
                <w:b/>
                <w:color w:val="2E74B5" w:themeColor="accent1" w:themeShade="BF"/>
                <w:sz w:val="24"/>
                <w:szCs w:val="24"/>
              </w:rPr>
            </w:pPr>
          </w:p>
        </w:tc>
        <w:tc>
          <w:tcPr>
            <w:tcW w:w="334" w:type="dxa"/>
            <w:gridSpan w:val="2"/>
          </w:tcPr>
          <w:p w:rsidR="00510ECE" w:rsidRPr="007740EF" w:rsidRDefault="00510ECE" w:rsidP="001E7B64">
            <w:pPr>
              <w:spacing w:after="0"/>
              <w:ind w:left="360" w:firstLine="708"/>
              <w:jc w:val="center"/>
              <w:rPr>
                <w:rFonts w:ascii="Arial" w:eastAsia="Arial Unicode MS" w:hAnsi="Arial" w:cs="Arial"/>
                <w:b/>
                <w:color w:val="2E74B5" w:themeColor="accent1" w:themeShade="BF"/>
                <w:sz w:val="24"/>
                <w:szCs w:val="24"/>
              </w:rPr>
            </w:pPr>
          </w:p>
        </w:tc>
        <w:tc>
          <w:tcPr>
            <w:tcW w:w="5014" w:type="dxa"/>
          </w:tcPr>
          <w:p w:rsidR="00510ECE" w:rsidRPr="007740EF" w:rsidRDefault="00510ECE" w:rsidP="001E7B64">
            <w:pPr>
              <w:spacing w:after="0"/>
              <w:ind w:left="360" w:firstLine="708"/>
              <w:rPr>
                <w:rFonts w:ascii="Arial" w:eastAsia="Arial Unicode MS" w:hAnsi="Arial" w:cs="Arial"/>
                <w:b/>
                <w:color w:val="2E74B5" w:themeColor="accent1" w:themeShade="BF"/>
                <w:sz w:val="24"/>
                <w:szCs w:val="24"/>
              </w:rPr>
            </w:pPr>
            <w:r w:rsidRPr="007740EF">
              <w:rPr>
                <w:rFonts w:ascii="Arial" w:eastAsia="Arial Unicode MS" w:hAnsi="Arial" w:cs="Arial"/>
                <w:b/>
                <w:color w:val="2E74B5" w:themeColor="accent1" w:themeShade="BF"/>
                <w:sz w:val="24"/>
                <w:szCs w:val="24"/>
              </w:rPr>
              <w:t>SECRETARIA DE PLENO</w:t>
            </w:r>
          </w:p>
          <w:p w:rsidR="00510ECE" w:rsidRPr="007740EF" w:rsidRDefault="00510ECE" w:rsidP="001E7B64">
            <w:pPr>
              <w:spacing w:after="0"/>
              <w:ind w:left="360" w:firstLine="708"/>
              <w:jc w:val="center"/>
              <w:rPr>
                <w:rFonts w:ascii="Arial" w:eastAsia="Arial Unicode MS" w:hAnsi="Arial" w:cs="Arial"/>
                <w:b/>
                <w:color w:val="2E74B5" w:themeColor="accent1" w:themeShade="BF"/>
                <w:sz w:val="24"/>
                <w:szCs w:val="24"/>
              </w:rPr>
            </w:pPr>
          </w:p>
          <w:p w:rsidR="00510ECE" w:rsidRPr="007740EF" w:rsidRDefault="00510ECE" w:rsidP="001E7B64">
            <w:pPr>
              <w:spacing w:after="0"/>
              <w:ind w:left="360" w:firstLine="708"/>
              <w:jc w:val="center"/>
              <w:rPr>
                <w:rFonts w:ascii="Arial" w:eastAsia="Arial Unicode MS" w:hAnsi="Arial" w:cs="Arial"/>
                <w:b/>
                <w:color w:val="2E74B5" w:themeColor="accent1" w:themeShade="BF"/>
                <w:sz w:val="24"/>
                <w:szCs w:val="24"/>
              </w:rPr>
            </w:pPr>
          </w:p>
          <w:p w:rsidR="00510ECE" w:rsidRPr="007740EF" w:rsidRDefault="00510ECE" w:rsidP="001E7B64">
            <w:pPr>
              <w:spacing w:after="0"/>
              <w:ind w:left="360" w:firstLine="708"/>
              <w:jc w:val="center"/>
              <w:rPr>
                <w:rFonts w:ascii="Arial" w:eastAsia="Arial Unicode MS" w:hAnsi="Arial" w:cs="Arial"/>
                <w:b/>
                <w:color w:val="2E74B5" w:themeColor="accent1" w:themeShade="BF"/>
                <w:sz w:val="24"/>
                <w:szCs w:val="24"/>
              </w:rPr>
            </w:pPr>
          </w:p>
          <w:p w:rsidR="00510ECE" w:rsidRPr="007740EF" w:rsidRDefault="00510ECE" w:rsidP="001E7B64">
            <w:pPr>
              <w:spacing w:after="0"/>
              <w:ind w:left="360" w:hanging="360"/>
              <w:jc w:val="center"/>
              <w:rPr>
                <w:rFonts w:ascii="Arial" w:eastAsia="Arial Unicode MS" w:hAnsi="Arial" w:cs="Arial"/>
                <w:b/>
                <w:color w:val="2E74B5" w:themeColor="accent1" w:themeShade="BF"/>
                <w:sz w:val="24"/>
                <w:szCs w:val="24"/>
              </w:rPr>
            </w:pPr>
            <w:r w:rsidRPr="007740EF">
              <w:rPr>
                <w:rFonts w:ascii="Arial" w:eastAsia="Arial Unicode MS" w:hAnsi="Arial" w:cs="Arial"/>
                <w:b/>
                <w:color w:val="2E74B5" w:themeColor="accent1" w:themeShade="BF"/>
                <w:sz w:val="24"/>
                <w:szCs w:val="24"/>
              </w:rPr>
              <w:t xml:space="preserve">LIC. ROSA MARÍA MOTILLA GARCÍA </w:t>
            </w:r>
          </w:p>
        </w:tc>
      </w:tr>
    </w:tbl>
    <w:p w:rsidR="00510ECE" w:rsidRPr="007740EF" w:rsidRDefault="00510ECE" w:rsidP="001E7B64">
      <w:pPr>
        <w:pStyle w:val="NormalWeb"/>
        <w:spacing w:before="0" w:beforeAutospacing="0" w:after="0" w:afterAutospacing="0" w:line="276" w:lineRule="auto"/>
        <w:ind w:firstLine="708"/>
        <w:jc w:val="both"/>
        <w:rPr>
          <w:rFonts w:ascii="Arial" w:hAnsi="Arial" w:cs="Arial"/>
          <w:color w:val="2E74B5" w:themeColor="accent1" w:themeShade="BF"/>
        </w:rPr>
      </w:pPr>
    </w:p>
    <w:p w:rsidR="00510ECE" w:rsidRPr="007740EF" w:rsidRDefault="00510ECE" w:rsidP="001E7B64">
      <w:pPr>
        <w:pStyle w:val="corte4fondo"/>
        <w:tabs>
          <w:tab w:val="left" w:pos="567"/>
        </w:tabs>
        <w:spacing w:line="276" w:lineRule="auto"/>
        <w:ind w:firstLine="0"/>
        <w:rPr>
          <w:rFonts w:cs="Arial"/>
          <w:color w:val="2E74B5" w:themeColor="accent1" w:themeShade="BF"/>
          <w:sz w:val="10"/>
          <w:szCs w:val="10"/>
        </w:rPr>
      </w:pPr>
      <w:r w:rsidRPr="007740EF">
        <w:rPr>
          <w:rFonts w:cs="Arial"/>
          <w:color w:val="2E74B5" w:themeColor="accent1" w:themeShade="BF"/>
          <w:sz w:val="10"/>
          <w:szCs w:val="10"/>
        </w:rPr>
        <w:t xml:space="preserve">*ESTAS FIRMAS PERTENECEN A LA </w:t>
      </w:r>
      <w:r w:rsidR="0089263F">
        <w:rPr>
          <w:rFonts w:cs="Arial"/>
          <w:color w:val="2E74B5" w:themeColor="accent1" w:themeShade="BF"/>
          <w:sz w:val="10"/>
          <w:szCs w:val="10"/>
        </w:rPr>
        <w:t>RESOLUCIÓN DE LA REVISIÓN 329</w:t>
      </w:r>
      <w:r w:rsidRPr="007740EF">
        <w:rPr>
          <w:rFonts w:cs="Arial"/>
          <w:color w:val="2E74B5" w:themeColor="accent1" w:themeShade="BF"/>
          <w:sz w:val="10"/>
          <w:szCs w:val="10"/>
        </w:rPr>
        <w:t xml:space="preserve">/2018-2 QUE FUE INTERPUESTO CONTRA LA SECRETARÍA DE EDUCACION DE GOBIERNO DEL ESTADO Y OTRAS AUTORIDADES Y QUE FUE APROBADA EN LA SESIÓN </w:t>
      </w:r>
      <w:r w:rsidR="0089263F">
        <w:rPr>
          <w:rFonts w:cs="Arial"/>
          <w:color w:val="2E74B5" w:themeColor="accent1" w:themeShade="BF"/>
          <w:sz w:val="10"/>
          <w:szCs w:val="10"/>
        </w:rPr>
        <w:t>EXTRA</w:t>
      </w:r>
      <w:r w:rsidRPr="007740EF">
        <w:rPr>
          <w:rFonts w:cs="Arial"/>
          <w:color w:val="2E74B5" w:themeColor="accent1" w:themeShade="BF"/>
          <w:sz w:val="10"/>
          <w:szCs w:val="10"/>
        </w:rPr>
        <w:t xml:space="preserve">ORDINARIA DEL </w:t>
      </w:r>
      <w:r w:rsidR="0089263F">
        <w:rPr>
          <w:rFonts w:cs="Arial"/>
          <w:color w:val="2E74B5" w:themeColor="accent1" w:themeShade="BF"/>
          <w:sz w:val="10"/>
          <w:szCs w:val="10"/>
        </w:rPr>
        <w:t xml:space="preserve">11 </w:t>
      </w:r>
      <w:r w:rsidR="00336530">
        <w:rPr>
          <w:rFonts w:cs="Arial"/>
          <w:color w:val="2E74B5" w:themeColor="accent1" w:themeShade="BF"/>
          <w:sz w:val="10"/>
          <w:szCs w:val="10"/>
        </w:rPr>
        <w:t xml:space="preserve">ONCE </w:t>
      </w:r>
      <w:r w:rsidR="00336530" w:rsidRPr="007740EF">
        <w:rPr>
          <w:rFonts w:cs="Arial"/>
          <w:color w:val="2E74B5" w:themeColor="accent1" w:themeShade="BF"/>
          <w:sz w:val="10"/>
          <w:szCs w:val="10"/>
        </w:rPr>
        <w:t>DE</w:t>
      </w:r>
      <w:r w:rsidRPr="007740EF">
        <w:rPr>
          <w:rFonts w:cs="Arial"/>
          <w:color w:val="2E74B5" w:themeColor="accent1" w:themeShade="BF"/>
          <w:sz w:val="10"/>
          <w:szCs w:val="10"/>
        </w:rPr>
        <w:t xml:space="preserve"> JULIO DE 2018 DOS MIL DIECIOCHO.</w:t>
      </w:r>
    </w:p>
    <w:p w:rsidR="00510ECE" w:rsidRPr="007740EF" w:rsidRDefault="00510ECE" w:rsidP="001E7B64">
      <w:pPr>
        <w:pStyle w:val="corte4fondo"/>
        <w:tabs>
          <w:tab w:val="left" w:pos="567"/>
        </w:tabs>
        <w:spacing w:line="276" w:lineRule="auto"/>
        <w:ind w:firstLine="0"/>
        <w:rPr>
          <w:rFonts w:cs="Arial"/>
          <w:color w:val="2E74B5" w:themeColor="accent1" w:themeShade="BF"/>
          <w:sz w:val="10"/>
          <w:szCs w:val="10"/>
        </w:rPr>
      </w:pPr>
    </w:p>
    <w:p w:rsidR="00510ECE" w:rsidRPr="007740EF" w:rsidRDefault="00510ECE" w:rsidP="001E7B64">
      <w:pPr>
        <w:pStyle w:val="corte4fondo"/>
        <w:tabs>
          <w:tab w:val="left" w:pos="567"/>
          <w:tab w:val="left" w:pos="3643"/>
        </w:tabs>
        <w:spacing w:line="276" w:lineRule="auto"/>
        <w:rPr>
          <w:rFonts w:cs="Arial"/>
          <w:i/>
          <w:color w:val="2E74B5" w:themeColor="accent1" w:themeShade="BF"/>
          <w:sz w:val="10"/>
          <w:szCs w:val="10"/>
        </w:rPr>
      </w:pPr>
      <w:r w:rsidRPr="007740EF">
        <w:rPr>
          <w:rFonts w:cs="Arial"/>
          <w:i/>
          <w:color w:val="2E74B5" w:themeColor="accent1" w:themeShade="BF"/>
          <w:sz w:val="10"/>
          <w:szCs w:val="10"/>
        </w:rPr>
        <w:tab/>
      </w:r>
    </w:p>
    <w:p w:rsidR="00510ECE" w:rsidRPr="007740EF" w:rsidRDefault="00510ECE" w:rsidP="001E7B64">
      <w:pPr>
        <w:spacing w:after="0"/>
        <w:rPr>
          <w:rFonts w:cs="Arial"/>
          <w:i/>
          <w:color w:val="2E74B5" w:themeColor="accent1" w:themeShade="BF"/>
          <w:sz w:val="10"/>
          <w:szCs w:val="10"/>
        </w:rPr>
      </w:pPr>
      <w:r w:rsidRPr="007740EF">
        <w:rPr>
          <w:rFonts w:cs="Arial"/>
          <w:i/>
          <w:color w:val="2E74B5" w:themeColor="accent1" w:themeShade="BF"/>
          <w:sz w:val="10"/>
          <w:szCs w:val="10"/>
        </w:rPr>
        <w:t xml:space="preserve">L/MEMH </w:t>
      </w:r>
    </w:p>
    <w:p w:rsidR="00995B21" w:rsidRPr="007740EF" w:rsidRDefault="00995B21" w:rsidP="001E7B64">
      <w:pPr>
        <w:spacing w:after="0"/>
        <w:rPr>
          <w:color w:val="2E74B5" w:themeColor="accent1" w:themeShade="BF"/>
        </w:rPr>
      </w:pPr>
    </w:p>
    <w:sectPr w:rsidR="00995B21" w:rsidRPr="007740EF" w:rsidSect="009B2E15">
      <w:headerReference w:type="default" r:id="rId15"/>
      <w:pgSz w:w="12242" w:h="20163" w:code="5"/>
      <w:pgMar w:top="2835" w:right="851" w:bottom="2268" w:left="25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51F2" w:rsidRDefault="004651F2" w:rsidP="00510ECE">
      <w:pPr>
        <w:spacing w:after="0" w:line="240" w:lineRule="auto"/>
      </w:pPr>
      <w:r>
        <w:separator/>
      </w:r>
    </w:p>
  </w:endnote>
  <w:endnote w:type="continuationSeparator" w:id="0">
    <w:p w:rsidR="004651F2" w:rsidRDefault="004651F2" w:rsidP="00510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51F2" w:rsidRDefault="004651F2" w:rsidP="00510ECE">
      <w:pPr>
        <w:spacing w:after="0" w:line="240" w:lineRule="auto"/>
      </w:pPr>
      <w:r>
        <w:separator/>
      </w:r>
    </w:p>
  </w:footnote>
  <w:footnote w:type="continuationSeparator" w:id="0">
    <w:p w:rsidR="004651F2" w:rsidRDefault="004651F2" w:rsidP="00510ECE">
      <w:pPr>
        <w:spacing w:after="0" w:line="240" w:lineRule="auto"/>
      </w:pPr>
      <w:r>
        <w:continuationSeparator/>
      </w:r>
    </w:p>
  </w:footnote>
  <w:footnote w:id="1">
    <w:p w:rsidR="00510ECE" w:rsidRPr="003B7B47" w:rsidRDefault="00510ECE" w:rsidP="00510ECE">
      <w:pPr>
        <w:pStyle w:val="Textonotapie"/>
        <w:rPr>
          <w:rFonts w:ascii="Arial" w:hAnsi="Arial" w:cs="Arial"/>
          <w:sz w:val="16"/>
          <w:szCs w:val="16"/>
        </w:rPr>
      </w:pPr>
      <w:r w:rsidRPr="003B7B47">
        <w:rPr>
          <w:rStyle w:val="Refdenotaalpie"/>
          <w:rFonts w:ascii="Arial" w:hAnsi="Arial" w:cs="Arial"/>
          <w:sz w:val="16"/>
          <w:szCs w:val="16"/>
        </w:rPr>
        <w:footnoteRef/>
      </w:r>
      <w:r>
        <w:rPr>
          <w:rFonts w:ascii="Arial" w:hAnsi="Arial" w:cs="Arial"/>
          <w:sz w:val="16"/>
          <w:szCs w:val="16"/>
        </w:rPr>
        <w:t xml:space="preserve"> Visible a </w:t>
      </w:r>
      <w:r w:rsidR="00C82622">
        <w:rPr>
          <w:rFonts w:ascii="Arial" w:hAnsi="Arial" w:cs="Arial"/>
          <w:sz w:val="16"/>
          <w:szCs w:val="16"/>
        </w:rPr>
        <w:t>foja 4</w:t>
      </w:r>
      <w:r>
        <w:rPr>
          <w:rFonts w:ascii="Arial" w:hAnsi="Arial" w:cs="Arial"/>
          <w:sz w:val="16"/>
          <w:szCs w:val="16"/>
        </w:rPr>
        <w:t xml:space="preserve"> y </w:t>
      </w:r>
      <w:r w:rsidR="00C82622">
        <w:rPr>
          <w:rFonts w:ascii="Arial" w:hAnsi="Arial" w:cs="Arial"/>
          <w:sz w:val="16"/>
          <w:szCs w:val="16"/>
        </w:rPr>
        <w:t>5</w:t>
      </w:r>
      <w:r>
        <w:rPr>
          <w:rFonts w:ascii="Arial" w:hAnsi="Arial" w:cs="Arial"/>
          <w:sz w:val="16"/>
          <w:szCs w:val="16"/>
        </w:rPr>
        <w:t xml:space="preserve"> </w:t>
      </w:r>
      <w:r w:rsidRPr="003B7B47">
        <w:rPr>
          <w:rFonts w:ascii="Arial" w:hAnsi="Arial" w:cs="Arial"/>
          <w:sz w:val="16"/>
          <w:szCs w:val="16"/>
        </w:rPr>
        <w:t>de autos</w:t>
      </w:r>
      <w:r>
        <w:rPr>
          <w:rFonts w:ascii="Arial" w:hAnsi="Arial" w:cs="Arial"/>
          <w:sz w:val="16"/>
          <w:szCs w:val="16"/>
        </w:rPr>
        <w:t>.</w:t>
      </w:r>
      <w:r w:rsidRPr="003B7B47">
        <w:rPr>
          <w:rFonts w:ascii="Arial" w:hAnsi="Arial" w:cs="Arial"/>
          <w:sz w:val="16"/>
          <w:szCs w:val="16"/>
        </w:rPr>
        <w:t xml:space="preserve"> </w:t>
      </w:r>
    </w:p>
  </w:footnote>
  <w:footnote w:id="2">
    <w:p w:rsidR="00510ECE" w:rsidRPr="003B7B47" w:rsidRDefault="00510ECE" w:rsidP="00510ECE">
      <w:pPr>
        <w:pStyle w:val="Textonotapie"/>
        <w:jc w:val="both"/>
        <w:rPr>
          <w:rFonts w:ascii="Arial" w:hAnsi="Arial" w:cs="Arial"/>
          <w:sz w:val="16"/>
          <w:szCs w:val="16"/>
        </w:rPr>
      </w:pPr>
      <w:r w:rsidRPr="00213040">
        <w:rPr>
          <w:rStyle w:val="Refdenotaalpie"/>
          <w:rFonts w:ascii="Arial" w:hAnsi="Arial" w:cs="Arial"/>
          <w:sz w:val="16"/>
          <w:szCs w:val="16"/>
        </w:rPr>
        <w:footnoteRef/>
      </w:r>
      <w:r>
        <w:rPr>
          <w:rFonts w:ascii="Arial" w:hAnsi="Arial" w:cs="Arial"/>
          <w:sz w:val="16"/>
          <w:szCs w:val="16"/>
        </w:rPr>
        <w:t xml:space="preserve">Visible de foja </w:t>
      </w:r>
      <w:r w:rsidR="00C82622">
        <w:rPr>
          <w:rFonts w:ascii="Arial" w:hAnsi="Arial" w:cs="Arial"/>
          <w:sz w:val="16"/>
          <w:szCs w:val="16"/>
        </w:rPr>
        <w:t>6</w:t>
      </w:r>
      <w:r w:rsidRPr="00213040">
        <w:rPr>
          <w:rFonts w:ascii="Arial" w:hAnsi="Arial" w:cs="Arial"/>
          <w:sz w:val="16"/>
          <w:szCs w:val="16"/>
        </w:rPr>
        <w:t xml:space="preserve"> de autos.</w:t>
      </w:r>
      <w:r w:rsidRPr="003B7B47">
        <w:rPr>
          <w:rFonts w:ascii="Arial" w:hAnsi="Arial" w:cs="Arial"/>
          <w:sz w:val="16"/>
          <w:szCs w:val="16"/>
        </w:rPr>
        <w:t xml:space="preserve"> </w:t>
      </w:r>
    </w:p>
  </w:footnote>
  <w:footnote w:id="3">
    <w:p w:rsidR="00B753AD" w:rsidRPr="00EE66B5" w:rsidRDefault="00B753AD" w:rsidP="00B753AD">
      <w:pPr>
        <w:pStyle w:val="Textonotapie"/>
        <w:spacing w:after="0"/>
        <w:rPr>
          <w:rFonts w:ascii="Arial" w:hAnsi="Arial" w:cs="Arial"/>
          <w:sz w:val="16"/>
          <w:szCs w:val="16"/>
        </w:rPr>
      </w:pPr>
      <w:r w:rsidRPr="00EE66B5">
        <w:rPr>
          <w:rStyle w:val="Refdenotaalpie"/>
          <w:rFonts w:ascii="Arial" w:hAnsi="Arial" w:cs="Arial"/>
          <w:sz w:val="16"/>
          <w:szCs w:val="16"/>
        </w:rPr>
        <w:footnoteRef/>
      </w:r>
      <w:r w:rsidRPr="00EE66B5">
        <w:rPr>
          <w:rFonts w:ascii="Arial" w:hAnsi="Arial" w:cs="Arial"/>
          <w:sz w:val="16"/>
          <w:szCs w:val="16"/>
        </w:rPr>
        <w:t xml:space="preserve"> Visible en la foja </w:t>
      </w:r>
      <w:r>
        <w:rPr>
          <w:rFonts w:ascii="Arial" w:hAnsi="Arial" w:cs="Arial"/>
          <w:sz w:val="16"/>
          <w:szCs w:val="16"/>
        </w:rPr>
        <w:t xml:space="preserve">8 </w:t>
      </w:r>
      <w:r w:rsidRPr="00EE66B5">
        <w:rPr>
          <w:rFonts w:ascii="Arial" w:hAnsi="Arial" w:cs="Arial"/>
          <w:sz w:val="16"/>
          <w:szCs w:val="16"/>
        </w:rPr>
        <w:t>de autos</w:t>
      </w:r>
      <w:r>
        <w:rPr>
          <w:rFonts w:ascii="Arial" w:hAnsi="Arial" w:cs="Arial"/>
          <w:sz w:val="16"/>
          <w:szCs w:val="16"/>
        </w:rPr>
        <w:t>.</w:t>
      </w:r>
    </w:p>
  </w:footnote>
  <w:footnote w:id="4">
    <w:p w:rsidR="00BE7A3F" w:rsidRPr="00C77FD0" w:rsidRDefault="00BE7A3F" w:rsidP="00BE7A3F">
      <w:pPr>
        <w:pStyle w:val="corte4fondo"/>
        <w:ind w:firstLine="1"/>
        <w:rPr>
          <w:color w:val="2E74B5" w:themeColor="accent1" w:themeShade="BF"/>
          <w:sz w:val="14"/>
          <w:szCs w:val="14"/>
        </w:rPr>
      </w:pPr>
      <w:r w:rsidRPr="00C77FD0">
        <w:rPr>
          <w:rStyle w:val="Refdenotaalpie"/>
          <w:rFonts w:eastAsia="Calibri"/>
          <w:sz w:val="14"/>
          <w:szCs w:val="14"/>
        </w:rPr>
        <w:footnoteRef/>
      </w:r>
      <w:r w:rsidRPr="00C77FD0">
        <w:rPr>
          <w:sz w:val="14"/>
          <w:szCs w:val="14"/>
        </w:rPr>
        <w:t xml:space="preserve"> </w:t>
      </w:r>
      <w:r w:rsidRPr="00C77FD0">
        <w:rPr>
          <w:b/>
          <w:bCs/>
          <w:color w:val="2E74B5" w:themeColor="accent1" w:themeShade="BF"/>
          <w:sz w:val="14"/>
          <w:szCs w:val="14"/>
        </w:rPr>
        <w:t xml:space="preserve">ARTÍCULO 22. </w:t>
      </w:r>
      <w:r w:rsidRPr="00C77FD0">
        <w:rPr>
          <w:color w:val="2E74B5" w:themeColor="accent1" w:themeShade="BF"/>
          <w:sz w:val="14"/>
          <w:szCs w:val="14"/>
        </w:rPr>
        <w:t>En el procedimiento de acceso, entrega y publicación de la información se propiciarán las condiciones necesarias para que ésta sea accesible a cualquier persona.</w:t>
      </w:r>
    </w:p>
    <w:p w:rsidR="00BE7A3F" w:rsidRPr="00C77FD0" w:rsidRDefault="00BE7A3F" w:rsidP="00BE7A3F">
      <w:pPr>
        <w:pStyle w:val="corte4fondo"/>
        <w:ind w:firstLine="1"/>
        <w:rPr>
          <w:color w:val="2E74B5" w:themeColor="accent1" w:themeShade="BF"/>
          <w:sz w:val="14"/>
          <w:szCs w:val="14"/>
        </w:rPr>
      </w:pPr>
      <w:r w:rsidRPr="00C77FD0">
        <w:rPr>
          <w:b/>
          <w:bCs/>
          <w:color w:val="2E74B5" w:themeColor="accent1" w:themeShade="BF"/>
          <w:sz w:val="14"/>
          <w:szCs w:val="14"/>
        </w:rPr>
        <w:t xml:space="preserve">ARTÍCULO 62. </w:t>
      </w:r>
      <w:r w:rsidRPr="00C77FD0">
        <w:rPr>
          <w:color w:val="2E74B5" w:themeColor="accent1" w:themeShade="BF"/>
          <w:sz w:val="14"/>
          <w:szCs w:val="14"/>
        </w:rPr>
        <w:t xml:space="preserve">Los sujetos obligados deberán atender al principio de máxima publicidad, permitiendo que la información pública se difunda en medios electrónicos que facilite su reproducción directa por el interesado o solicitante. En los demás casos, respetando el principio de gratuidad, los sujetos obligados observarán las cuotas que se fijen en sus respectivas Leyes de Ingresos por su reproducción. </w:t>
      </w:r>
    </w:p>
    <w:p w:rsidR="00BE7A3F" w:rsidRPr="00C77FD0" w:rsidRDefault="00BE7A3F" w:rsidP="00BE7A3F">
      <w:pPr>
        <w:pStyle w:val="corte4fondo"/>
        <w:ind w:firstLine="1"/>
        <w:rPr>
          <w:color w:val="2E74B5" w:themeColor="accent1" w:themeShade="BF"/>
          <w:sz w:val="14"/>
          <w:szCs w:val="14"/>
        </w:rPr>
      </w:pPr>
      <w:r w:rsidRPr="00C77FD0">
        <w:rPr>
          <w:color w:val="2E74B5" w:themeColor="accent1" w:themeShade="BF"/>
          <w:sz w:val="14"/>
          <w:szCs w:val="14"/>
        </w:rPr>
        <w:t>Los sujetos obligados que por su naturaleza jurídica no cuenten con Ley de Ingresos, deberá remitirse a la Ley de Ingresos del Estado o Municipios, según corresponda.</w:t>
      </w:r>
    </w:p>
    <w:p w:rsidR="00BE7A3F" w:rsidRPr="0001212F" w:rsidRDefault="00BE7A3F" w:rsidP="00BE7A3F">
      <w:pPr>
        <w:pStyle w:val="corte4fondo"/>
        <w:ind w:firstLine="1"/>
        <w:rPr>
          <w:sz w:val="16"/>
          <w:szCs w:val="16"/>
        </w:rPr>
      </w:pPr>
      <w:r w:rsidRPr="00C77FD0">
        <w:rPr>
          <w:b/>
          <w:bCs/>
          <w:color w:val="2E74B5" w:themeColor="accent1" w:themeShade="BF"/>
          <w:sz w:val="14"/>
          <w:szCs w:val="14"/>
        </w:rPr>
        <w:t xml:space="preserve">ARTÍCULO 165. </w:t>
      </w:r>
      <w:r w:rsidRPr="00C77FD0">
        <w:rPr>
          <w:color w:val="2E74B5" w:themeColor="accent1" w:themeShade="BF"/>
          <w:sz w:val="14"/>
          <w:szCs w:val="14"/>
        </w:rPr>
        <w:t xml:space="preserve">En caso de existir costos para obtener la información, deberán cubrirse de manera previa a la entrega y no podrán ser superiores a la suma de: </w:t>
      </w:r>
      <w:r w:rsidRPr="00C77FD0">
        <w:rPr>
          <w:bCs/>
          <w:color w:val="2E74B5" w:themeColor="accent1" w:themeShade="BF"/>
          <w:sz w:val="14"/>
          <w:szCs w:val="14"/>
        </w:rPr>
        <w:t>[…]</w:t>
      </w:r>
      <w:r w:rsidRPr="00C77FD0">
        <w:rPr>
          <w:color w:val="2E74B5" w:themeColor="accent1" w:themeShade="BF"/>
          <w:sz w:val="14"/>
          <w:szCs w:val="14"/>
        </w:rPr>
        <w:t xml:space="preserve"> La información deberá ser entregada sin costo, cuando implique la entrega de no más de veinte hojas simples. Las unidades de transparencia podrán exceptuar el pago de reproducción y envío atendiendo a las circunstancias socioeconómicas del solicitante…</w:t>
      </w:r>
      <w:r w:rsidRPr="00C77FD0">
        <w:rPr>
          <w:color w:val="2E74B5" w:themeColor="accent1" w:themeShade="BF"/>
          <w:sz w:val="16"/>
          <w:szCs w:val="16"/>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1712776"/>
      <w:docPartObj>
        <w:docPartGallery w:val="Page Numbers (Top of Page)"/>
        <w:docPartUnique/>
      </w:docPartObj>
    </w:sdtPr>
    <w:sdtEndPr/>
    <w:sdtContent>
      <w:p w:rsidR="00F5316F" w:rsidRDefault="00F5316F">
        <w:pPr>
          <w:pStyle w:val="Encabezado"/>
          <w:jc w:val="center"/>
        </w:pPr>
        <w:r>
          <w:fldChar w:fldCharType="begin"/>
        </w:r>
        <w:r>
          <w:instrText>PAGE   \* MERGEFORMAT</w:instrText>
        </w:r>
        <w:r>
          <w:fldChar w:fldCharType="separate"/>
        </w:r>
        <w:r w:rsidR="00496CDA" w:rsidRPr="00496CDA">
          <w:rPr>
            <w:noProof/>
            <w:lang w:val="es-ES"/>
          </w:rPr>
          <w:t>10</w:t>
        </w:r>
        <w:r>
          <w:fldChar w:fldCharType="end"/>
        </w:r>
      </w:p>
    </w:sdtContent>
  </w:sdt>
  <w:p w:rsidR="00F5316F" w:rsidRDefault="00F5316F">
    <w:pPr>
      <w:pStyle w:val="Encabezado"/>
    </w:pPr>
  </w:p>
  <w:p w:rsidR="00F5316F" w:rsidRPr="00F5316F" w:rsidRDefault="00F5316F" w:rsidP="00F5316F">
    <w:pPr>
      <w:pStyle w:val="corte1datos"/>
      <w:spacing w:line="276" w:lineRule="auto"/>
      <w:ind w:left="2832"/>
      <w:jc w:val="right"/>
      <w:rPr>
        <w:rFonts w:cs="Arial"/>
        <w:b w:val="0"/>
        <w:color w:val="2E74B5" w:themeColor="accent1" w:themeShade="BF"/>
        <w:sz w:val="18"/>
        <w:szCs w:val="18"/>
      </w:rPr>
    </w:pPr>
    <w:r w:rsidRPr="00F5316F">
      <w:rPr>
        <w:rFonts w:cs="Arial"/>
        <w:b w:val="0"/>
        <w:color w:val="2E74B5" w:themeColor="accent1" w:themeShade="BF"/>
        <w:sz w:val="18"/>
        <w:szCs w:val="18"/>
      </w:rPr>
      <w:t>RECURSO DE REVISIÓN  329/2018-2.</w:t>
    </w:r>
  </w:p>
  <w:p w:rsidR="00F5316F" w:rsidRDefault="00F5316F" w:rsidP="00F5316F">
    <w:pPr>
      <w:pStyle w:val="Encabezado"/>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15:restartNumberingAfterBreak="0">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C9B620F"/>
    <w:multiLevelType w:val="hybridMultilevel"/>
    <w:tmpl w:val="2A7657B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15:restartNumberingAfterBreak="0">
    <w:nsid w:val="469E568F"/>
    <w:multiLevelType w:val="hybridMultilevel"/>
    <w:tmpl w:val="0418617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5B076234"/>
    <w:multiLevelType w:val="hybridMultilevel"/>
    <w:tmpl w:val="677464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5"/>
  </w:num>
  <w:num w:numId="2">
    <w:abstractNumId w:val="3"/>
  </w:num>
  <w:num w:numId="3">
    <w:abstractNumId w:val="0"/>
  </w:num>
  <w:num w:numId="4">
    <w:abstractNumId w:val="7"/>
  </w:num>
  <w:num w:numId="5">
    <w:abstractNumId w:val="1"/>
  </w:num>
  <w:num w:numId="6">
    <w:abstractNumId w:val="6"/>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ECE"/>
    <w:rsid w:val="0015747C"/>
    <w:rsid w:val="00171D3D"/>
    <w:rsid w:val="001D4484"/>
    <w:rsid w:val="001E7B64"/>
    <w:rsid w:val="002278B6"/>
    <w:rsid w:val="002C244D"/>
    <w:rsid w:val="00336530"/>
    <w:rsid w:val="00384BC7"/>
    <w:rsid w:val="003D7E1C"/>
    <w:rsid w:val="003E3858"/>
    <w:rsid w:val="004651F2"/>
    <w:rsid w:val="00465EC0"/>
    <w:rsid w:val="004713EA"/>
    <w:rsid w:val="00496CDA"/>
    <w:rsid w:val="00510ECE"/>
    <w:rsid w:val="005E5E33"/>
    <w:rsid w:val="0066644B"/>
    <w:rsid w:val="006D43DA"/>
    <w:rsid w:val="00770DF7"/>
    <w:rsid w:val="007740EF"/>
    <w:rsid w:val="0078108E"/>
    <w:rsid w:val="007B3889"/>
    <w:rsid w:val="00802EEF"/>
    <w:rsid w:val="008318F3"/>
    <w:rsid w:val="0084698D"/>
    <w:rsid w:val="0089263F"/>
    <w:rsid w:val="00910BBE"/>
    <w:rsid w:val="00995B21"/>
    <w:rsid w:val="009B2E15"/>
    <w:rsid w:val="00A3500D"/>
    <w:rsid w:val="00AA0B9E"/>
    <w:rsid w:val="00AE63E4"/>
    <w:rsid w:val="00B329F0"/>
    <w:rsid w:val="00B466B2"/>
    <w:rsid w:val="00B753AD"/>
    <w:rsid w:val="00BE008F"/>
    <w:rsid w:val="00BE7A3F"/>
    <w:rsid w:val="00C10BB6"/>
    <w:rsid w:val="00C25462"/>
    <w:rsid w:val="00C77FD0"/>
    <w:rsid w:val="00C82622"/>
    <w:rsid w:val="00D05130"/>
    <w:rsid w:val="00D20808"/>
    <w:rsid w:val="00D5308A"/>
    <w:rsid w:val="00E2762F"/>
    <w:rsid w:val="00E51191"/>
    <w:rsid w:val="00EC300D"/>
    <w:rsid w:val="00F2705D"/>
    <w:rsid w:val="00F5316F"/>
    <w:rsid w:val="00FA0AB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84C35A"/>
  <w15:chartTrackingRefBased/>
  <w15:docId w15:val="{CDE683CC-07AA-4ED4-96C0-6903F5702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0ECE"/>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1datos">
    <w:name w:val="corte1 datos"/>
    <w:basedOn w:val="Normal"/>
    <w:link w:val="corte1datosCar"/>
    <w:qFormat/>
    <w:rsid w:val="00510ECE"/>
    <w:pPr>
      <w:spacing w:after="0" w:line="240" w:lineRule="auto"/>
      <w:ind w:left="2552"/>
    </w:pPr>
    <w:rPr>
      <w:rFonts w:ascii="Arial" w:eastAsia="Times New Roman" w:hAnsi="Arial"/>
      <w:b/>
      <w:caps/>
      <w:sz w:val="30"/>
      <w:szCs w:val="20"/>
      <w:lang w:eastAsia="es-MX"/>
    </w:rPr>
  </w:style>
  <w:style w:type="paragraph" w:customStyle="1" w:styleId="corte2ponente">
    <w:name w:val="corte2 ponente"/>
    <w:basedOn w:val="Normal"/>
    <w:link w:val="corte2ponenteCar"/>
    <w:uiPriority w:val="99"/>
    <w:rsid w:val="00510ECE"/>
    <w:pPr>
      <w:spacing w:after="0" w:line="240" w:lineRule="auto"/>
    </w:pPr>
    <w:rPr>
      <w:rFonts w:ascii="Arial" w:eastAsia="Times New Roman" w:hAnsi="Arial"/>
      <w:b/>
      <w:caps/>
      <w:sz w:val="30"/>
      <w:szCs w:val="20"/>
      <w:lang w:eastAsia="es-MX"/>
    </w:rPr>
  </w:style>
  <w:style w:type="paragraph" w:customStyle="1" w:styleId="corte4fondo">
    <w:name w:val="corte4 fondo"/>
    <w:basedOn w:val="Normal"/>
    <w:link w:val="corte4fondoCar1"/>
    <w:qFormat/>
    <w:rsid w:val="00510ECE"/>
    <w:pPr>
      <w:spacing w:after="0" w:line="360" w:lineRule="auto"/>
      <w:ind w:firstLine="709"/>
      <w:jc w:val="both"/>
    </w:pPr>
    <w:rPr>
      <w:rFonts w:ascii="Arial" w:eastAsia="Times New Roman" w:hAnsi="Arial"/>
      <w:sz w:val="30"/>
      <w:szCs w:val="20"/>
      <w:lang w:eastAsia="es-MX"/>
    </w:rPr>
  </w:style>
  <w:style w:type="character" w:customStyle="1" w:styleId="corte2ponenteCar">
    <w:name w:val="corte2 ponente Car"/>
    <w:link w:val="corte2ponente"/>
    <w:uiPriority w:val="99"/>
    <w:rsid w:val="00510ECE"/>
    <w:rPr>
      <w:rFonts w:ascii="Arial" w:eastAsia="Times New Roman" w:hAnsi="Arial" w:cs="Times New Roman"/>
      <w:b/>
      <w:caps/>
      <w:sz w:val="30"/>
      <w:szCs w:val="20"/>
      <w:lang w:eastAsia="es-MX"/>
    </w:rPr>
  </w:style>
  <w:style w:type="character" w:customStyle="1" w:styleId="corte4fondoCar1">
    <w:name w:val="corte4 fondo Car1"/>
    <w:link w:val="corte4fondo"/>
    <w:rsid w:val="00510ECE"/>
    <w:rPr>
      <w:rFonts w:ascii="Arial" w:eastAsia="Times New Roman" w:hAnsi="Arial" w:cs="Times New Roman"/>
      <w:sz w:val="30"/>
      <w:szCs w:val="20"/>
      <w:lang w:eastAsia="es-MX"/>
    </w:rPr>
  </w:style>
  <w:style w:type="character" w:customStyle="1" w:styleId="corte1datosCar">
    <w:name w:val="corte1 datos Car"/>
    <w:link w:val="corte1datos"/>
    <w:rsid w:val="00510ECE"/>
    <w:rPr>
      <w:rFonts w:ascii="Arial" w:eastAsia="Times New Roman" w:hAnsi="Arial" w:cs="Times New Roman"/>
      <w:b/>
      <w:caps/>
      <w:sz w:val="30"/>
      <w:szCs w:val="20"/>
      <w:lang w:eastAsia="es-MX"/>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510ECE"/>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510ECE"/>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510ECE"/>
    <w:rPr>
      <w:rFonts w:ascii="Calibri" w:eastAsia="Calibri" w:hAnsi="Calibri" w:cs="Times New Roman"/>
      <w:sz w:val="20"/>
      <w:szCs w:val="20"/>
    </w:rPr>
  </w:style>
  <w:style w:type="paragraph" w:styleId="NormalWeb">
    <w:name w:val="Normal (Web)"/>
    <w:basedOn w:val="Normal"/>
    <w:uiPriority w:val="99"/>
    <w:rsid w:val="00510ECE"/>
    <w:pPr>
      <w:spacing w:before="100" w:beforeAutospacing="1" w:after="100" w:afterAutospacing="1" w:line="240" w:lineRule="auto"/>
    </w:pPr>
    <w:rPr>
      <w:rFonts w:ascii="Times New Roman" w:eastAsia="Times New Roman" w:hAnsi="Times New Roman"/>
      <w:sz w:val="24"/>
      <w:szCs w:val="24"/>
      <w:lang w:val="es-ES" w:eastAsia="es-ES"/>
    </w:rPr>
  </w:style>
  <w:style w:type="paragraph" w:styleId="Prrafodelista">
    <w:name w:val="List Paragraph"/>
    <w:basedOn w:val="Normal"/>
    <w:uiPriority w:val="34"/>
    <w:qFormat/>
    <w:rsid w:val="00510ECE"/>
    <w:pPr>
      <w:ind w:left="720"/>
      <w:contextualSpacing/>
    </w:pPr>
  </w:style>
  <w:style w:type="character" w:customStyle="1" w:styleId="ms-rtethemeforecolor-9-0">
    <w:name w:val="ms-rtethemeforecolor-9-0"/>
    <w:basedOn w:val="Fuentedeprrafopredeter"/>
    <w:rsid w:val="00802EEF"/>
  </w:style>
  <w:style w:type="character" w:styleId="Textoennegrita">
    <w:name w:val="Strong"/>
    <w:basedOn w:val="Fuentedeprrafopredeter"/>
    <w:uiPriority w:val="22"/>
    <w:qFormat/>
    <w:rsid w:val="00802EEF"/>
    <w:rPr>
      <w:b/>
      <w:bCs/>
    </w:rPr>
  </w:style>
  <w:style w:type="paragraph" w:styleId="Encabezado">
    <w:name w:val="header"/>
    <w:basedOn w:val="Normal"/>
    <w:link w:val="EncabezadoCar"/>
    <w:uiPriority w:val="99"/>
    <w:unhideWhenUsed/>
    <w:rsid w:val="00F5316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5316F"/>
    <w:rPr>
      <w:rFonts w:ascii="Calibri" w:eastAsia="Calibri" w:hAnsi="Calibri" w:cs="Times New Roman"/>
    </w:rPr>
  </w:style>
  <w:style w:type="paragraph" w:styleId="Piedepgina">
    <w:name w:val="footer"/>
    <w:basedOn w:val="Normal"/>
    <w:link w:val="PiedepginaCar"/>
    <w:uiPriority w:val="99"/>
    <w:unhideWhenUsed/>
    <w:rsid w:val="00F5316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5316F"/>
    <w:rPr>
      <w:rFonts w:ascii="Calibri" w:eastAsia="Calibri" w:hAnsi="Calibri" w:cs="Times New Roman"/>
    </w:rPr>
  </w:style>
  <w:style w:type="paragraph" w:styleId="Textodeglobo">
    <w:name w:val="Balloon Text"/>
    <w:basedOn w:val="Normal"/>
    <w:link w:val="TextodegloboCar"/>
    <w:uiPriority w:val="99"/>
    <w:semiHidden/>
    <w:unhideWhenUsed/>
    <w:rsid w:val="009B2E1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B2E15"/>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05CD93-8560-4AA5-B9FF-65725CABB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10</Pages>
  <Words>2925</Words>
  <Characters>16088</Characters>
  <Application>Microsoft Office Word</Application>
  <DocSecurity>0</DocSecurity>
  <Lines>134</Lines>
  <Paragraphs>37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cegaip</dc:creator>
  <cp:keywords/>
  <dc:description/>
  <cp:lastModifiedBy>cegaip</cp:lastModifiedBy>
  <cp:revision>18</cp:revision>
  <cp:lastPrinted>2018-07-20T18:41:00Z</cp:lastPrinted>
  <dcterms:created xsi:type="dcterms:W3CDTF">2018-07-09T17:10:00Z</dcterms:created>
  <dcterms:modified xsi:type="dcterms:W3CDTF">2018-08-06T20:02:00Z</dcterms:modified>
</cp:coreProperties>
</file>