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F2438" w14:textId="778215C3"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6A6940">
        <w:rPr>
          <w:rFonts w:ascii="AvantGarde Bk BT" w:hAnsi="AvantGarde Bk BT" w:cs="Arial"/>
          <w:b/>
          <w:color w:val="000000" w:themeColor="text1"/>
          <w:sz w:val="24"/>
          <w:szCs w:val="24"/>
        </w:rPr>
        <w:t>7</w:t>
      </w:r>
      <w:r w:rsidR="001A0BBB">
        <w:rPr>
          <w:rFonts w:ascii="AvantGarde Bk BT" w:hAnsi="AvantGarde Bk BT" w:cs="Arial"/>
          <w:b/>
          <w:color w:val="000000" w:themeColor="text1"/>
          <w:sz w:val="24"/>
          <w:szCs w:val="24"/>
        </w:rPr>
        <w:t>69</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7F1CA7">
        <w:rPr>
          <w:rFonts w:ascii="AvantGarde Bk BT" w:hAnsi="AvantGarde Bk BT" w:cs="Arial"/>
          <w:b/>
          <w:color w:val="000000" w:themeColor="text1"/>
          <w:sz w:val="24"/>
          <w:szCs w:val="24"/>
        </w:rPr>
        <w:t>PLATAFORMA</w:t>
      </w:r>
    </w:p>
    <w:p w14:paraId="26DD382F"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0FC133A0"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01E63EB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14:paraId="7900D828" w14:textId="77777777"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3071630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08F0F510"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14:paraId="1EF62169"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36C6E44"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51CF1E96" w14:textId="657D8A36" w:rsidR="0004274F" w:rsidRPr="007C5605" w:rsidRDefault="0074590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PODER JUDICIAL DEL ESTADO</w:t>
      </w:r>
      <w:r w:rsidR="002B06B1">
        <w:rPr>
          <w:rFonts w:ascii="AvantGarde Bk BT" w:hAnsi="AvantGarde Bk BT" w:cs="Arial"/>
          <w:b/>
          <w:color w:val="000000" w:themeColor="text1"/>
          <w:sz w:val="24"/>
          <w:szCs w:val="24"/>
        </w:rPr>
        <w:t>.</w:t>
      </w:r>
    </w:p>
    <w:p w14:paraId="11D55250"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3FC3772B"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48BF77A0" w14:textId="1C0D52BD"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AB7A3F">
        <w:rPr>
          <w:rFonts w:ascii="AvantGarde Bk BT" w:hAnsi="AvantGarde Bk BT" w:cs="Arial"/>
          <w:color w:val="000000" w:themeColor="text1"/>
          <w:sz w:val="24"/>
          <w:szCs w:val="24"/>
        </w:rPr>
        <w:t>22 veintidós de noviembre</w:t>
      </w:r>
      <w:r w:rsidR="00745909">
        <w:rPr>
          <w:rFonts w:ascii="AvantGarde Bk BT" w:hAnsi="AvantGarde Bk BT" w:cs="Arial"/>
          <w:color w:val="000000" w:themeColor="text1"/>
          <w:sz w:val="24"/>
          <w:szCs w:val="24"/>
        </w:rPr>
        <w:t xml:space="preserve"> </w:t>
      </w:r>
      <w:r w:rsidR="00023148">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14:paraId="745D0825"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300E572C" w14:textId="77777777"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313303D5" w14:textId="77777777"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14:paraId="0D26DBD9" w14:textId="77777777"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26CCC2AA"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93C48F2" w14:textId="00BF2B54" w:rsidR="00EC45B0" w:rsidRDefault="0004274F" w:rsidP="00AB7A3F">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AB7A3F">
        <w:rPr>
          <w:rFonts w:ascii="AvantGarde Bk BT" w:hAnsi="AvantGarde Bk BT" w:cs="Arial"/>
          <w:color w:val="000000" w:themeColor="text1"/>
          <w:sz w:val="24"/>
          <w:szCs w:val="24"/>
        </w:rPr>
        <w:t>02 dos de septiembre</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6446C2">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6446C2">
        <w:rPr>
          <w:rFonts w:ascii="AvantGarde Bk BT" w:hAnsi="AvantGarde Bk BT" w:cs="Arial"/>
          <w:b/>
          <w:color w:val="000000" w:themeColor="text1"/>
          <w:sz w:val="24"/>
          <w:szCs w:val="24"/>
        </w:rPr>
        <w:t>PODER JUDICIAL DEL ESTADO</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9D162C">
        <w:rPr>
          <w:rFonts w:ascii="AvantGarde Bk BT" w:hAnsi="AvantGarde Bk BT" w:cs="Arial"/>
          <w:color w:val="000000" w:themeColor="text1"/>
          <w:sz w:val="24"/>
          <w:szCs w:val="24"/>
        </w:rPr>
        <w:t>de</w:t>
      </w:r>
      <w:r w:rsidR="001C53D3">
        <w:rPr>
          <w:rFonts w:ascii="AvantGarde Bk BT" w:hAnsi="AvantGarde Bk BT" w:cs="Arial"/>
          <w:color w:val="000000" w:themeColor="text1"/>
          <w:sz w:val="24"/>
          <w:szCs w:val="24"/>
        </w:rPr>
        <w:t xml:space="preserve"> la Plataforma Nacional de Transparencia</w:t>
      </w:r>
      <w:r w:rsidR="000B3669">
        <w:rPr>
          <w:rFonts w:ascii="AvantGarde Bk BT" w:hAnsi="AvantGarde Bk BT" w:cs="Arial"/>
          <w:color w:val="000000" w:themeColor="text1"/>
          <w:sz w:val="24"/>
          <w:szCs w:val="24"/>
        </w:rPr>
        <w:t>, misma que quedó registrada con número de folio 00</w:t>
      </w:r>
      <w:r w:rsidR="001A0BBB">
        <w:rPr>
          <w:rFonts w:ascii="AvantGarde Bk BT" w:hAnsi="AvantGarde Bk BT" w:cs="Arial"/>
          <w:color w:val="000000" w:themeColor="text1"/>
          <w:sz w:val="24"/>
          <w:szCs w:val="24"/>
        </w:rPr>
        <w:t>6527</w:t>
      </w:r>
      <w:r w:rsidR="000B3669">
        <w:rPr>
          <w:rFonts w:ascii="AvantGarde Bk BT" w:hAnsi="AvantGarde Bk BT" w:cs="Arial"/>
          <w:color w:val="000000" w:themeColor="text1"/>
          <w:sz w:val="24"/>
          <w:szCs w:val="24"/>
        </w:rPr>
        <w:t>18</w:t>
      </w:r>
      <w:r w:rsidR="00AB7A3F">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 xml:space="preserve">(Visible a foja </w:t>
      </w:r>
      <w:r w:rsidR="0059683F">
        <w:rPr>
          <w:rFonts w:ascii="AvantGarde Bk BT" w:hAnsi="AvantGarde Bk BT" w:cs="Arial"/>
          <w:color w:val="000000" w:themeColor="text1"/>
          <w:sz w:val="24"/>
          <w:szCs w:val="24"/>
        </w:rPr>
        <w:t>0</w:t>
      </w:r>
      <w:r w:rsidR="0053629E">
        <w:rPr>
          <w:rFonts w:ascii="AvantGarde Bk BT" w:hAnsi="AvantGarde Bk BT" w:cs="Arial"/>
          <w:color w:val="000000" w:themeColor="text1"/>
          <w:sz w:val="24"/>
          <w:szCs w:val="24"/>
        </w:rPr>
        <w:t>3</w:t>
      </w:r>
      <w:r w:rsidR="00AB7A3F">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de autos).</w:t>
      </w:r>
      <w:r w:rsidR="000B3669" w:rsidRPr="000B3669">
        <w:rPr>
          <w:rFonts w:ascii="AvantGarde Bk BT" w:hAnsi="AvantGarde Bk BT" w:cs="Arial"/>
          <w:color w:val="000000" w:themeColor="text1"/>
          <w:sz w:val="24"/>
          <w:szCs w:val="24"/>
        </w:rPr>
        <w:t xml:space="preserve">  </w:t>
      </w:r>
    </w:p>
    <w:p w14:paraId="426687F9" w14:textId="77777777" w:rsidR="00D62AB1" w:rsidRDefault="00D62AB1" w:rsidP="00AB7A3F">
      <w:pPr>
        <w:pStyle w:val="corte4fondo"/>
        <w:tabs>
          <w:tab w:val="left" w:pos="567"/>
        </w:tabs>
        <w:ind w:left="113"/>
        <w:rPr>
          <w:rFonts w:ascii="AvantGarde Bk BT" w:hAnsi="AvantGarde Bk BT" w:cs="Arial"/>
          <w:color w:val="000000" w:themeColor="text1"/>
          <w:sz w:val="24"/>
          <w:szCs w:val="24"/>
        </w:rPr>
      </w:pPr>
    </w:p>
    <w:p w14:paraId="11F61DA5" w14:textId="02A88319" w:rsidR="004B04F4" w:rsidRDefault="0004274F" w:rsidP="00D62AB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AB7A3F">
        <w:rPr>
          <w:rFonts w:ascii="AvantGarde Bk BT" w:hAnsi="AvantGarde Bk BT" w:cs="Arial"/>
          <w:color w:val="000000" w:themeColor="text1"/>
          <w:sz w:val="24"/>
          <w:szCs w:val="24"/>
        </w:rPr>
        <w:t>01 uno de octubre</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D74CED">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D74CED" w:rsidRPr="00D74CED">
        <w:rPr>
          <w:rFonts w:ascii="AvantGarde Bk BT" w:hAnsi="AvantGarde Bk BT" w:cs="Arial"/>
          <w:b/>
          <w:color w:val="000000" w:themeColor="text1"/>
          <w:sz w:val="24"/>
          <w:szCs w:val="24"/>
        </w:rPr>
        <w:t>PODER JUDICIAL DEL ESTADO</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otorgó contestación</w:t>
      </w:r>
      <w:r w:rsidR="00D531CC" w:rsidRPr="007C5605">
        <w:rPr>
          <w:rFonts w:ascii="AvantGarde Bk BT" w:hAnsi="AvantGarde Bk BT" w:cs="Arial"/>
          <w:color w:val="000000" w:themeColor="text1"/>
          <w:sz w:val="24"/>
          <w:szCs w:val="24"/>
        </w:rPr>
        <w:t xml:space="preserve"> a la solicitud de información</w:t>
      </w:r>
      <w:r w:rsidR="004B04F4">
        <w:rPr>
          <w:rFonts w:ascii="AvantGarde Bk BT" w:hAnsi="AvantGarde Bk BT" w:cs="Arial"/>
          <w:color w:val="000000" w:themeColor="text1"/>
          <w:sz w:val="24"/>
          <w:szCs w:val="24"/>
        </w:rPr>
        <w:t xml:space="preserve"> visible </w:t>
      </w:r>
      <w:r w:rsidR="00D62AB1">
        <w:rPr>
          <w:rFonts w:ascii="AvantGarde Bk BT" w:hAnsi="AvantGarde Bk BT" w:cs="Arial"/>
          <w:color w:val="000000" w:themeColor="text1"/>
          <w:sz w:val="24"/>
          <w:szCs w:val="24"/>
        </w:rPr>
        <w:t>de</w:t>
      </w:r>
      <w:r w:rsidR="004B04F4">
        <w:rPr>
          <w:rFonts w:ascii="AvantGarde Bk BT" w:hAnsi="AvantGarde Bk BT" w:cs="Arial"/>
          <w:color w:val="000000" w:themeColor="text1"/>
          <w:sz w:val="24"/>
          <w:szCs w:val="24"/>
        </w:rPr>
        <w:t xml:space="preserve"> foja </w:t>
      </w:r>
      <w:r w:rsidR="00D62AB1">
        <w:rPr>
          <w:rFonts w:ascii="AvantGarde Bk BT" w:hAnsi="AvantGarde Bk BT" w:cs="Arial"/>
          <w:color w:val="000000" w:themeColor="text1"/>
          <w:sz w:val="24"/>
          <w:szCs w:val="24"/>
        </w:rPr>
        <w:t>0</w:t>
      </w:r>
      <w:r w:rsidR="0053629E">
        <w:rPr>
          <w:rFonts w:ascii="AvantGarde Bk BT" w:hAnsi="AvantGarde Bk BT" w:cs="Arial"/>
          <w:color w:val="000000" w:themeColor="text1"/>
          <w:sz w:val="24"/>
          <w:szCs w:val="24"/>
        </w:rPr>
        <w:t>4</w:t>
      </w:r>
      <w:r w:rsidR="00D62AB1">
        <w:rPr>
          <w:rFonts w:ascii="AvantGarde Bk BT" w:hAnsi="AvantGarde Bk BT" w:cs="Arial"/>
          <w:color w:val="000000" w:themeColor="text1"/>
          <w:sz w:val="24"/>
          <w:szCs w:val="24"/>
        </w:rPr>
        <w:t xml:space="preserve"> a </w:t>
      </w:r>
      <w:r w:rsidR="0053629E">
        <w:rPr>
          <w:rFonts w:ascii="AvantGarde Bk BT" w:hAnsi="AvantGarde Bk BT" w:cs="Arial"/>
          <w:color w:val="000000" w:themeColor="text1"/>
          <w:sz w:val="24"/>
          <w:szCs w:val="24"/>
        </w:rPr>
        <w:t>3</w:t>
      </w:r>
      <w:r w:rsidR="001A0BBB">
        <w:rPr>
          <w:rFonts w:ascii="AvantGarde Bk BT" w:hAnsi="AvantGarde Bk BT" w:cs="Arial"/>
          <w:color w:val="000000" w:themeColor="text1"/>
          <w:sz w:val="24"/>
          <w:szCs w:val="24"/>
        </w:rPr>
        <w:t>6</w:t>
      </w:r>
      <w:r w:rsidR="004B04F4">
        <w:rPr>
          <w:rFonts w:ascii="AvantGarde Bk BT" w:hAnsi="AvantGarde Bk BT" w:cs="Arial"/>
          <w:color w:val="000000" w:themeColor="text1"/>
          <w:sz w:val="24"/>
          <w:szCs w:val="24"/>
        </w:rPr>
        <w:t xml:space="preserve"> de autos</w:t>
      </w:r>
      <w:r w:rsidR="00D62AB1">
        <w:rPr>
          <w:rFonts w:ascii="AvantGarde Bk BT" w:hAnsi="AvantGarde Bk BT" w:cs="Arial"/>
          <w:color w:val="000000" w:themeColor="text1"/>
          <w:sz w:val="24"/>
          <w:szCs w:val="24"/>
        </w:rPr>
        <w:t>.</w:t>
      </w:r>
    </w:p>
    <w:p w14:paraId="3891D13F" w14:textId="77777777" w:rsidR="00D62AB1" w:rsidRDefault="00D62AB1" w:rsidP="00D62AB1">
      <w:pPr>
        <w:pStyle w:val="corte4fondo"/>
        <w:tabs>
          <w:tab w:val="left" w:pos="567"/>
        </w:tabs>
        <w:rPr>
          <w:rFonts w:ascii="AvantGarde Bk BT" w:hAnsi="AvantGarde Bk BT" w:cs="Arial"/>
          <w:color w:val="000000" w:themeColor="text1"/>
          <w:sz w:val="24"/>
          <w:szCs w:val="24"/>
        </w:rPr>
      </w:pPr>
    </w:p>
    <w:p w14:paraId="77F486B8" w14:textId="34CFC752" w:rsidR="005A648D" w:rsidRDefault="00CC35B6" w:rsidP="00D62AB1">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D62AB1">
        <w:rPr>
          <w:rFonts w:ascii="AvantGarde Bk BT" w:hAnsi="AvantGarde Bk BT" w:cs="Arial"/>
          <w:color w:val="000000" w:themeColor="text1"/>
          <w:sz w:val="24"/>
          <w:szCs w:val="24"/>
        </w:rPr>
        <w:t>02 dos</w:t>
      </w:r>
      <w:r w:rsidR="00C9469D">
        <w:rPr>
          <w:rFonts w:ascii="AvantGarde Bk BT" w:hAnsi="AvantGarde Bk BT" w:cs="Arial"/>
          <w:color w:val="000000" w:themeColor="text1"/>
          <w:sz w:val="24"/>
          <w:szCs w:val="24"/>
        </w:rPr>
        <w:t xml:space="preserve"> de</w:t>
      </w:r>
      <w:r w:rsidR="00D62AB1">
        <w:rPr>
          <w:rFonts w:ascii="AvantGarde Bk BT" w:hAnsi="AvantGarde Bk BT" w:cs="Arial"/>
          <w:color w:val="000000" w:themeColor="text1"/>
          <w:sz w:val="24"/>
          <w:szCs w:val="24"/>
        </w:rPr>
        <w:t xml:space="preserve"> octubre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E31DED">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D62AB1">
        <w:rPr>
          <w:rFonts w:ascii="AvantGarde Bk BT" w:hAnsi="AvantGarde Bk BT" w:cs="Arial"/>
          <w:color w:val="000000" w:themeColor="text1"/>
          <w:sz w:val="24"/>
          <w:szCs w:val="24"/>
        </w:rPr>
        <w:t>.</w:t>
      </w:r>
      <w:r w:rsidR="005A648D">
        <w:rPr>
          <w:rFonts w:ascii="AvantGarde Bk BT" w:hAnsi="AvantGarde Bk BT" w:cs="Arial"/>
          <w:color w:val="000000" w:themeColor="text1"/>
          <w:sz w:val="24"/>
          <w:szCs w:val="24"/>
        </w:rPr>
        <w:t xml:space="preserve"> (Visible a foja 01 uno de autos).</w:t>
      </w:r>
    </w:p>
    <w:p w14:paraId="7AE12FA9" w14:textId="77777777"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14:paraId="2BEE591C" w14:textId="6F39A8AE"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D62AB1">
        <w:rPr>
          <w:rFonts w:ascii="AvantGarde Bk BT" w:hAnsi="AvantGarde Bk BT" w:cs="Arial"/>
          <w:color w:val="000000" w:themeColor="text1"/>
          <w:sz w:val="24"/>
          <w:szCs w:val="24"/>
        </w:rPr>
        <w:t>08 ocho</w:t>
      </w:r>
      <w:r w:rsidR="003D5937">
        <w:rPr>
          <w:rFonts w:ascii="AvantGarde Bk BT" w:hAnsi="AvantGarde Bk BT" w:cs="Arial"/>
          <w:color w:val="000000" w:themeColor="text1"/>
          <w:sz w:val="24"/>
          <w:szCs w:val="24"/>
        </w:rPr>
        <w:t xml:space="preserve"> de </w:t>
      </w:r>
      <w:r w:rsidR="00D62AB1">
        <w:rPr>
          <w:rFonts w:ascii="AvantGarde Bk BT" w:hAnsi="AvantGarde Bk BT" w:cs="Arial"/>
          <w:color w:val="000000" w:themeColor="text1"/>
          <w:sz w:val="24"/>
          <w:szCs w:val="24"/>
        </w:rPr>
        <w:t xml:space="preserve">octubre </w:t>
      </w:r>
      <w:r w:rsidR="00D230E7">
        <w:rPr>
          <w:rFonts w:ascii="AvantGarde Bk BT" w:hAnsi="AvantGarde Bk BT" w:cs="Arial"/>
          <w:color w:val="000000" w:themeColor="text1"/>
          <w:sz w:val="24"/>
          <w:szCs w:val="24"/>
        </w:rPr>
        <w:t xml:space="preserve">de 2018 </w:t>
      </w:r>
      <w:r w:rsidR="00D230E7">
        <w:rPr>
          <w:rFonts w:ascii="AvantGarde Bk BT" w:hAnsi="AvantGarde Bk BT" w:cs="Arial"/>
          <w:color w:val="000000" w:themeColor="text1"/>
          <w:sz w:val="24"/>
          <w:szCs w:val="24"/>
        </w:rPr>
        <w:lastRenderedPageBreak/>
        <w:t>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w:t>
      </w:r>
      <w:proofErr w:type="spellStart"/>
      <w:r w:rsidRPr="007C5605">
        <w:rPr>
          <w:rFonts w:ascii="AvantGarde Bk BT" w:hAnsi="AvantGarde Bk BT" w:cs="Arial"/>
          <w:color w:val="000000" w:themeColor="text1"/>
          <w:sz w:val="24"/>
          <w:szCs w:val="24"/>
        </w:rPr>
        <w:t>desechamiento</w:t>
      </w:r>
      <w:proofErr w:type="spellEnd"/>
      <w:r w:rsidRPr="007C5605">
        <w:rPr>
          <w:rFonts w:ascii="AvantGarde Bk BT" w:hAnsi="AvantGarde Bk BT" w:cs="Arial"/>
          <w:color w:val="000000" w:themeColor="text1"/>
          <w:sz w:val="24"/>
          <w:szCs w:val="24"/>
        </w:rPr>
        <w:t xml:space="preserve"> según fuera el caso.</w:t>
      </w:r>
    </w:p>
    <w:p w14:paraId="71DD649B"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55697B8E" w14:textId="1543AA1C"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D62AB1">
        <w:rPr>
          <w:rFonts w:ascii="AvantGarde Bk BT" w:hAnsi="AvantGarde Bk BT" w:cs="Arial"/>
          <w:color w:val="000000" w:themeColor="text1"/>
          <w:sz w:val="24"/>
          <w:szCs w:val="24"/>
        </w:rPr>
        <w:t>09 nueve de octubre</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14:paraId="4AB5CA21"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3B184222" w14:textId="04957185"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57543">
        <w:rPr>
          <w:rFonts w:ascii="AvantGarde Bk BT" w:hAnsi="AvantGarde Bk BT" w:cs="Arial"/>
          <w:color w:val="000000" w:themeColor="text1"/>
          <w:sz w:val="24"/>
          <w:szCs w:val="24"/>
        </w:rPr>
        <w:t>ón</w:t>
      </w:r>
      <w:r w:rsidR="00D62AB1">
        <w:rPr>
          <w:rFonts w:ascii="AvantGarde Bk BT" w:hAnsi="AvantGarde Bk BT" w:cs="Arial"/>
          <w:color w:val="000000" w:themeColor="text1"/>
          <w:sz w:val="24"/>
          <w:szCs w:val="24"/>
        </w:rPr>
        <w:t xml:space="preserve"> </w:t>
      </w:r>
      <w:r w:rsidR="001A0BBB">
        <w:rPr>
          <w:rFonts w:ascii="AvantGarde Bk BT" w:hAnsi="AvantGarde Bk BT" w:cs="Arial"/>
          <w:color w:val="000000" w:themeColor="text1"/>
          <w:sz w:val="24"/>
          <w:szCs w:val="24"/>
        </w:rPr>
        <w:t xml:space="preserve">V y </w:t>
      </w:r>
      <w:r w:rsidR="00BD7074">
        <w:rPr>
          <w:rFonts w:ascii="AvantGarde Bk BT" w:hAnsi="AvantGarde Bk BT" w:cs="Arial"/>
          <w:color w:val="000000" w:themeColor="text1"/>
          <w:sz w:val="24"/>
          <w:szCs w:val="24"/>
        </w:rPr>
        <w:t>V</w:t>
      </w:r>
      <w:r w:rsidR="00F57543">
        <w:rPr>
          <w:rFonts w:ascii="AvantGarde Bk BT" w:hAnsi="AvantGarde Bk BT" w:cs="Arial"/>
          <w:color w:val="000000" w:themeColor="text1"/>
          <w:sz w:val="24"/>
          <w:szCs w:val="24"/>
        </w:rPr>
        <w:t>II</w:t>
      </w:r>
      <w:r w:rsidR="00FF46AB">
        <w:rPr>
          <w:rFonts w:ascii="AvantGarde Bk BT" w:hAnsi="AvantGarde Bk BT" w:cs="Arial"/>
          <w:color w:val="000000" w:themeColor="text1"/>
          <w:sz w:val="24"/>
          <w:szCs w:val="24"/>
        </w:rPr>
        <w:t xml:space="preserve"> del artículo 167 de la Ley de la materia.</w:t>
      </w:r>
    </w:p>
    <w:p w14:paraId="2CADECA4" w14:textId="0F8EB348"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D62AB1">
        <w:rPr>
          <w:rFonts w:ascii="AvantGarde Bk BT" w:hAnsi="AvantGarde Bk BT" w:cs="Arial"/>
          <w:b/>
          <w:color w:val="000000" w:themeColor="text1"/>
          <w:sz w:val="24"/>
          <w:szCs w:val="24"/>
        </w:rPr>
        <w:t>7</w:t>
      </w:r>
      <w:r w:rsidR="001A0BBB">
        <w:rPr>
          <w:rFonts w:ascii="AvantGarde Bk BT" w:hAnsi="AvantGarde Bk BT" w:cs="Arial"/>
          <w:b/>
          <w:color w:val="000000" w:themeColor="text1"/>
          <w:sz w:val="24"/>
          <w:szCs w:val="24"/>
        </w:rPr>
        <w:t>69</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7D5084">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14:paraId="275C24B3" w14:textId="77777777"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5A266C">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5A266C">
        <w:rPr>
          <w:rFonts w:ascii="AvantGarde Bk BT" w:hAnsi="AvantGarde Bk BT" w:cs="Arial"/>
          <w:b/>
          <w:color w:val="000000" w:themeColor="text1"/>
          <w:sz w:val="24"/>
          <w:szCs w:val="24"/>
        </w:rPr>
        <w:t>PODER JUDICIAL DEL ESTADO</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14:paraId="14F8A7B2" w14:textId="77777777"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14:paraId="224601C7"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14:paraId="72BEE5EA"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14:paraId="20872BCF"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14:paraId="7CA869F4"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14:paraId="63F5B9F6" w14:textId="77777777"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14:paraId="64EC0A2D"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14:paraId="4E4F4B32"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14:paraId="530497C0" w14:textId="77777777"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14:paraId="723E91BD" w14:textId="20D47BA2"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354E5A">
        <w:rPr>
          <w:rFonts w:ascii="AvantGarde Bk BT" w:hAnsi="AvantGarde Bk BT" w:cs="Arial"/>
          <w:color w:val="000000" w:themeColor="text1"/>
          <w:sz w:val="24"/>
          <w:szCs w:val="24"/>
        </w:rPr>
        <w:t>30 treinta de octubre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14:paraId="6569FC90" w14:textId="77777777" w:rsidR="00CC0E73" w:rsidRDefault="00CC0E73" w:rsidP="00CC35B6">
      <w:pPr>
        <w:pStyle w:val="corte4fondo"/>
        <w:tabs>
          <w:tab w:val="left" w:pos="567"/>
        </w:tabs>
        <w:rPr>
          <w:rFonts w:ascii="AvantGarde Bk BT" w:hAnsi="AvantGarde Bk BT" w:cs="Arial"/>
          <w:color w:val="000000" w:themeColor="text1"/>
          <w:sz w:val="24"/>
          <w:szCs w:val="24"/>
        </w:rPr>
      </w:pPr>
    </w:p>
    <w:p w14:paraId="2E0B18B9" w14:textId="4F80CA7B"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w:t>
      </w:r>
      <w:proofErr w:type="gramStart"/>
      <w:r w:rsidRPr="0060124B">
        <w:rPr>
          <w:rFonts w:ascii="AvantGarde Bk BT" w:hAnsi="AvantGarde Bk BT" w:cs="Arial"/>
          <w:color w:val="000000" w:themeColor="text1"/>
          <w:sz w:val="24"/>
          <w:szCs w:val="24"/>
        </w:rPr>
        <w:t>recibido</w:t>
      </w:r>
      <w:r w:rsidR="00FE6F1A">
        <w:rPr>
          <w:rFonts w:ascii="AvantGarde Bk BT" w:hAnsi="AvantGarde Bk BT" w:cs="Arial"/>
          <w:color w:val="000000" w:themeColor="text1"/>
          <w:sz w:val="24"/>
          <w:szCs w:val="24"/>
        </w:rPr>
        <w:t xml:space="preserve"> </w:t>
      </w:r>
      <w:r w:rsidR="00A63284">
        <w:rPr>
          <w:rFonts w:ascii="AvantGarde Bk BT" w:hAnsi="AvantGarde Bk BT" w:cs="Arial"/>
          <w:color w:val="000000" w:themeColor="text1"/>
          <w:sz w:val="24"/>
          <w:szCs w:val="24"/>
        </w:rPr>
        <w:t>oficios</w:t>
      </w:r>
      <w:proofErr w:type="gramEnd"/>
      <w:r w:rsidR="00A63284">
        <w:rPr>
          <w:rFonts w:ascii="AvantGarde Bk BT" w:hAnsi="AvantGarde Bk BT" w:cs="Arial"/>
          <w:color w:val="000000" w:themeColor="text1"/>
          <w:sz w:val="24"/>
          <w:szCs w:val="24"/>
        </w:rPr>
        <w:t xml:space="preserve"> número </w:t>
      </w:r>
      <w:r w:rsidR="00A24254">
        <w:rPr>
          <w:rFonts w:ascii="AvantGarde Bk BT" w:hAnsi="AvantGarde Bk BT" w:cs="Arial"/>
          <w:color w:val="000000" w:themeColor="text1"/>
          <w:sz w:val="24"/>
          <w:szCs w:val="24"/>
        </w:rPr>
        <w:t>UIP/6</w:t>
      </w:r>
      <w:r w:rsidR="009E13CA">
        <w:rPr>
          <w:rFonts w:ascii="AvantGarde Bk BT" w:hAnsi="AvantGarde Bk BT" w:cs="Arial"/>
          <w:color w:val="000000" w:themeColor="text1"/>
          <w:sz w:val="24"/>
          <w:szCs w:val="24"/>
        </w:rPr>
        <w:t>7</w:t>
      </w:r>
      <w:r w:rsidR="003D419D">
        <w:rPr>
          <w:rFonts w:ascii="AvantGarde Bk BT" w:hAnsi="AvantGarde Bk BT" w:cs="Arial"/>
          <w:color w:val="000000" w:themeColor="text1"/>
          <w:sz w:val="24"/>
          <w:szCs w:val="24"/>
        </w:rPr>
        <w:t>8</w:t>
      </w:r>
      <w:r w:rsidR="00A63284">
        <w:rPr>
          <w:rFonts w:ascii="AvantGarde Bk BT" w:hAnsi="AvantGarde Bk BT" w:cs="Arial"/>
          <w:color w:val="000000" w:themeColor="text1"/>
          <w:sz w:val="24"/>
          <w:szCs w:val="24"/>
        </w:rPr>
        <w:t>/2018</w:t>
      </w:r>
      <w:r w:rsidR="00A24254">
        <w:rPr>
          <w:rFonts w:ascii="AvantGarde Bk BT" w:hAnsi="AvantGarde Bk BT" w:cs="Arial"/>
          <w:color w:val="000000" w:themeColor="text1"/>
          <w:sz w:val="24"/>
          <w:szCs w:val="24"/>
        </w:rPr>
        <w:t xml:space="preserve"> y UIP/68</w:t>
      </w:r>
      <w:r w:rsidR="003D419D">
        <w:rPr>
          <w:rFonts w:ascii="AvantGarde Bk BT" w:hAnsi="AvantGarde Bk BT" w:cs="Arial"/>
          <w:color w:val="000000" w:themeColor="text1"/>
          <w:sz w:val="24"/>
          <w:szCs w:val="24"/>
        </w:rPr>
        <w:t>4</w:t>
      </w:r>
      <w:r w:rsidR="00A24254">
        <w:rPr>
          <w:rFonts w:ascii="AvantGarde Bk BT" w:hAnsi="AvantGarde Bk BT" w:cs="Arial"/>
          <w:color w:val="000000" w:themeColor="text1"/>
          <w:sz w:val="24"/>
          <w:szCs w:val="24"/>
        </w:rPr>
        <w:t>/2018</w:t>
      </w:r>
      <w:r w:rsidR="00A63284">
        <w:rPr>
          <w:rFonts w:ascii="AvantGarde Bk BT" w:hAnsi="AvantGarde Bk BT" w:cs="Arial"/>
          <w:color w:val="000000" w:themeColor="text1"/>
          <w:sz w:val="24"/>
          <w:szCs w:val="24"/>
        </w:rPr>
        <w:t xml:space="preserve">, signado por </w:t>
      </w:r>
      <w:r w:rsidR="00832621">
        <w:rPr>
          <w:rFonts w:ascii="AvantGarde Bk BT" w:hAnsi="AvantGarde Bk BT" w:cs="Arial"/>
          <w:color w:val="000000" w:themeColor="text1"/>
          <w:sz w:val="24"/>
          <w:szCs w:val="24"/>
        </w:rPr>
        <w:t xml:space="preserve">el Jefe de la Unidad de Transparencia </w:t>
      </w:r>
      <w:r w:rsidR="00A24254">
        <w:rPr>
          <w:rFonts w:ascii="AvantGarde Bk BT" w:hAnsi="AvantGarde Bk BT" w:cs="Arial"/>
          <w:color w:val="000000" w:themeColor="text1"/>
          <w:sz w:val="24"/>
          <w:szCs w:val="24"/>
        </w:rPr>
        <w:t>y el Presidente del Supremo Tribunal de Justicia del Estado</w:t>
      </w:r>
      <w:r w:rsidR="00832621">
        <w:rPr>
          <w:rFonts w:ascii="AvantGarde Bk BT" w:hAnsi="AvantGarde Bk BT" w:cs="Arial"/>
          <w:color w:val="000000" w:themeColor="text1"/>
          <w:sz w:val="24"/>
          <w:szCs w:val="24"/>
        </w:rPr>
        <w:t>.</w:t>
      </w:r>
    </w:p>
    <w:p w14:paraId="7AC04712" w14:textId="23B2A76D" w:rsidR="00927BD8" w:rsidRPr="0060124B" w:rsidRDefault="00A24254" w:rsidP="00B52313">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w:t>
      </w:r>
      <w:r w:rsidR="00927BD8" w:rsidRPr="0060124B">
        <w:rPr>
          <w:rFonts w:ascii="AvantGarde Bk BT" w:hAnsi="AvantGarde Bk BT" w:cs="Arial"/>
          <w:color w:val="000000" w:themeColor="text1"/>
          <w:sz w:val="24"/>
          <w:szCs w:val="24"/>
        </w:rPr>
        <w:t xml:space="preserve">econoció </w:t>
      </w:r>
      <w:r>
        <w:rPr>
          <w:rFonts w:ascii="AvantGarde Bk BT" w:hAnsi="AvantGarde Bk BT" w:cs="Arial"/>
          <w:color w:val="000000" w:themeColor="text1"/>
          <w:sz w:val="24"/>
          <w:szCs w:val="24"/>
        </w:rPr>
        <w:t>la personería con la que comparecieron</w:t>
      </w:r>
      <w:r w:rsidR="00927BD8" w:rsidRPr="0060124B">
        <w:rPr>
          <w:rFonts w:ascii="AvantGarde Bk BT" w:hAnsi="AvantGarde Bk BT" w:cs="Arial"/>
          <w:color w:val="000000" w:themeColor="text1"/>
          <w:sz w:val="24"/>
          <w:szCs w:val="24"/>
        </w:rPr>
        <w:t xml:space="preserve"> en este expediente.</w:t>
      </w:r>
    </w:p>
    <w:p w14:paraId="3D7383E3" w14:textId="6B39CA55"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 xml:space="preserve">Tuvo </w:t>
      </w:r>
      <w:r w:rsidR="00CC35B6" w:rsidRPr="004D1715">
        <w:rPr>
          <w:rFonts w:ascii="AvantGarde Bk BT" w:hAnsi="AvantGarde Bk BT" w:cs="Arial"/>
          <w:color w:val="000000" w:themeColor="text1"/>
          <w:sz w:val="24"/>
          <w:szCs w:val="24"/>
        </w:rPr>
        <w:t xml:space="preserve">por </w:t>
      </w:r>
      <w:r w:rsidR="00A24254">
        <w:rPr>
          <w:rFonts w:ascii="AvantGarde Bk BT" w:hAnsi="AvantGarde Bk BT" w:cs="Arial"/>
          <w:color w:val="000000" w:themeColor="text1"/>
          <w:sz w:val="24"/>
          <w:szCs w:val="24"/>
        </w:rPr>
        <w:t xml:space="preserve">rendido en tiempo el informe ordenado en el auto de admisión, por realizadas las </w:t>
      </w:r>
      <w:r w:rsidR="00CA366F" w:rsidRPr="004D1715">
        <w:rPr>
          <w:rFonts w:ascii="AvantGarde Bk BT" w:hAnsi="AvantGarde Bk BT" w:cs="Arial"/>
          <w:color w:val="000000" w:themeColor="text1"/>
          <w:sz w:val="24"/>
          <w:szCs w:val="24"/>
        </w:rPr>
        <w:t>manifes</w:t>
      </w:r>
      <w:r w:rsidR="00A24254">
        <w:rPr>
          <w:rFonts w:ascii="AvantGarde Bk BT" w:hAnsi="AvantGarde Bk BT" w:cs="Arial"/>
          <w:color w:val="000000" w:themeColor="text1"/>
          <w:sz w:val="24"/>
          <w:szCs w:val="24"/>
        </w:rPr>
        <w:t>taciones correspondientes al sujeto obligado</w:t>
      </w:r>
      <w:r>
        <w:rPr>
          <w:rFonts w:ascii="AvantGarde Bk BT" w:hAnsi="AvantGarde Bk BT" w:cs="Arial"/>
          <w:color w:val="000000" w:themeColor="text1"/>
          <w:sz w:val="24"/>
          <w:szCs w:val="24"/>
        </w:rPr>
        <w:t>.</w:t>
      </w:r>
    </w:p>
    <w:p w14:paraId="1397692B" w14:textId="2E27D0A0"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w:t>
      </w:r>
      <w:r w:rsidR="0061501E">
        <w:rPr>
          <w:rFonts w:ascii="AvantGarde Bk BT" w:hAnsi="AvantGarde Bk BT" w:cs="Arial"/>
          <w:color w:val="000000" w:themeColor="text1"/>
          <w:sz w:val="24"/>
          <w:szCs w:val="24"/>
        </w:rPr>
        <w:t xml:space="preserve"> omiso en ofrecer pruebas y realizar manifestaciones en vía de </w:t>
      </w:r>
      <w:r w:rsidR="00CA366F" w:rsidRPr="004D1715">
        <w:rPr>
          <w:rFonts w:ascii="AvantGarde Bk BT" w:hAnsi="AvantGarde Bk BT" w:cs="Arial"/>
          <w:color w:val="000000" w:themeColor="text1"/>
          <w:sz w:val="24"/>
          <w:szCs w:val="24"/>
        </w:rPr>
        <w:t>alegatos.</w:t>
      </w:r>
    </w:p>
    <w:p w14:paraId="32AA57F6" w14:textId="77777777"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14:paraId="4BFD3AD4" w14:textId="77777777" w:rsidR="00906E32" w:rsidRDefault="00906E32" w:rsidP="00832621">
      <w:pPr>
        <w:pStyle w:val="corte4fondo"/>
        <w:tabs>
          <w:tab w:val="left" w:pos="567"/>
        </w:tabs>
        <w:ind w:firstLine="0"/>
        <w:rPr>
          <w:rFonts w:ascii="AvantGarde Bk BT" w:hAnsi="AvantGarde Bk BT" w:cs="Arial"/>
          <w:color w:val="000000" w:themeColor="text1"/>
          <w:sz w:val="24"/>
          <w:szCs w:val="24"/>
        </w:rPr>
      </w:pPr>
    </w:p>
    <w:p w14:paraId="4CC6B546" w14:textId="77777777"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7E252B99" w14:textId="77777777" w:rsidR="00E215D2" w:rsidRDefault="00E215D2" w:rsidP="00CC35B6">
      <w:pPr>
        <w:pStyle w:val="corte4fondo"/>
        <w:tabs>
          <w:tab w:val="left" w:pos="567"/>
        </w:tabs>
        <w:jc w:val="center"/>
        <w:rPr>
          <w:rFonts w:ascii="AvantGarde Bk BT" w:hAnsi="AvantGarde Bk BT" w:cs="Arial"/>
          <w:b/>
          <w:color w:val="000000" w:themeColor="text1"/>
          <w:sz w:val="24"/>
          <w:szCs w:val="24"/>
        </w:rPr>
      </w:pPr>
    </w:p>
    <w:p w14:paraId="73067F5F" w14:textId="77777777"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14:paraId="5B5143D7"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57A47156" w14:textId="77777777"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14:paraId="5A9CCF1A" w14:textId="77777777" w:rsidR="000F1794" w:rsidRPr="00001770" w:rsidRDefault="000F1794" w:rsidP="00001770">
      <w:pPr>
        <w:pStyle w:val="corte4fondo"/>
        <w:tabs>
          <w:tab w:val="left" w:pos="567"/>
        </w:tabs>
        <w:rPr>
          <w:rFonts w:ascii="AvantGarde Bk BT" w:hAnsi="AvantGarde Bk BT" w:cs="Arial"/>
          <w:color w:val="000000" w:themeColor="text1"/>
          <w:sz w:val="24"/>
          <w:szCs w:val="24"/>
        </w:rPr>
      </w:pPr>
    </w:p>
    <w:p w14:paraId="4CC1F0A3" w14:textId="77777777"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14:paraId="47396F09"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0165939A" w14:textId="11BD4518"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w:t>
      </w:r>
      <w:r w:rsidR="0061501E">
        <w:rPr>
          <w:rFonts w:ascii="AvantGarde Bk BT" w:hAnsi="AvantGarde Bk BT" w:cs="Arial"/>
          <w:color w:val="000000" w:themeColor="text1"/>
          <w:sz w:val="24"/>
          <w:szCs w:val="24"/>
        </w:rPr>
        <w:t xml:space="preserve"> ser presentado</w:t>
      </w:r>
      <w:r w:rsidR="00E215D2" w:rsidRPr="00EA2555">
        <w:rPr>
          <w:rFonts w:ascii="AvantGarde Bk BT" w:hAnsi="AvantGarde Bk BT" w:cs="Arial"/>
          <w:color w:val="000000" w:themeColor="text1"/>
          <w:sz w:val="24"/>
          <w:szCs w:val="24"/>
        </w:rPr>
        <w:t xml:space="preserve"> dentro del plazo de quince días a que se refiere el artículo 166 de la Ley de Transparencia y Acceso a la Información Pública del Estado, como se expone a continuación:</w:t>
      </w:r>
    </w:p>
    <w:p w14:paraId="30DC1A91" w14:textId="77777777" w:rsidR="00E215D2" w:rsidRPr="00EA2555" w:rsidRDefault="00E215D2" w:rsidP="00E215D2">
      <w:pPr>
        <w:pStyle w:val="corte4fondo"/>
        <w:tabs>
          <w:tab w:val="left" w:pos="567"/>
        </w:tabs>
        <w:rPr>
          <w:rFonts w:ascii="AvantGarde Bk BT" w:hAnsi="AvantGarde Bk BT" w:cs="Arial"/>
          <w:color w:val="000000" w:themeColor="text1"/>
          <w:sz w:val="24"/>
          <w:szCs w:val="24"/>
        </w:rPr>
      </w:pPr>
    </w:p>
    <w:p w14:paraId="06F3F92F" w14:textId="7986153C"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1501E">
        <w:rPr>
          <w:rFonts w:ascii="AvantGarde Bk BT" w:hAnsi="AvantGarde Bk BT" w:cs="Arial"/>
          <w:color w:val="000000" w:themeColor="text1"/>
          <w:sz w:val="24"/>
          <w:szCs w:val="24"/>
        </w:rPr>
        <w:t>01 uno de octubre</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1501E">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w:t>
      </w:r>
      <w:r w:rsidR="0061501E">
        <w:rPr>
          <w:rFonts w:ascii="AvantGarde Bk BT" w:hAnsi="AvantGarde Bk BT" w:cs="Arial"/>
          <w:color w:val="000000" w:themeColor="text1"/>
          <w:sz w:val="24"/>
          <w:szCs w:val="24"/>
        </w:rPr>
        <w:t>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14:paraId="58AB2A25" w14:textId="51631021"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61501E">
        <w:rPr>
          <w:rFonts w:ascii="AvantGarde Bk BT" w:hAnsi="AvantGarde Bk BT" w:cs="Arial"/>
          <w:color w:val="000000" w:themeColor="text1"/>
          <w:sz w:val="24"/>
          <w:szCs w:val="24"/>
        </w:rPr>
        <w:t>02 dos</w:t>
      </w:r>
      <w:r w:rsidR="00630546">
        <w:rPr>
          <w:rFonts w:ascii="AvantGarde Bk BT" w:hAnsi="AvantGarde Bk BT" w:cs="Arial"/>
          <w:color w:val="000000" w:themeColor="text1"/>
          <w:sz w:val="24"/>
          <w:szCs w:val="24"/>
        </w:rPr>
        <w:t xml:space="preserve"> al </w:t>
      </w:r>
      <w:r w:rsidR="0061501E">
        <w:rPr>
          <w:rFonts w:ascii="AvantGarde Bk BT" w:hAnsi="AvantGarde Bk BT" w:cs="Arial"/>
          <w:color w:val="000000" w:themeColor="text1"/>
          <w:sz w:val="24"/>
          <w:szCs w:val="24"/>
        </w:rPr>
        <w:t>24 veinticuatro, ambos de octubre</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14:paraId="397CBA20" w14:textId="515748DC"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61501E">
        <w:rPr>
          <w:rFonts w:ascii="AvantGarde Bk BT" w:hAnsi="AvantGarde Bk BT" w:cs="Arial"/>
          <w:color w:val="000000" w:themeColor="text1"/>
          <w:sz w:val="24"/>
          <w:szCs w:val="24"/>
        </w:rPr>
        <w:t>06 seis, 07 siete, 12 doce, 13 trece, 14 catorce, 20 veinte y 21 veintiuno de octubre</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00FD3658" w14:textId="00AEFA31"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91489C">
        <w:rPr>
          <w:rFonts w:ascii="AvantGarde Bk BT" w:hAnsi="AvantGarde Bk BT" w:cs="Arial"/>
          <w:color w:val="000000" w:themeColor="text1"/>
          <w:sz w:val="24"/>
          <w:szCs w:val="24"/>
        </w:rPr>
        <w:t>02 dos</w:t>
      </w:r>
      <w:r w:rsidR="001F5EF9">
        <w:rPr>
          <w:rFonts w:ascii="AvantGarde Bk BT" w:hAnsi="AvantGarde Bk BT" w:cs="Arial"/>
          <w:color w:val="000000" w:themeColor="text1"/>
          <w:sz w:val="24"/>
          <w:szCs w:val="24"/>
        </w:rPr>
        <w:t xml:space="preserve"> de </w:t>
      </w:r>
      <w:r w:rsidR="0061501E">
        <w:rPr>
          <w:rFonts w:ascii="AvantGarde Bk BT" w:hAnsi="AvantGarde Bk BT" w:cs="Arial"/>
          <w:color w:val="000000" w:themeColor="text1"/>
          <w:sz w:val="24"/>
          <w:szCs w:val="24"/>
        </w:rPr>
        <w:t>octubre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0D1A83D8" w14:textId="77777777"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14:paraId="4D40BFF3" w14:textId="77777777" w:rsidR="004A0B72" w:rsidRDefault="00E215D2" w:rsidP="004A0B72">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sidRPr="00397017">
        <w:rPr>
          <w:rFonts w:ascii="AvantGarde Bk BT" w:hAnsi="AvantGarde Bk BT" w:cs="Arial"/>
          <w:b/>
          <w:color w:val="000000" w:themeColor="text1"/>
          <w:sz w:val="24"/>
          <w:szCs w:val="24"/>
        </w:rPr>
        <w:t>QUINTO</w:t>
      </w:r>
      <w:r w:rsidRPr="00397017">
        <w:rPr>
          <w:rFonts w:ascii="AvantGarde Bk BT" w:hAnsi="AvantGarde Bk BT" w:cs="Arial"/>
          <w:b/>
          <w:color w:val="000000" w:themeColor="text1"/>
          <w:sz w:val="24"/>
          <w:szCs w:val="24"/>
        </w:rPr>
        <w:t xml:space="preserve">. </w:t>
      </w:r>
      <w:r w:rsidR="00852B70" w:rsidRPr="00397017">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Las causales de improcedencia previstas en el artículo 179 de la Ley de Transparencia son de estudio oficioso y preferente a cualquier otra cuestión planteada</w:t>
      </w:r>
      <w:r w:rsidR="00397017">
        <w:rPr>
          <w:rFonts w:ascii="AvantGarde Bk BT" w:hAnsi="AvantGarde Bk BT" w:cs="Arial"/>
          <w:color w:val="000000" w:themeColor="text1"/>
          <w:sz w:val="24"/>
          <w:szCs w:val="24"/>
        </w:rPr>
        <w:t>. En el caso, al no actualizarse causal de improcedencia alguna manifestada por el sujeto obligado o advertida por este órgano garante se procede al estudio de fondo de la cuestión planteada.</w:t>
      </w:r>
    </w:p>
    <w:p w14:paraId="4810A162" w14:textId="4AA18CD4" w:rsidR="00852B70" w:rsidRDefault="00852B70" w:rsidP="00397017">
      <w:pPr>
        <w:pStyle w:val="corte4fondo"/>
        <w:tabs>
          <w:tab w:val="left" w:pos="567"/>
        </w:tabs>
        <w:ind w:firstLine="0"/>
        <w:rPr>
          <w:rFonts w:ascii="AvantGarde Bk BT" w:hAnsi="AvantGarde Bk BT" w:cs="Arial"/>
          <w:b/>
          <w:color w:val="000000" w:themeColor="text1"/>
          <w:sz w:val="24"/>
          <w:szCs w:val="24"/>
        </w:rPr>
      </w:pPr>
    </w:p>
    <w:p w14:paraId="410C1580" w14:textId="733E12A5" w:rsidR="00E215D2" w:rsidRPr="008B5FE3" w:rsidRDefault="00852B70" w:rsidP="008B5FE3">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14:paraId="07A1B4BB" w14:textId="77777777" w:rsidR="008540CA" w:rsidRDefault="008540CA" w:rsidP="00E215D2">
      <w:pPr>
        <w:pStyle w:val="corte4fondo"/>
        <w:tabs>
          <w:tab w:val="left" w:pos="567"/>
        </w:tabs>
        <w:rPr>
          <w:rFonts w:ascii="AvantGarde Bk BT" w:hAnsi="AvantGarde Bk BT" w:cs="Arial"/>
          <w:color w:val="000000" w:themeColor="text1"/>
          <w:sz w:val="24"/>
          <w:szCs w:val="24"/>
        </w:rPr>
      </w:pPr>
    </w:p>
    <w:p w14:paraId="61B88DA7" w14:textId="208EE72C" w:rsidR="004F2B2F" w:rsidRDefault="003854F9"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el presente recurso </w:t>
      </w:r>
      <w:r w:rsidR="004F2B2F">
        <w:rPr>
          <w:rFonts w:ascii="AvantGarde Bk BT" w:hAnsi="AvantGarde Bk BT" w:cs="Arial"/>
          <w:color w:val="000000" w:themeColor="text1"/>
          <w:sz w:val="24"/>
          <w:szCs w:val="24"/>
        </w:rPr>
        <w:t>se originó en virtud de que el recurrente solicitó al Poder Judicial del Estado la siguiente Información:</w:t>
      </w:r>
    </w:p>
    <w:p w14:paraId="77837A29" w14:textId="520FD81F" w:rsidR="00D65554" w:rsidRDefault="00D65554" w:rsidP="00E215D2">
      <w:pPr>
        <w:pStyle w:val="corte4fondo"/>
        <w:tabs>
          <w:tab w:val="left" w:pos="567"/>
        </w:tabs>
        <w:rPr>
          <w:rFonts w:ascii="AvantGarde Bk BT" w:hAnsi="AvantGarde Bk BT" w:cs="Arial"/>
          <w:color w:val="000000" w:themeColor="text1"/>
          <w:sz w:val="24"/>
          <w:szCs w:val="24"/>
        </w:rPr>
      </w:pPr>
    </w:p>
    <w:p w14:paraId="7E1F0B9E" w14:textId="77777777" w:rsidR="003D419D" w:rsidRPr="003D419D" w:rsidRDefault="0061056B" w:rsidP="003D419D">
      <w:pPr>
        <w:pStyle w:val="corte4fondo"/>
        <w:tabs>
          <w:tab w:val="left" w:pos="567"/>
        </w:tabs>
        <w:rPr>
          <w:rFonts w:ascii="AvantGarde Bk BT" w:hAnsi="AvantGarde Bk BT" w:cs="Arial"/>
          <w:i/>
          <w:color w:val="000000" w:themeColor="text1"/>
          <w:sz w:val="24"/>
          <w:szCs w:val="24"/>
        </w:rPr>
      </w:pPr>
      <w:r w:rsidRPr="0061056B">
        <w:rPr>
          <w:rFonts w:ascii="AvantGarde Bk BT" w:hAnsi="AvantGarde Bk BT" w:cs="Arial"/>
          <w:i/>
          <w:color w:val="000000" w:themeColor="text1"/>
          <w:sz w:val="24"/>
          <w:szCs w:val="24"/>
        </w:rPr>
        <w:t>“</w:t>
      </w:r>
      <w:r w:rsidR="003D419D" w:rsidRPr="003D419D">
        <w:rPr>
          <w:rFonts w:ascii="AvantGarde Bk BT" w:hAnsi="AvantGarde Bk BT" w:cs="Arial"/>
          <w:i/>
          <w:color w:val="000000" w:themeColor="text1"/>
          <w:sz w:val="24"/>
          <w:szCs w:val="24"/>
        </w:rPr>
        <w:t>1. listado completo de gastos en la partida alimentación.</w:t>
      </w:r>
    </w:p>
    <w:p w14:paraId="080DBB24" w14:textId="77777777" w:rsidR="003D419D" w:rsidRPr="003D419D" w:rsidRDefault="003D419D" w:rsidP="003D419D">
      <w:pPr>
        <w:pStyle w:val="corte4fondo"/>
        <w:tabs>
          <w:tab w:val="left" w:pos="567"/>
        </w:tabs>
        <w:rPr>
          <w:rFonts w:ascii="AvantGarde Bk BT" w:hAnsi="AvantGarde Bk BT" w:cs="Arial"/>
          <w:i/>
          <w:color w:val="000000" w:themeColor="text1"/>
          <w:sz w:val="24"/>
          <w:szCs w:val="24"/>
        </w:rPr>
      </w:pPr>
      <w:r w:rsidRPr="003D419D">
        <w:rPr>
          <w:rFonts w:ascii="AvantGarde Bk BT" w:hAnsi="AvantGarde Bk BT" w:cs="Arial"/>
          <w:i/>
          <w:color w:val="000000" w:themeColor="text1"/>
          <w:sz w:val="24"/>
          <w:szCs w:val="24"/>
        </w:rPr>
        <w:t>2. costo completo de gastos en la partida alimentación.</w:t>
      </w:r>
    </w:p>
    <w:p w14:paraId="11D1089B" w14:textId="77777777" w:rsidR="003D419D" w:rsidRPr="003D419D" w:rsidRDefault="003D419D" w:rsidP="003D419D">
      <w:pPr>
        <w:pStyle w:val="corte4fondo"/>
        <w:tabs>
          <w:tab w:val="left" w:pos="567"/>
        </w:tabs>
        <w:rPr>
          <w:rFonts w:ascii="AvantGarde Bk BT" w:hAnsi="AvantGarde Bk BT" w:cs="Arial"/>
          <w:i/>
          <w:color w:val="000000" w:themeColor="text1"/>
          <w:sz w:val="24"/>
          <w:szCs w:val="24"/>
        </w:rPr>
      </w:pPr>
      <w:r w:rsidRPr="003D419D">
        <w:rPr>
          <w:rFonts w:ascii="AvantGarde Bk BT" w:hAnsi="AvantGarde Bk BT" w:cs="Arial"/>
          <w:i/>
          <w:color w:val="000000" w:themeColor="text1"/>
          <w:sz w:val="24"/>
          <w:szCs w:val="24"/>
        </w:rPr>
        <w:t>3. comprobantes de pago y facturas digitales que comprueben los gastos relativos a la partida alimentación.</w:t>
      </w:r>
    </w:p>
    <w:p w14:paraId="1B43E273" w14:textId="77777777" w:rsidR="003D419D" w:rsidRPr="003D419D" w:rsidRDefault="003D419D" w:rsidP="003D419D">
      <w:pPr>
        <w:pStyle w:val="corte4fondo"/>
        <w:tabs>
          <w:tab w:val="left" w:pos="567"/>
        </w:tabs>
        <w:rPr>
          <w:rFonts w:ascii="AvantGarde Bk BT" w:hAnsi="AvantGarde Bk BT" w:cs="Arial"/>
          <w:i/>
          <w:color w:val="000000" w:themeColor="text1"/>
          <w:sz w:val="24"/>
          <w:szCs w:val="24"/>
        </w:rPr>
      </w:pPr>
    </w:p>
    <w:p w14:paraId="16531BD7" w14:textId="77777777" w:rsidR="003D419D" w:rsidRPr="003D419D" w:rsidRDefault="003D419D" w:rsidP="003D419D">
      <w:pPr>
        <w:pStyle w:val="corte4fondo"/>
        <w:tabs>
          <w:tab w:val="left" w:pos="567"/>
        </w:tabs>
        <w:rPr>
          <w:rFonts w:ascii="AvantGarde Bk BT" w:hAnsi="AvantGarde Bk BT" w:cs="Arial"/>
          <w:i/>
          <w:color w:val="000000" w:themeColor="text1"/>
          <w:sz w:val="24"/>
          <w:szCs w:val="24"/>
        </w:rPr>
      </w:pPr>
      <w:r w:rsidRPr="003D419D">
        <w:rPr>
          <w:rFonts w:ascii="AvantGarde Bk BT" w:hAnsi="AvantGarde Bk BT" w:cs="Arial"/>
          <w:i/>
          <w:color w:val="000000" w:themeColor="text1"/>
          <w:sz w:val="24"/>
          <w:szCs w:val="24"/>
        </w:rPr>
        <w:t>Para 2017.</w:t>
      </w:r>
    </w:p>
    <w:p w14:paraId="0D5FB437" w14:textId="77777777" w:rsidR="003D419D" w:rsidRPr="003D419D" w:rsidRDefault="003D419D" w:rsidP="003D419D">
      <w:pPr>
        <w:pStyle w:val="corte4fondo"/>
        <w:tabs>
          <w:tab w:val="left" w:pos="567"/>
        </w:tabs>
        <w:rPr>
          <w:rFonts w:ascii="AvantGarde Bk BT" w:hAnsi="AvantGarde Bk BT" w:cs="Arial"/>
          <w:i/>
          <w:color w:val="000000" w:themeColor="text1"/>
          <w:sz w:val="24"/>
          <w:szCs w:val="24"/>
        </w:rPr>
      </w:pPr>
    </w:p>
    <w:p w14:paraId="2E91D504" w14:textId="2B9162CC" w:rsidR="00CA3C25" w:rsidRDefault="003D419D" w:rsidP="003D419D">
      <w:pPr>
        <w:pStyle w:val="corte4fondo"/>
        <w:tabs>
          <w:tab w:val="left" w:pos="567"/>
        </w:tabs>
        <w:rPr>
          <w:rFonts w:ascii="AvantGarde Bk BT" w:hAnsi="AvantGarde Bk BT" w:cs="Arial"/>
          <w:color w:val="000000" w:themeColor="text1"/>
          <w:sz w:val="24"/>
          <w:szCs w:val="24"/>
        </w:rPr>
      </w:pPr>
      <w:r w:rsidRPr="003D419D">
        <w:rPr>
          <w:rFonts w:ascii="AvantGarde Bk BT" w:hAnsi="AvantGarde Bk BT" w:cs="Arial"/>
          <w:i/>
          <w:color w:val="000000" w:themeColor="text1"/>
          <w:sz w:val="24"/>
          <w:szCs w:val="24"/>
        </w:rPr>
        <w:t xml:space="preserve">Todo en versión digital. me interesan todas las facturas recibidas por correo electrónico. o que </w:t>
      </w:r>
      <w:proofErr w:type="spellStart"/>
      <w:r w:rsidRPr="003D419D">
        <w:rPr>
          <w:rFonts w:ascii="AvantGarde Bk BT" w:hAnsi="AvantGarde Bk BT" w:cs="Arial"/>
          <w:i/>
          <w:color w:val="000000" w:themeColor="text1"/>
          <w:sz w:val="24"/>
          <w:szCs w:val="24"/>
        </w:rPr>
        <w:t>peudan</w:t>
      </w:r>
      <w:proofErr w:type="spellEnd"/>
      <w:r w:rsidRPr="003D419D">
        <w:rPr>
          <w:rFonts w:ascii="AvantGarde Bk BT" w:hAnsi="AvantGarde Bk BT" w:cs="Arial"/>
          <w:i/>
          <w:color w:val="000000" w:themeColor="text1"/>
          <w:sz w:val="24"/>
          <w:szCs w:val="24"/>
        </w:rPr>
        <w:t xml:space="preserve"> ser </w:t>
      </w:r>
      <w:proofErr w:type="spellStart"/>
      <w:r w:rsidRPr="003D419D">
        <w:rPr>
          <w:rFonts w:ascii="AvantGarde Bk BT" w:hAnsi="AvantGarde Bk BT" w:cs="Arial"/>
          <w:i/>
          <w:color w:val="000000" w:themeColor="text1"/>
          <w:sz w:val="24"/>
          <w:szCs w:val="24"/>
        </w:rPr>
        <w:t>accesadas</w:t>
      </w:r>
      <w:proofErr w:type="spellEnd"/>
      <w:r w:rsidRPr="003D419D">
        <w:rPr>
          <w:rFonts w:ascii="AvantGarde Bk BT" w:hAnsi="AvantGarde Bk BT" w:cs="Arial"/>
          <w:i/>
          <w:color w:val="000000" w:themeColor="text1"/>
          <w:sz w:val="24"/>
          <w:szCs w:val="24"/>
        </w:rPr>
        <w:t xml:space="preserve"> por sistemas informáticos</w:t>
      </w:r>
      <w:r w:rsidR="0061056B" w:rsidRPr="0061056B">
        <w:rPr>
          <w:rFonts w:ascii="AvantGarde Bk BT" w:hAnsi="AvantGarde Bk BT" w:cs="Arial"/>
          <w:i/>
          <w:color w:val="000000" w:themeColor="text1"/>
          <w:sz w:val="24"/>
          <w:szCs w:val="24"/>
        </w:rPr>
        <w:t>”</w:t>
      </w:r>
      <w:r w:rsidR="0061056B">
        <w:rPr>
          <w:rFonts w:ascii="AvantGarde Bk BT" w:hAnsi="AvantGarde Bk BT" w:cs="Arial"/>
          <w:color w:val="000000" w:themeColor="text1"/>
          <w:sz w:val="24"/>
          <w:szCs w:val="24"/>
        </w:rPr>
        <w:t xml:space="preserve"> (sic)</w:t>
      </w:r>
    </w:p>
    <w:p w14:paraId="6C8E19B0" w14:textId="73D0E2E0" w:rsidR="0061056B" w:rsidRDefault="0061056B" w:rsidP="00E215D2">
      <w:pPr>
        <w:pStyle w:val="corte4fondo"/>
        <w:tabs>
          <w:tab w:val="left" w:pos="567"/>
        </w:tabs>
        <w:rPr>
          <w:rFonts w:ascii="AvantGarde Bk BT" w:hAnsi="AvantGarde Bk BT" w:cs="Arial"/>
          <w:color w:val="000000" w:themeColor="text1"/>
          <w:sz w:val="24"/>
          <w:szCs w:val="24"/>
        </w:rPr>
      </w:pPr>
    </w:p>
    <w:p w14:paraId="1C87F20B" w14:textId="1396E52B" w:rsidR="00CA3C25" w:rsidRDefault="00CA3C2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 dicha solicitud recayó la siguiente respuesta:</w:t>
      </w:r>
    </w:p>
    <w:p w14:paraId="633A2765" w14:textId="5F1ACEFB" w:rsidR="00CA3C25" w:rsidRDefault="00CA3C25" w:rsidP="00E215D2">
      <w:pPr>
        <w:pStyle w:val="corte4fondo"/>
        <w:tabs>
          <w:tab w:val="left" w:pos="567"/>
        </w:tabs>
        <w:rPr>
          <w:rFonts w:ascii="AvantGarde Bk BT" w:hAnsi="AvantGarde Bk BT" w:cs="Arial"/>
          <w:color w:val="000000" w:themeColor="text1"/>
          <w:sz w:val="24"/>
          <w:szCs w:val="24"/>
        </w:rPr>
      </w:pPr>
    </w:p>
    <w:p w14:paraId="2AD142CE" w14:textId="56B09128" w:rsidR="008C0495" w:rsidRDefault="008C0495">
      <w:pPr>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C0495">
        <w:rPr>
          <w:rFonts w:ascii="AvantGarde Bk BT" w:hAnsi="AvantGarde Bk BT" w:cs="Arial"/>
          <w:color w:val="000000" w:themeColor="text1"/>
          <w:sz w:val="24"/>
          <w:szCs w:val="24"/>
        </w:rPr>
        <w:t xml:space="preserve">Se adjunta por este conducto, respuesta a sus solicitudes de acceso a la información formuladas </w:t>
      </w:r>
      <w:proofErr w:type="spellStart"/>
      <w:r w:rsidRPr="008C0495">
        <w:rPr>
          <w:rFonts w:ascii="AvantGarde Bk BT" w:hAnsi="AvantGarde Bk BT" w:cs="Arial"/>
          <w:color w:val="000000" w:themeColor="text1"/>
          <w:sz w:val="24"/>
          <w:szCs w:val="24"/>
        </w:rPr>
        <w:t>via</w:t>
      </w:r>
      <w:proofErr w:type="spellEnd"/>
      <w:r w:rsidRPr="008C0495">
        <w:rPr>
          <w:rFonts w:ascii="AvantGarde Bk BT" w:hAnsi="AvantGarde Bk BT" w:cs="Arial"/>
          <w:color w:val="000000" w:themeColor="text1"/>
          <w:sz w:val="24"/>
          <w:szCs w:val="24"/>
        </w:rPr>
        <w:t xml:space="preserve"> Plataforma Nacional de Transparencia.</w:t>
      </w:r>
      <w:r>
        <w:rPr>
          <w:rFonts w:ascii="AvantGarde Bk BT" w:hAnsi="AvantGarde Bk BT" w:cs="Arial"/>
          <w:color w:val="000000" w:themeColor="text1"/>
          <w:sz w:val="24"/>
          <w:szCs w:val="24"/>
        </w:rPr>
        <w:t>” (sic)</w:t>
      </w:r>
    </w:p>
    <w:p w14:paraId="3F557485" w14:textId="45E8D612" w:rsidR="008C0495" w:rsidRDefault="008C0495">
      <w:pPr>
        <w:rPr>
          <w:rFonts w:ascii="AvantGarde Bk BT" w:hAnsi="AvantGarde Bk BT" w:cs="Arial"/>
          <w:color w:val="000000" w:themeColor="text1"/>
          <w:sz w:val="24"/>
          <w:szCs w:val="24"/>
        </w:rPr>
      </w:pPr>
      <w:r>
        <w:rPr>
          <w:rFonts w:ascii="AvantGarde Bk BT" w:hAnsi="AvantGarde Bk BT" w:cs="Arial"/>
          <w:color w:val="000000" w:themeColor="text1"/>
          <w:sz w:val="24"/>
          <w:szCs w:val="24"/>
        </w:rPr>
        <w:t>Y se adjuntó la siguiente información:</w:t>
      </w:r>
    </w:p>
    <w:p w14:paraId="7FCE07EB" w14:textId="10694F54" w:rsidR="00B57DE4" w:rsidRDefault="008B3803">
      <w:pPr>
        <w:rPr>
          <w:rFonts w:ascii="AvantGarde Bk BT" w:eastAsia="Times New Roman" w:hAnsi="AvantGarde Bk BT" w:cs="Arial"/>
          <w:color w:val="000000" w:themeColor="text1"/>
          <w:sz w:val="24"/>
          <w:szCs w:val="24"/>
        </w:rPr>
      </w:pPr>
      <w:r>
        <w:rPr>
          <w:noProof/>
        </w:rPr>
        <w:drawing>
          <wp:anchor distT="0" distB="0" distL="114300" distR="114300" simplePos="0" relativeHeight="251662336" behindDoc="0" locked="0" layoutInCell="1" allowOverlap="1" wp14:anchorId="3B5DC066" wp14:editId="3314F460">
            <wp:simplePos x="0" y="0"/>
            <wp:positionH relativeFrom="page">
              <wp:align>center</wp:align>
            </wp:positionH>
            <wp:positionV relativeFrom="paragraph">
              <wp:posOffset>-77242</wp:posOffset>
            </wp:positionV>
            <wp:extent cx="4338320" cy="2216150"/>
            <wp:effectExtent l="0" t="0" r="508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0100" t="54705" r="36204" b="23762"/>
                    <a:stretch/>
                  </pic:blipFill>
                  <pic:spPr bwMode="auto">
                    <a:xfrm>
                      <a:off x="0" y="0"/>
                      <a:ext cx="4338320" cy="2216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7DE4">
        <w:rPr>
          <w:rFonts w:ascii="AvantGarde Bk BT" w:hAnsi="AvantGarde Bk BT" w:cs="Arial"/>
          <w:color w:val="000000" w:themeColor="text1"/>
          <w:sz w:val="24"/>
          <w:szCs w:val="24"/>
        </w:rPr>
        <w:br w:type="page"/>
      </w:r>
    </w:p>
    <w:p w14:paraId="5C6F0BFE" w14:textId="088DA40C" w:rsidR="00B57DE4" w:rsidRDefault="00CA5145" w:rsidP="00E215D2">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63360" behindDoc="0" locked="0" layoutInCell="1" allowOverlap="1" wp14:anchorId="438A470B" wp14:editId="18C0BB7C">
            <wp:simplePos x="0" y="0"/>
            <wp:positionH relativeFrom="column">
              <wp:posOffset>542138</wp:posOffset>
            </wp:positionH>
            <wp:positionV relativeFrom="paragraph">
              <wp:posOffset>8586</wp:posOffset>
            </wp:positionV>
            <wp:extent cx="4961890" cy="223075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0442" t="76046" r="35647" b="4831"/>
                    <a:stretch/>
                  </pic:blipFill>
                  <pic:spPr bwMode="auto">
                    <a:xfrm>
                      <a:off x="0" y="0"/>
                      <a:ext cx="4961890" cy="223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C1C85E" w14:textId="43EA9F7D" w:rsidR="00E63C20" w:rsidRDefault="00E63C20" w:rsidP="00E215D2">
      <w:pPr>
        <w:pStyle w:val="corte4fondo"/>
        <w:tabs>
          <w:tab w:val="left" w:pos="567"/>
        </w:tabs>
        <w:rPr>
          <w:rFonts w:ascii="AvantGarde Bk BT" w:hAnsi="AvantGarde Bk BT" w:cs="Arial"/>
          <w:color w:val="000000" w:themeColor="text1"/>
          <w:sz w:val="24"/>
          <w:szCs w:val="24"/>
        </w:rPr>
      </w:pPr>
    </w:p>
    <w:p w14:paraId="5E8ED5BF" w14:textId="58B2A008" w:rsidR="00E63C20" w:rsidRDefault="00E63C20" w:rsidP="00E215D2">
      <w:pPr>
        <w:pStyle w:val="corte4fondo"/>
        <w:tabs>
          <w:tab w:val="left" w:pos="567"/>
        </w:tabs>
        <w:rPr>
          <w:rFonts w:ascii="AvantGarde Bk BT" w:hAnsi="AvantGarde Bk BT" w:cs="Arial"/>
          <w:color w:val="000000" w:themeColor="text1"/>
          <w:sz w:val="24"/>
          <w:szCs w:val="24"/>
        </w:rPr>
      </w:pPr>
    </w:p>
    <w:p w14:paraId="4840F128" w14:textId="599703D4" w:rsidR="00E63C20" w:rsidRDefault="00E63C20">
      <w:pPr>
        <w:rPr>
          <w:rFonts w:ascii="AvantGarde Bk BT" w:eastAsia="Times New Roman" w:hAnsi="AvantGarde Bk BT" w:cs="Arial"/>
          <w:color w:val="000000" w:themeColor="text1"/>
          <w:sz w:val="24"/>
          <w:szCs w:val="24"/>
        </w:rPr>
      </w:pPr>
    </w:p>
    <w:p w14:paraId="01CD78BD"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31083613"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1D0F60E8"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52D93594" w14:textId="677860C7" w:rsidR="00CA5145" w:rsidRDefault="00CA5145" w:rsidP="00E215D2">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64384" behindDoc="0" locked="0" layoutInCell="1" allowOverlap="1" wp14:anchorId="4FEA9088" wp14:editId="2BBA3767">
            <wp:simplePos x="0" y="0"/>
            <wp:positionH relativeFrom="margin">
              <wp:posOffset>403225</wp:posOffset>
            </wp:positionH>
            <wp:positionV relativeFrom="paragraph">
              <wp:posOffset>3810</wp:posOffset>
            </wp:positionV>
            <wp:extent cx="5025390" cy="3607435"/>
            <wp:effectExtent l="0" t="0" r="381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9059" t="7370" r="35980" b="60749"/>
                    <a:stretch/>
                  </pic:blipFill>
                  <pic:spPr bwMode="auto">
                    <a:xfrm>
                      <a:off x="0" y="0"/>
                      <a:ext cx="5025390" cy="3607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CCB165" w14:textId="6625726C" w:rsidR="00CA5145" w:rsidRDefault="00CA5145" w:rsidP="00E215D2">
      <w:pPr>
        <w:pStyle w:val="corte4fondo"/>
        <w:tabs>
          <w:tab w:val="left" w:pos="567"/>
        </w:tabs>
        <w:rPr>
          <w:rFonts w:ascii="AvantGarde Bk BT" w:hAnsi="AvantGarde Bk BT" w:cs="Arial"/>
          <w:color w:val="000000" w:themeColor="text1"/>
          <w:sz w:val="24"/>
          <w:szCs w:val="24"/>
        </w:rPr>
      </w:pPr>
    </w:p>
    <w:p w14:paraId="2E31C26D" w14:textId="5AA3664E" w:rsidR="00CA5145" w:rsidRDefault="00CA5145" w:rsidP="00E215D2">
      <w:pPr>
        <w:pStyle w:val="corte4fondo"/>
        <w:tabs>
          <w:tab w:val="left" w:pos="567"/>
        </w:tabs>
        <w:rPr>
          <w:rFonts w:ascii="AvantGarde Bk BT" w:hAnsi="AvantGarde Bk BT" w:cs="Arial"/>
          <w:color w:val="000000" w:themeColor="text1"/>
          <w:sz w:val="24"/>
          <w:szCs w:val="24"/>
        </w:rPr>
      </w:pPr>
    </w:p>
    <w:p w14:paraId="0695DB0A" w14:textId="76D5144A" w:rsidR="00CA5145" w:rsidRDefault="00CA5145" w:rsidP="00E215D2">
      <w:pPr>
        <w:pStyle w:val="corte4fondo"/>
        <w:tabs>
          <w:tab w:val="left" w:pos="567"/>
        </w:tabs>
        <w:rPr>
          <w:rFonts w:ascii="AvantGarde Bk BT" w:hAnsi="AvantGarde Bk BT" w:cs="Arial"/>
          <w:color w:val="000000" w:themeColor="text1"/>
          <w:sz w:val="24"/>
          <w:szCs w:val="24"/>
        </w:rPr>
      </w:pPr>
    </w:p>
    <w:p w14:paraId="7AE1C4BF"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0C48F43A"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2F862DDD"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3F6672F6"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55F8D3A4"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25C90CE6"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0D877330"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507C6D73"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4BFEE4B8"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6E3F2C26" w14:textId="77777777" w:rsidR="00CA5145" w:rsidRDefault="00CA5145" w:rsidP="00E215D2">
      <w:pPr>
        <w:pStyle w:val="corte4fondo"/>
        <w:tabs>
          <w:tab w:val="left" w:pos="567"/>
        </w:tabs>
        <w:rPr>
          <w:rFonts w:ascii="AvantGarde Bk BT" w:hAnsi="AvantGarde Bk BT" w:cs="Arial"/>
          <w:color w:val="000000" w:themeColor="text1"/>
          <w:sz w:val="24"/>
          <w:szCs w:val="24"/>
        </w:rPr>
      </w:pPr>
    </w:p>
    <w:p w14:paraId="1D5FE0CF" w14:textId="0C994029" w:rsidR="00E63C20" w:rsidRDefault="00E63C20"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debido a dicha respuesta el recurrente interpuso el presente recurso de revisión y </w:t>
      </w:r>
      <w:r w:rsidR="008E3591">
        <w:rPr>
          <w:rFonts w:ascii="AvantGarde Bk BT" w:hAnsi="AvantGarde Bk BT" w:cs="Arial"/>
          <w:color w:val="000000" w:themeColor="text1"/>
          <w:sz w:val="24"/>
          <w:szCs w:val="24"/>
        </w:rPr>
        <w:t>textualmente</w:t>
      </w:r>
      <w:r>
        <w:rPr>
          <w:rFonts w:ascii="AvantGarde Bk BT" w:hAnsi="AvantGarde Bk BT" w:cs="Arial"/>
          <w:color w:val="000000" w:themeColor="text1"/>
          <w:sz w:val="24"/>
          <w:szCs w:val="24"/>
        </w:rPr>
        <w:t xml:space="preserve"> señaló como agravio:</w:t>
      </w:r>
    </w:p>
    <w:p w14:paraId="4D28E881" w14:textId="77777777" w:rsidR="00CA5145" w:rsidRPr="00CA5145" w:rsidRDefault="008E3591" w:rsidP="00CA514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CA5145" w:rsidRPr="00CA5145">
        <w:rPr>
          <w:rFonts w:ascii="AvantGarde Bk BT" w:hAnsi="AvantGarde Bk BT" w:cs="Arial"/>
          <w:color w:val="000000" w:themeColor="text1"/>
          <w:sz w:val="24"/>
          <w:szCs w:val="24"/>
        </w:rPr>
        <w:t>Me causa agravio la respuesta dada a mi solicitud de información, dado que vulnera mi derecho humano a acceder a la información pública.</w:t>
      </w:r>
    </w:p>
    <w:p w14:paraId="356C8A42"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 xml:space="preserve">De manera ilustrativa se expone que </w:t>
      </w:r>
      <w:proofErr w:type="gramStart"/>
      <w:r w:rsidRPr="00CA5145">
        <w:rPr>
          <w:rFonts w:ascii="AvantGarde Bk BT" w:hAnsi="AvantGarde Bk BT" w:cs="Arial"/>
          <w:color w:val="000000" w:themeColor="text1"/>
          <w:sz w:val="24"/>
          <w:szCs w:val="24"/>
        </w:rPr>
        <w:t>solicité :</w:t>
      </w:r>
      <w:proofErr w:type="gramEnd"/>
      <w:r w:rsidRPr="00CA5145">
        <w:rPr>
          <w:rFonts w:ascii="AvantGarde Bk BT" w:hAnsi="AvantGarde Bk BT" w:cs="Arial"/>
          <w:color w:val="000000" w:themeColor="text1"/>
          <w:sz w:val="24"/>
          <w:szCs w:val="24"/>
        </w:rPr>
        <w:t xml:space="preserve"> </w:t>
      </w:r>
    </w:p>
    <w:p w14:paraId="2000E750"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 xml:space="preserve"> “1. listado completo de gastos en la partida alimentación.</w:t>
      </w:r>
    </w:p>
    <w:p w14:paraId="5DB699AA"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2. costo completo de gastos en la partida alimentación.</w:t>
      </w:r>
    </w:p>
    <w:p w14:paraId="4131F20A"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3. comprobantes de pago y facturas digitales que comprueben los gastos relativos a la partida alimentación.</w:t>
      </w:r>
    </w:p>
    <w:p w14:paraId="341F36F6"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lastRenderedPageBreak/>
        <w:t>Para 2017.</w:t>
      </w:r>
    </w:p>
    <w:p w14:paraId="2C8C403A"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 xml:space="preserve">Todo en versión digital. me interesan todas las facturas recibidas por correo electrónico. o que puedan ser </w:t>
      </w:r>
      <w:proofErr w:type="spellStart"/>
      <w:r w:rsidRPr="00CA5145">
        <w:rPr>
          <w:rFonts w:ascii="AvantGarde Bk BT" w:hAnsi="AvantGarde Bk BT" w:cs="Arial"/>
          <w:color w:val="000000" w:themeColor="text1"/>
          <w:sz w:val="24"/>
          <w:szCs w:val="24"/>
        </w:rPr>
        <w:t>accesadas</w:t>
      </w:r>
      <w:proofErr w:type="spellEnd"/>
      <w:r w:rsidRPr="00CA5145">
        <w:rPr>
          <w:rFonts w:ascii="AvantGarde Bk BT" w:hAnsi="AvantGarde Bk BT" w:cs="Arial"/>
          <w:color w:val="000000" w:themeColor="text1"/>
          <w:sz w:val="24"/>
          <w:szCs w:val="24"/>
        </w:rPr>
        <w:t xml:space="preserve"> por sistemas informáticos” </w:t>
      </w:r>
    </w:p>
    <w:p w14:paraId="1B88C824"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p>
    <w:p w14:paraId="6972C319"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Al respecto se me contestó que</w:t>
      </w:r>
    </w:p>
    <w:p w14:paraId="72B394DC"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 xml:space="preserve">“todos los comprobantes fiscales son validados para dar certeza a los mismo y considerarlos auténticos, por otra parte los órganos revisores para realizar sus auditorías solicita la información en documentos, en tal virtud solo se cuenta con documentación física de los comprobantes fiscales.  </w:t>
      </w:r>
    </w:p>
    <w:p w14:paraId="6E62A2A5"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En razón de lo anterior la información por usted solicita (sic) consta de 443 fojas.”</w:t>
      </w:r>
    </w:p>
    <w:p w14:paraId="59069557"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p>
    <w:p w14:paraId="6C9C1F1E"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 xml:space="preserve">Agravios: </w:t>
      </w:r>
    </w:p>
    <w:p w14:paraId="3C62AD0C"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p>
    <w:p w14:paraId="3095759C"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1.</w:t>
      </w:r>
      <w:r w:rsidRPr="00CA5145">
        <w:rPr>
          <w:rFonts w:ascii="AvantGarde Bk BT" w:hAnsi="AvantGarde Bk BT" w:cs="Arial"/>
          <w:color w:val="000000" w:themeColor="text1"/>
          <w:sz w:val="24"/>
          <w:szCs w:val="24"/>
        </w:rPr>
        <w:tab/>
        <w:t>No se me contesta de manera independiente cada solicitud de información, el Poder Judicial del Estado, de manera recurrente, acumula mis solicitudes, de una manera que no es contemplada como válida por la Ley de la Materia, me permito recordar que las autoridades sólo deben poder hacer lo que la ley les permite de manera EXPRESA.</w:t>
      </w:r>
    </w:p>
    <w:p w14:paraId="70CDA9C0"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2.</w:t>
      </w:r>
      <w:r w:rsidRPr="00CA5145">
        <w:rPr>
          <w:rFonts w:ascii="AvantGarde Bk BT" w:hAnsi="AvantGarde Bk BT" w:cs="Arial"/>
          <w:color w:val="000000" w:themeColor="text1"/>
          <w:sz w:val="24"/>
          <w:szCs w:val="24"/>
        </w:rPr>
        <w:tab/>
        <w:t>Solicito se declare la AFIRMATIVA FICTA respecto de mis solicitudes 1 y 2 respecto de las cuales la autoridad fue omisa en contestar.</w:t>
      </w:r>
    </w:p>
    <w:p w14:paraId="1CF620EA"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3.</w:t>
      </w:r>
      <w:r w:rsidRPr="00CA5145">
        <w:rPr>
          <w:rFonts w:ascii="AvantGarde Bk BT" w:hAnsi="AvantGarde Bk BT" w:cs="Arial"/>
          <w:color w:val="000000" w:themeColor="text1"/>
          <w:sz w:val="24"/>
          <w:szCs w:val="24"/>
        </w:rPr>
        <w:tab/>
        <w:t xml:space="preserve">Ahora bien por lo que refiere al punto 3 de mi solicitud, (comprobantes de pago y facturas digitales que comprueben los gastos relativos a la partida alimentación…Para 2017…Todo en versión digital. me interesan todas las facturas recibidas por correo electrónico. o que puedan ser </w:t>
      </w:r>
      <w:proofErr w:type="spellStart"/>
      <w:r w:rsidRPr="00CA5145">
        <w:rPr>
          <w:rFonts w:ascii="AvantGarde Bk BT" w:hAnsi="AvantGarde Bk BT" w:cs="Arial"/>
          <w:color w:val="000000" w:themeColor="text1"/>
          <w:sz w:val="24"/>
          <w:szCs w:val="24"/>
        </w:rPr>
        <w:t>accesadas</w:t>
      </w:r>
      <w:proofErr w:type="spellEnd"/>
      <w:r w:rsidRPr="00CA5145">
        <w:rPr>
          <w:rFonts w:ascii="AvantGarde Bk BT" w:hAnsi="AvantGarde Bk BT" w:cs="Arial"/>
          <w:color w:val="000000" w:themeColor="text1"/>
          <w:sz w:val="24"/>
          <w:szCs w:val="24"/>
        </w:rPr>
        <w:t xml:space="preserve"> por sistemas informáticos”). Me causa AGRAVIO LA RESPUESTA POR:</w:t>
      </w:r>
    </w:p>
    <w:p w14:paraId="295975B8"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a.</w:t>
      </w:r>
      <w:r w:rsidRPr="00CA5145">
        <w:rPr>
          <w:rFonts w:ascii="AvantGarde Bk BT" w:hAnsi="AvantGarde Bk BT" w:cs="Arial"/>
          <w:color w:val="000000" w:themeColor="text1"/>
          <w:sz w:val="24"/>
          <w:szCs w:val="24"/>
        </w:rPr>
        <w:tab/>
        <w:t xml:space="preserve">No pregunté sobre la validación, sólo solicité las facturas digitales que de manera implícita se acepta que existen. </w:t>
      </w:r>
    </w:p>
    <w:p w14:paraId="6805DCF9"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b.</w:t>
      </w:r>
      <w:r w:rsidRPr="00CA5145">
        <w:rPr>
          <w:rFonts w:ascii="AvantGarde Bk BT" w:hAnsi="AvantGarde Bk BT" w:cs="Arial"/>
          <w:color w:val="000000" w:themeColor="text1"/>
          <w:sz w:val="24"/>
          <w:szCs w:val="24"/>
        </w:rPr>
        <w:tab/>
        <w:t>No pregunté sobre los procesos de revisión, sólo solicité las facturas digitales que de manera implícita se acepta que existen e ilegalmente se niegan.</w:t>
      </w:r>
    </w:p>
    <w:p w14:paraId="43FB2116"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c.</w:t>
      </w:r>
      <w:r w:rsidRPr="00CA5145">
        <w:rPr>
          <w:rFonts w:ascii="AvantGarde Bk BT" w:hAnsi="AvantGarde Bk BT" w:cs="Arial"/>
          <w:color w:val="000000" w:themeColor="text1"/>
          <w:sz w:val="24"/>
          <w:szCs w:val="24"/>
        </w:rPr>
        <w:tab/>
        <w:t xml:space="preserve">Es inexacto y contradictorio que se diga que no existen los documentos que solicito en versión electrónica </w:t>
      </w:r>
      <w:proofErr w:type="spellStart"/>
      <w:r w:rsidRPr="00CA5145">
        <w:rPr>
          <w:rFonts w:ascii="AvantGarde Bk BT" w:hAnsi="AvantGarde Bk BT" w:cs="Arial"/>
          <w:color w:val="000000" w:themeColor="text1"/>
          <w:sz w:val="24"/>
          <w:szCs w:val="24"/>
        </w:rPr>
        <w:t>por que</w:t>
      </w:r>
      <w:proofErr w:type="spellEnd"/>
      <w:r w:rsidRPr="00CA5145">
        <w:rPr>
          <w:rFonts w:ascii="AvantGarde Bk BT" w:hAnsi="AvantGarde Bk BT" w:cs="Arial"/>
          <w:color w:val="000000" w:themeColor="text1"/>
          <w:sz w:val="24"/>
          <w:szCs w:val="24"/>
        </w:rPr>
        <w:t xml:space="preserve"> existe un correo electrónico oficial para </w:t>
      </w:r>
      <w:r w:rsidRPr="00CA5145">
        <w:rPr>
          <w:rFonts w:ascii="AvantGarde Bk BT" w:hAnsi="AvantGarde Bk BT" w:cs="Arial"/>
          <w:color w:val="000000" w:themeColor="text1"/>
          <w:sz w:val="24"/>
          <w:szCs w:val="24"/>
        </w:rPr>
        <w:lastRenderedPageBreak/>
        <w:t>recibir estos documentos y sistemas informáticos de rendición y control de cuentas que los requieren en versión digital.</w:t>
      </w:r>
    </w:p>
    <w:p w14:paraId="143120A9"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d.</w:t>
      </w:r>
      <w:r w:rsidRPr="00CA5145">
        <w:rPr>
          <w:rFonts w:ascii="AvantGarde Bk BT" w:hAnsi="AvantGarde Bk BT" w:cs="Arial"/>
          <w:color w:val="000000" w:themeColor="text1"/>
          <w:sz w:val="24"/>
          <w:szCs w:val="24"/>
        </w:rPr>
        <w:tab/>
        <w:t xml:space="preserve">La respuesta es violatoria de disposiciones generales que exigen que la información solicitada se encuentre a disposición del público, al respecto me permito invocar el contenido de las leyes de la materia, tanto la general como la del estado Potosino, particularmente se está en violación de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y de los Lineamientos Generales En Materia De Clasificación Y Desclasificación De La Información, Así Como Para La Elaboración De Versiones Públicas. </w:t>
      </w:r>
    </w:p>
    <w:p w14:paraId="3BBEBACD"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e.</w:t>
      </w:r>
      <w:r w:rsidRPr="00CA5145">
        <w:rPr>
          <w:rFonts w:ascii="AvantGarde Bk BT" w:hAnsi="AvantGarde Bk BT" w:cs="Arial"/>
          <w:color w:val="000000" w:themeColor="text1"/>
          <w:sz w:val="24"/>
          <w:szCs w:val="24"/>
        </w:rPr>
        <w:tab/>
        <w:t xml:space="preserve">No se respeta la modalidad de entrega elegida ni se funda o motiva </w:t>
      </w:r>
      <w:proofErr w:type="spellStart"/>
      <w:r w:rsidRPr="00CA5145">
        <w:rPr>
          <w:rFonts w:ascii="AvantGarde Bk BT" w:hAnsi="AvantGarde Bk BT" w:cs="Arial"/>
          <w:color w:val="000000" w:themeColor="text1"/>
          <w:sz w:val="24"/>
          <w:szCs w:val="24"/>
        </w:rPr>
        <w:t>porqué</w:t>
      </w:r>
      <w:proofErr w:type="spellEnd"/>
      <w:r w:rsidRPr="00CA5145">
        <w:rPr>
          <w:rFonts w:ascii="AvantGarde Bk BT" w:hAnsi="AvantGarde Bk BT" w:cs="Arial"/>
          <w:color w:val="000000" w:themeColor="text1"/>
          <w:sz w:val="24"/>
          <w:szCs w:val="24"/>
        </w:rPr>
        <w:t xml:space="preserve"> no se me entregan los documentos existentes en versión electrónica, ni tampoco se argumenta en atención al principio de máxima publicidad, si el proporcionar la información por ese medio implica o no una carga excesiva, en este caso son documentos que de antemano deben tener en digital para dar cumplimiento con los lineamientos señalados en el punto 3,d  lo que no sucede en este caso, pues es claro que por la información peticionada no se está frente a una situación que implique complejidad o funciones excesivas para poderla entregar.</w:t>
      </w:r>
    </w:p>
    <w:p w14:paraId="1F112849"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f.</w:t>
      </w:r>
      <w:r w:rsidRPr="00CA5145">
        <w:rPr>
          <w:rFonts w:ascii="AvantGarde Bk BT" w:hAnsi="AvantGarde Bk BT" w:cs="Arial"/>
          <w:color w:val="000000" w:themeColor="text1"/>
          <w:sz w:val="24"/>
          <w:szCs w:val="24"/>
        </w:rPr>
        <w:tab/>
        <w:t xml:space="preserve">Es información que están obligados a tener normativamente en formato digital y no se ha generado sin existir, aparentemente una declaratoria del comité de transparencia en ese sentido. </w:t>
      </w:r>
    </w:p>
    <w:p w14:paraId="70433BE1"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Por lo anterior SOLICITO:</w:t>
      </w:r>
    </w:p>
    <w:p w14:paraId="5E5D0BE4" w14:textId="77777777" w:rsidR="00CA5145" w:rsidRPr="00CA5145"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I.</w:t>
      </w:r>
      <w:r w:rsidRPr="00CA5145">
        <w:rPr>
          <w:rFonts w:ascii="AvantGarde Bk BT" w:hAnsi="AvantGarde Bk BT" w:cs="Arial"/>
          <w:color w:val="000000" w:themeColor="text1"/>
          <w:sz w:val="24"/>
          <w:szCs w:val="24"/>
        </w:rPr>
        <w:tab/>
        <w:t xml:space="preserve">Se declare afirmativa ficta respecto de mis preguntas 1 y 2 que la autoridad ignoró y </w:t>
      </w:r>
    </w:p>
    <w:p w14:paraId="42181208" w14:textId="329E0C0F" w:rsidR="008E3591" w:rsidRDefault="00CA5145" w:rsidP="00CA5145">
      <w:pPr>
        <w:pStyle w:val="corte4fondo"/>
        <w:tabs>
          <w:tab w:val="left" w:pos="567"/>
        </w:tabs>
        <w:rPr>
          <w:rFonts w:ascii="AvantGarde Bk BT" w:hAnsi="AvantGarde Bk BT" w:cs="Arial"/>
          <w:color w:val="000000" w:themeColor="text1"/>
          <w:sz w:val="24"/>
          <w:szCs w:val="24"/>
        </w:rPr>
      </w:pPr>
      <w:r w:rsidRPr="00CA5145">
        <w:rPr>
          <w:rFonts w:ascii="AvantGarde Bk BT" w:hAnsi="AvantGarde Bk BT" w:cs="Arial"/>
          <w:color w:val="000000" w:themeColor="text1"/>
          <w:sz w:val="24"/>
          <w:szCs w:val="24"/>
        </w:rPr>
        <w:t>II.</w:t>
      </w:r>
      <w:r w:rsidRPr="00CA5145">
        <w:rPr>
          <w:rFonts w:ascii="AvantGarde Bk BT" w:hAnsi="AvantGarde Bk BT" w:cs="Arial"/>
          <w:color w:val="000000" w:themeColor="text1"/>
          <w:sz w:val="24"/>
          <w:szCs w:val="24"/>
        </w:rPr>
        <w:tab/>
        <w:t xml:space="preserve">Se modifique la respuesta de la autoridad y </w:t>
      </w:r>
      <w:proofErr w:type="spellStart"/>
      <w:r w:rsidRPr="00CA5145">
        <w:rPr>
          <w:rFonts w:ascii="AvantGarde Bk BT" w:hAnsi="AvantGarde Bk BT" w:cs="Arial"/>
          <w:color w:val="000000" w:themeColor="text1"/>
          <w:sz w:val="24"/>
          <w:szCs w:val="24"/>
        </w:rPr>
        <w:t>sele</w:t>
      </w:r>
      <w:proofErr w:type="spellEnd"/>
      <w:r w:rsidRPr="00CA5145">
        <w:rPr>
          <w:rFonts w:ascii="AvantGarde Bk BT" w:hAnsi="AvantGarde Bk BT" w:cs="Arial"/>
          <w:color w:val="000000" w:themeColor="text1"/>
          <w:sz w:val="24"/>
          <w:szCs w:val="24"/>
        </w:rPr>
        <w:t xml:space="preserve"> obligue a que me envíe en versión electrónica a mi correo electrónico todas las facturas y comprobantes que estoy solicitando.</w:t>
      </w:r>
      <w:r w:rsidR="008E3591">
        <w:rPr>
          <w:rFonts w:ascii="AvantGarde Bk BT" w:hAnsi="AvantGarde Bk BT" w:cs="Arial"/>
          <w:color w:val="000000" w:themeColor="text1"/>
          <w:sz w:val="24"/>
          <w:szCs w:val="24"/>
        </w:rPr>
        <w:t>” (sic)</w:t>
      </w:r>
    </w:p>
    <w:p w14:paraId="117ABA6E" w14:textId="77777777" w:rsidR="005E2319" w:rsidRDefault="005E2319" w:rsidP="00E215D2">
      <w:pPr>
        <w:pStyle w:val="corte4fondo"/>
        <w:tabs>
          <w:tab w:val="left" w:pos="567"/>
        </w:tabs>
        <w:rPr>
          <w:rFonts w:ascii="AvantGarde Bk BT" w:hAnsi="AvantGarde Bk BT" w:cs="Arial"/>
          <w:color w:val="000000" w:themeColor="text1"/>
          <w:sz w:val="24"/>
          <w:szCs w:val="24"/>
        </w:rPr>
      </w:pPr>
    </w:p>
    <w:p w14:paraId="74B308ED" w14:textId="17E6FB52" w:rsidR="008E3591" w:rsidRDefault="007B4E6C" w:rsidP="004B0B19">
      <w:pPr>
        <w:pStyle w:val="corte4fondo"/>
        <w:tabs>
          <w:tab w:val="left" w:pos="567"/>
        </w:tabs>
        <w:rPr>
          <w:rFonts w:ascii="AvantGarde Bk BT" w:hAnsi="AvantGarde Bk BT" w:cs="Arial"/>
          <w:color w:val="000000" w:themeColor="text1"/>
          <w:sz w:val="24"/>
          <w:szCs w:val="24"/>
        </w:rPr>
      </w:pPr>
      <w:r w:rsidRPr="008E3591">
        <w:rPr>
          <w:rFonts w:ascii="AvantGarde Bk BT" w:hAnsi="AvantGarde Bk BT" w:cs="Arial"/>
          <w:color w:val="000000" w:themeColor="text1"/>
          <w:sz w:val="24"/>
          <w:szCs w:val="24"/>
        </w:rPr>
        <w:lastRenderedPageBreak/>
        <w:t>Ahora</w:t>
      </w:r>
      <w:r w:rsidR="00956935" w:rsidRPr="008E3591">
        <w:rPr>
          <w:rFonts w:ascii="AvantGarde Bk BT" w:hAnsi="AvantGarde Bk BT" w:cs="Arial"/>
          <w:color w:val="000000" w:themeColor="text1"/>
          <w:sz w:val="24"/>
          <w:szCs w:val="24"/>
        </w:rPr>
        <w:t xml:space="preserve">, </w:t>
      </w:r>
      <w:r w:rsidR="00325459" w:rsidRPr="008E3591">
        <w:rPr>
          <w:rFonts w:ascii="AvantGarde Bk BT" w:hAnsi="AvantGarde Bk BT" w:cs="Arial"/>
          <w:color w:val="000000" w:themeColor="text1"/>
          <w:sz w:val="24"/>
          <w:szCs w:val="24"/>
        </w:rPr>
        <w:t xml:space="preserve">en el informe que rindió el sujeto obligado ante esta Comisión, </w:t>
      </w:r>
      <w:r w:rsidR="006B0283" w:rsidRPr="008E3591">
        <w:rPr>
          <w:rFonts w:ascii="AvantGarde Bk BT" w:hAnsi="AvantGarde Bk BT" w:cs="Arial"/>
          <w:color w:val="000000" w:themeColor="text1"/>
          <w:sz w:val="24"/>
          <w:szCs w:val="24"/>
        </w:rPr>
        <w:t>manifestó</w:t>
      </w:r>
      <w:r w:rsidR="008E3591" w:rsidRPr="008E3591">
        <w:rPr>
          <w:rFonts w:ascii="AvantGarde Bk BT" w:hAnsi="AvantGarde Bk BT" w:cs="Arial"/>
          <w:color w:val="000000" w:themeColor="text1"/>
          <w:sz w:val="24"/>
          <w:szCs w:val="24"/>
        </w:rPr>
        <w:t>:</w:t>
      </w:r>
    </w:p>
    <w:p w14:paraId="13444059" w14:textId="77777777" w:rsidR="00A36115" w:rsidRPr="008E3591" w:rsidRDefault="00A36115" w:rsidP="004B0B19">
      <w:pPr>
        <w:pStyle w:val="corte4fondo"/>
        <w:tabs>
          <w:tab w:val="left" w:pos="567"/>
        </w:tabs>
        <w:rPr>
          <w:rFonts w:ascii="AvantGarde Bk BT" w:hAnsi="AvantGarde Bk BT" w:cs="Arial"/>
          <w:color w:val="000000" w:themeColor="text1"/>
          <w:sz w:val="24"/>
          <w:szCs w:val="24"/>
        </w:rPr>
      </w:pPr>
    </w:p>
    <w:p w14:paraId="79153CA1" w14:textId="1A2C1B3A" w:rsidR="008E3591" w:rsidRPr="00A36115" w:rsidRDefault="008E3591" w:rsidP="008E3591">
      <w:pPr>
        <w:pStyle w:val="corte4fondo"/>
        <w:tabs>
          <w:tab w:val="left" w:pos="567"/>
        </w:tabs>
        <w:rPr>
          <w:rFonts w:ascii="AvantGarde Bk BT" w:hAnsi="AvantGarde Bk BT" w:cs="Arial"/>
          <w:i/>
          <w:color w:val="000000" w:themeColor="text1"/>
          <w:sz w:val="24"/>
          <w:szCs w:val="24"/>
        </w:rPr>
      </w:pPr>
      <w:r w:rsidRPr="00A36115">
        <w:rPr>
          <w:rFonts w:ascii="AvantGarde Bk BT" w:hAnsi="AvantGarde Bk BT" w:cs="Arial"/>
          <w:i/>
          <w:color w:val="000000" w:themeColor="text1"/>
          <w:sz w:val="24"/>
          <w:szCs w:val="24"/>
        </w:rPr>
        <w:t>“[…] Se informa que de conformidad con lo señalado por el artículo 1° de la Ley de Transparencia y Acceso a la Información Pública del Estado, se aplica de manera supletoria la Ley de Procedimientos Administrativos del Estado y Municipios de San Luis Potosí, por su parte, las peticiones al ser formuladas por un mismo peticionario y al tener relación la información peticionada con las demás solicitudes, esta Unidad por economía procesal, procedió a su acumulación al radicadas bajo un solo expediente SAI 232/2018, sirve de apoyo la siguiente tesis emitida por la Segunda Sala del Poder Judicial de la Federación que dispone:</w:t>
      </w:r>
    </w:p>
    <w:p w14:paraId="3EC3E93F" w14:textId="77777777" w:rsidR="008E3591" w:rsidRPr="00A36115" w:rsidRDefault="008E3591" w:rsidP="008E3591">
      <w:pPr>
        <w:pStyle w:val="corte4fondo"/>
        <w:tabs>
          <w:tab w:val="left" w:pos="567"/>
        </w:tabs>
        <w:ind w:firstLine="0"/>
        <w:rPr>
          <w:rFonts w:ascii="AvantGarde Bk BT" w:hAnsi="AvantGarde Bk BT" w:cs="Arial"/>
          <w:b/>
          <w:bCs/>
          <w:i/>
          <w:color w:val="000000" w:themeColor="text1"/>
          <w:sz w:val="24"/>
          <w:szCs w:val="24"/>
        </w:rPr>
      </w:pPr>
      <w:r w:rsidRPr="00A36115">
        <w:rPr>
          <w:rFonts w:ascii="AvantGarde Bk BT" w:hAnsi="AvantGarde Bk BT" w:cs="Arial"/>
          <w:b/>
          <w:bCs/>
          <w:i/>
          <w:color w:val="000000" w:themeColor="text1"/>
          <w:sz w:val="24"/>
          <w:szCs w:val="24"/>
        </w:rPr>
        <w:t xml:space="preserve">“[ACUMULACION DE JUICIOS. </w:t>
      </w:r>
      <w:r w:rsidRPr="00A36115">
        <w:rPr>
          <w:rFonts w:ascii="AvantGarde Bk BT" w:hAnsi="AvantGarde Bk BT" w:cs="Arial"/>
          <w:i/>
          <w:color w:val="000000" w:themeColor="text1"/>
          <w:sz w:val="24"/>
          <w:szCs w:val="24"/>
        </w:rPr>
        <w:t xml:space="preserve">Hay ocasiones en que es conveniente que varias acciones se tramiten y decidan en un solo juicio, o que varios juicios ya incoados, se fusionen para formar uno que continuará con una sola tramitación y se decidirá con una sola sentencia; si se realiza lo primero, se dice que hay acumulación de acciones, si lo segundo habrá acumulación de autos. Estas dos clases de acumulación no proceden discrecionalmente, sino que la ley fija los casos en que debe tener lugar y para ello toma en cuenta tres de los elementos constitutivos del juicio: los sujetos de la relación procesal, el objeto o cosa que se reclama y la causa o razón de pedir; cuando esos elementos son los mismos en dos o más juicios, éstos son idénticos; si ninguno de esos elementos es común, los juicios serán completamente diversos; cuando alguno de esos elementos son comunes, los juicios son afines, afinidad que </w:t>
      </w:r>
      <w:proofErr w:type="spellStart"/>
      <w:r w:rsidRPr="00A36115">
        <w:rPr>
          <w:rFonts w:ascii="AvantGarde Bk BT" w:hAnsi="AvantGarde Bk BT" w:cs="Arial"/>
          <w:i/>
          <w:color w:val="000000" w:themeColor="text1"/>
          <w:sz w:val="24"/>
          <w:szCs w:val="24"/>
        </w:rPr>
        <w:t>sera</w:t>
      </w:r>
      <w:proofErr w:type="spellEnd"/>
      <w:r w:rsidRPr="00A36115">
        <w:rPr>
          <w:rFonts w:ascii="AvantGarde Bk BT" w:hAnsi="AvantGarde Bk BT" w:cs="Arial"/>
          <w:i/>
          <w:color w:val="000000" w:themeColor="text1"/>
          <w:sz w:val="24"/>
          <w:szCs w:val="24"/>
        </w:rPr>
        <w:t xml:space="preserve"> muy acentuada, si son dos los elementos comunes. en los juicios idénticos y en los afines, procede la acumulación de ellos para que formen uno solo, que se decida con una sentencia, debido a la economía de los juicios y la simplificación del procedimiento, teniendo en cuenta el prestigio de la autoridad judicial, que sin duda sufre cuando una cuestión relativa se resuelve contradictoriamente por los tribunales, lo que ha hecho en estos casos, que se fusionen dos o más juicios en uno, por medio de la figura jurídica llamada acumulación. No basta para que la acumulación se decrete que existan causas para pedirla, fundadas en la identidad o en la afinidad de los juicios, sino que además debe tenerse en cuenta el estado de tramitación en que se hallen los juicios idénticos o afines, para ver si todavía es posible la </w:t>
      </w:r>
      <w:r w:rsidRPr="00A36115">
        <w:rPr>
          <w:rFonts w:ascii="AvantGarde Bk BT" w:hAnsi="AvantGarde Bk BT" w:cs="Arial"/>
          <w:i/>
          <w:color w:val="000000" w:themeColor="text1"/>
          <w:sz w:val="24"/>
          <w:szCs w:val="24"/>
        </w:rPr>
        <w:lastRenderedPageBreak/>
        <w:t>acumulación; pues no está permitido a los Jueces ni a los litigantes, dar a los juicios tramitación distinta de la fijada por la ley. El artículo 867 del Código Civil del Distrito, establece que no procede la acumulación cuando los juicios estén en diversas instancias y el artículo siguiente, estatuye que la acumulación puede pedirse en cualquier estado del juicio antes de que se pronuncie sentencia, disposición que reproduce el artículo 1360 del código de comercio. cuando ya se ha pronunciado sentencia en un juicio que es acumulable a otro, la acumulación no llena ninguno de los fines para los que ha sido establecida puesto que no debe extenderse más allá de los procedimientos que se acumulan.</w:t>
      </w:r>
    </w:p>
    <w:p w14:paraId="7CD7D9FE" w14:textId="77777777" w:rsidR="008E3591" w:rsidRPr="00A36115" w:rsidRDefault="008E3591" w:rsidP="008E3591">
      <w:pPr>
        <w:pStyle w:val="corte4fondo"/>
        <w:tabs>
          <w:tab w:val="left" w:pos="567"/>
        </w:tabs>
        <w:ind w:firstLine="0"/>
        <w:rPr>
          <w:rFonts w:ascii="AvantGarde Bk BT" w:hAnsi="AvantGarde Bk BT" w:cs="Arial"/>
          <w:i/>
          <w:color w:val="000000" w:themeColor="text1"/>
          <w:sz w:val="24"/>
          <w:szCs w:val="24"/>
        </w:rPr>
      </w:pPr>
      <w:r w:rsidRPr="00A36115">
        <w:rPr>
          <w:rFonts w:ascii="AvantGarde Bk BT" w:hAnsi="AvantGarde Bk BT" w:cs="Arial"/>
          <w:i/>
          <w:color w:val="000000" w:themeColor="text1"/>
          <w:sz w:val="24"/>
          <w:szCs w:val="24"/>
        </w:rPr>
        <w:t>Amparo civil en revisión 7391/40. "Ingenio De Agua Buena", S. A. (Quiebra). 14 de julio de 1941. Mayoría de tres votos. Disidentes: Alfonso Francisco Ramírez y Manuel Bartlett Bautista. La publicación no menciona el nombre del ponente.]”</w:t>
      </w:r>
    </w:p>
    <w:p w14:paraId="7FD2E9BE" w14:textId="77777777" w:rsidR="008E3591" w:rsidRDefault="008E3591" w:rsidP="008E3591">
      <w:pPr>
        <w:pStyle w:val="corte4fondo"/>
        <w:tabs>
          <w:tab w:val="left" w:pos="567"/>
        </w:tabs>
        <w:ind w:firstLine="0"/>
        <w:rPr>
          <w:rFonts w:ascii="AvantGarde Bk BT" w:hAnsi="AvantGarde Bk BT" w:cs="Arial"/>
          <w:i/>
          <w:color w:val="000000" w:themeColor="text1"/>
          <w:sz w:val="24"/>
          <w:szCs w:val="24"/>
        </w:rPr>
      </w:pPr>
      <w:r w:rsidRPr="00A36115">
        <w:rPr>
          <w:rFonts w:ascii="AvantGarde Bk BT" w:hAnsi="AvantGarde Bk BT" w:cs="Arial"/>
          <w:i/>
          <w:color w:val="000000" w:themeColor="text1"/>
          <w:sz w:val="24"/>
          <w:szCs w:val="24"/>
        </w:rPr>
        <w:t>[…]</w:t>
      </w:r>
    </w:p>
    <w:p w14:paraId="54516FD0" w14:textId="374A324F" w:rsidR="0060491A" w:rsidRPr="00A36115" w:rsidRDefault="00497684" w:rsidP="00E215D2">
      <w:pPr>
        <w:pStyle w:val="corte4fondo"/>
        <w:tabs>
          <w:tab w:val="left" w:pos="567"/>
        </w:tabs>
        <w:rPr>
          <w:rFonts w:ascii="AvantGarde Bk BT" w:hAnsi="AvantGarde Bk BT" w:cs="Arial"/>
          <w:i/>
          <w:color w:val="000000" w:themeColor="text1"/>
          <w:sz w:val="24"/>
          <w:szCs w:val="24"/>
        </w:rPr>
      </w:pPr>
      <w:r w:rsidRPr="00A36115">
        <w:rPr>
          <w:rFonts w:ascii="AvantGarde Bk BT" w:hAnsi="AvantGarde Bk BT" w:cs="Arial"/>
          <w:i/>
          <w:color w:val="000000" w:themeColor="text1"/>
          <w:sz w:val="24"/>
          <w:szCs w:val="24"/>
        </w:rPr>
        <w:t xml:space="preserve">Contrario a lo manifestado, si se otorgó respuesta a todos los puntos petitorios mediante oficio </w:t>
      </w:r>
      <w:r w:rsidR="007D539D">
        <w:rPr>
          <w:rFonts w:ascii="AvantGarde Bk BT" w:hAnsi="AvantGarde Bk BT" w:cs="Arial"/>
          <w:i/>
          <w:color w:val="000000" w:themeColor="text1"/>
          <w:sz w:val="24"/>
          <w:szCs w:val="24"/>
        </w:rPr>
        <w:t>DGRF</w:t>
      </w:r>
      <w:r w:rsidRPr="00A36115">
        <w:rPr>
          <w:rFonts w:ascii="AvantGarde Bk BT" w:hAnsi="AvantGarde Bk BT" w:cs="Arial"/>
          <w:i/>
          <w:color w:val="000000" w:themeColor="text1"/>
          <w:sz w:val="24"/>
          <w:szCs w:val="24"/>
        </w:rPr>
        <w:t>/</w:t>
      </w:r>
      <w:r w:rsidR="007D539D">
        <w:rPr>
          <w:rFonts w:ascii="AvantGarde Bk BT" w:hAnsi="AvantGarde Bk BT" w:cs="Arial"/>
          <w:i/>
          <w:color w:val="000000" w:themeColor="text1"/>
          <w:sz w:val="24"/>
          <w:szCs w:val="24"/>
        </w:rPr>
        <w:t>1307</w:t>
      </w:r>
      <w:r w:rsidRPr="00A36115">
        <w:rPr>
          <w:rFonts w:ascii="AvantGarde Bk BT" w:hAnsi="AvantGarde Bk BT" w:cs="Arial"/>
          <w:i/>
          <w:color w:val="000000" w:themeColor="text1"/>
          <w:sz w:val="24"/>
          <w:szCs w:val="24"/>
        </w:rPr>
        <w:t>/</w:t>
      </w:r>
      <w:r w:rsidR="007D539D">
        <w:rPr>
          <w:rFonts w:ascii="AvantGarde Bk BT" w:hAnsi="AvantGarde Bk BT" w:cs="Arial"/>
          <w:i/>
          <w:color w:val="000000" w:themeColor="text1"/>
          <w:sz w:val="24"/>
          <w:szCs w:val="24"/>
        </w:rPr>
        <w:t>20</w:t>
      </w:r>
      <w:r w:rsidRPr="00A36115">
        <w:rPr>
          <w:rFonts w:ascii="AvantGarde Bk BT" w:hAnsi="AvantGarde Bk BT" w:cs="Arial"/>
          <w:i/>
          <w:color w:val="000000" w:themeColor="text1"/>
          <w:sz w:val="24"/>
          <w:szCs w:val="24"/>
        </w:rPr>
        <w:t>18 emitido por l</w:t>
      </w:r>
      <w:r w:rsidR="007D539D">
        <w:rPr>
          <w:rFonts w:ascii="AvantGarde Bk BT" w:hAnsi="AvantGarde Bk BT" w:cs="Arial"/>
          <w:i/>
          <w:color w:val="000000" w:themeColor="text1"/>
          <w:sz w:val="24"/>
          <w:szCs w:val="24"/>
        </w:rPr>
        <w:t>a</w:t>
      </w:r>
      <w:r w:rsidRPr="00A36115">
        <w:rPr>
          <w:rFonts w:ascii="AvantGarde Bk BT" w:hAnsi="AvantGarde Bk BT" w:cs="Arial"/>
          <w:i/>
          <w:color w:val="000000" w:themeColor="text1"/>
          <w:sz w:val="24"/>
          <w:szCs w:val="24"/>
        </w:rPr>
        <w:t xml:space="preserve"> C.P. </w:t>
      </w:r>
      <w:r w:rsidR="007D539D">
        <w:rPr>
          <w:rFonts w:ascii="AvantGarde Bk BT" w:hAnsi="AvantGarde Bk BT" w:cs="Arial"/>
          <w:i/>
          <w:color w:val="000000" w:themeColor="text1"/>
          <w:sz w:val="24"/>
          <w:szCs w:val="24"/>
        </w:rPr>
        <w:t>Victoria Eugenia García Gómez</w:t>
      </w:r>
      <w:r w:rsidRPr="00A36115">
        <w:rPr>
          <w:rFonts w:ascii="AvantGarde Bk BT" w:hAnsi="AvantGarde Bk BT" w:cs="Arial"/>
          <w:i/>
          <w:color w:val="000000" w:themeColor="text1"/>
          <w:sz w:val="24"/>
          <w:szCs w:val="24"/>
        </w:rPr>
        <w:t xml:space="preserve">, </w:t>
      </w:r>
      <w:r w:rsidR="007D539D">
        <w:rPr>
          <w:rFonts w:ascii="AvantGarde Bk BT" w:hAnsi="AvantGarde Bk BT" w:cs="Arial"/>
          <w:i/>
          <w:color w:val="000000" w:themeColor="text1"/>
          <w:sz w:val="24"/>
          <w:szCs w:val="24"/>
        </w:rPr>
        <w:t>Directora de Recursos Financieros</w:t>
      </w:r>
      <w:r w:rsidR="008A57E6" w:rsidRPr="00A36115">
        <w:rPr>
          <w:rFonts w:ascii="AvantGarde Bk BT" w:hAnsi="AvantGarde Bk BT" w:cs="Arial"/>
          <w:i/>
          <w:color w:val="000000" w:themeColor="text1"/>
          <w:sz w:val="24"/>
          <w:szCs w:val="24"/>
        </w:rPr>
        <w:t>, por tanto, se solicita a ese órgano garante, declare la improcedencia de la afirmativa ficta que pretende ejercer el peticionario</w:t>
      </w:r>
      <w:r w:rsidR="007D539D">
        <w:rPr>
          <w:rFonts w:ascii="AvantGarde Bk BT" w:hAnsi="AvantGarde Bk BT" w:cs="Arial"/>
          <w:i/>
          <w:color w:val="000000" w:themeColor="text1"/>
          <w:sz w:val="24"/>
          <w:szCs w:val="24"/>
        </w:rPr>
        <w:t>, ya que el contenido de la solicitud  de información, se encuentra en las 443 fojas que de forma impresa se requirió por el pago o la modalidad de consulta física en las instalaciones que ocupa la Dirección de Recursos Financieros</w:t>
      </w:r>
      <w:r w:rsidR="008A57E6" w:rsidRPr="00A36115">
        <w:rPr>
          <w:rFonts w:ascii="AvantGarde Bk BT" w:hAnsi="AvantGarde Bk BT" w:cs="Arial"/>
          <w:i/>
          <w:color w:val="000000" w:themeColor="text1"/>
          <w:sz w:val="24"/>
          <w:szCs w:val="24"/>
        </w:rPr>
        <w:t>.</w:t>
      </w:r>
    </w:p>
    <w:p w14:paraId="423B8C61" w14:textId="3BF46AFE" w:rsidR="008A57E6" w:rsidRPr="00A36115" w:rsidRDefault="008A57E6" w:rsidP="00E215D2">
      <w:pPr>
        <w:pStyle w:val="corte4fondo"/>
        <w:tabs>
          <w:tab w:val="left" w:pos="567"/>
        </w:tabs>
        <w:rPr>
          <w:rFonts w:ascii="AvantGarde Bk BT" w:hAnsi="AvantGarde Bk BT" w:cs="Arial"/>
          <w:i/>
          <w:color w:val="000000" w:themeColor="text1"/>
          <w:sz w:val="24"/>
          <w:szCs w:val="24"/>
        </w:rPr>
      </w:pPr>
      <w:r w:rsidRPr="00A36115">
        <w:rPr>
          <w:rFonts w:ascii="AvantGarde Bk BT" w:hAnsi="AvantGarde Bk BT" w:cs="Arial"/>
          <w:i/>
          <w:color w:val="000000" w:themeColor="text1"/>
          <w:sz w:val="24"/>
          <w:szCs w:val="24"/>
        </w:rPr>
        <w:t xml:space="preserve"> […]</w:t>
      </w:r>
    </w:p>
    <w:p w14:paraId="0005F557" w14:textId="0F0388AE" w:rsidR="008A57E6" w:rsidRPr="00A36115" w:rsidRDefault="00AA2B27" w:rsidP="00AA2B27">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En cuanto a la manifestación de los incisos a) y c) es falso, en cuanto al que hace al inciso f) es falso que deba existir un pronunciamiento por parte del Comité de Transparencia</w:t>
      </w:r>
      <w:r w:rsidR="00A36115" w:rsidRPr="00A36115">
        <w:rPr>
          <w:rFonts w:ascii="AvantGarde Bk BT" w:hAnsi="AvantGarde Bk BT" w:cs="Arial"/>
          <w:i/>
          <w:color w:val="000000" w:themeColor="text1"/>
          <w:sz w:val="24"/>
          <w:szCs w:val="24"/>
        </w:rPr>
        <w:t>.</w:t>
      </w:r>
    </w:p>
    <w:p w14:paraId="14CBC529" w14:textId="77777777" w:rsidR="005C1663" w:rsidRDefault="00AA2B27" w:rsidP="008A57E6">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Por lo que hace a los incisos d), e), f), los argumentos son falsos, toda vez que no se cuenta con un sistema informático que filtre la información que el recurrente solicita, de ahí que la información como ya se señaló con antelación, se encuentra para su reproducción o bien para su consulta física en las instalaciones que ocupa la Dirección de Recursos Financieros, en términos </w:t>
      </w:r>
      <w:r w:rsidR="005C1663">
        <w:rPr>
          <w:rFonts w:ascii="AvantGarde Bk BT" w:hAnsi="AvantGarde Bk BT" w:cs="Arial"/>
          <w:i/>
          <w:color w:val="000000" w:themeColor="text1"/>
          <w:sz w:val="24"/>
          <w:szCs w:val="24"/>
        </w:rPr>
        <w:t>del artículo 59 de la Ley de Transparencia y Acceso a la Información Pública del Estado.</w:t>
      </w:r>
    </w:p>
    <w:p w14:paraId="2E4F7648" w14:textId="77777777" w:rsidR="005C1663" w:rsidRDefault="005C1663" w:rsidP="008A57E6">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lastRenderedPageBreak/>
        <w:t>Por todo lo anterior, esta Unidad reitera en sus términos la respuesta otorgada al peticionario mediante oficio UIP 345/2018 y anexo DGRF-1307/2018 emitido por la C.P. Victoria Eugenia García Gómez, Directora de Recursos Financieros.</w:t>
      </w:r>
    </w:p>
    <w:p w14:paraId="6FF05CC7" w14:textId="5050295B" w:rsidR="00A36115" w:rsidRDefault="00A36115" w:rsidP="008A57E6">
      <w:pPr>
        <w:pStyle w:val="corte4fondo"/>
        <w:tabs>
          <w:tab w:val="left" w:pos="567"/>
        </w:tabs>
        <w:ind w:firstLine="851"/>
        <w:rPr>
          <w:rFonts w:ascii="AvantGarde Bk BT" w:hAnsi="AvantGarde Bk BT" w:cs="Arial"/>
          <w:color w:val="000000" w:themeColor="text1"/>
          <w:sz w:val="24"/>
          <w:szCs w:val="24"/>
        </w:rPr>
      </w:pPr>
      <w:r w:rsidRPr="00A36115">
        <w:rPr>
          <w:rFonts w:ascii="AvantGarde Bk BT" w:hAnsi="AvantGarde Bk BT" w:cs="Arial"/>
          <w:i/>
          <w:color w:val="000000" w:themeColor="text1"/>
          <w:sz w:val="24"/>
          <w:szCs w:val="24"/>
        </w:rPr>
        <w:t>[…]</w:t>
      </w:r>
      <w:proofErr w:type="gramStart"/>
      <w:r w:rsidRPr="00A36115">
        <w:rPr>
          <w:rFonts w:ascii="AvantGarde Bk BT" w:hAnsi="AvantGarde Bk BT" w:cs="Arial"/>
          <w:i/>
          <w:color w:val="000000" w:themeColor="text1"/>
          <w:sz w:val="24"/>
          <w:szCs w:val="24"/>
        </w:rPr>
        <w:t>”</w:t>
      </w:r>
      <w:r>
        <w:rPr>
          <w:rFonts w:ascii="AvantGarde Bk BT" w:hAnsi="AvantGarde Bk BT" w:cs="Arial"/>
          <w:color w:val="000000" w:themeColor="text1"/>
          <w:sz w:val="24"/>
          <w:szCs w:val="24"/>
        </w:rPr>
        <w:t>(</w:t>
      </w:r>
      <w:proofErr w:type="gramEnd"/>
      <w:r>
        <w:rPr>
          <w:rFonts w:ascii="AvantGarde Bk BT" w:hAnsi="AvantGarde Bk BT" w:cs="Arial"/>
          <w:color w:val="000000" w:themeColor="text1"/>
          <w:sz w:val="24"/>
          <w:szCs w:val="24"/>
        </w:rPr>
        <w:t>sic)</w:t>
      </w:r>
    </w:p>
    <w:p w14:paraId="1299D261" w14:textId="32288D02" w:rsidR="00A36115" w:rsidRDefault="00A36115" w:rsidP="008A57E6">
      <w:pPr>
        <w:pStyle w:val="corte4fondo"/>
        <w:tabs>
          <w:tab w:val="left" w:pos="567"/>
        </w:tabs>
        <w:ind w:firstLine="851"/>
        <w:rPr>
          <w:rFonts w:ascii="AvantGarde Bk BT" w:hAnsi="AvantGarde Bk BT" w:cs="Arial"/>
          <w:color w:val="000000" w:themeColor="text1"/>
          <w:sz w:val="24"/>
          <w:szCs w:val="24"/>
        </w:rPr>
      </w:pPr>
    </w:p>
    <w:p w14:paraId="58B6614A" w14:textId="162731AA" w:rsidR="00A36115" w:rsidRDefault="00A36115" w:rsidP="008A57E6">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las cosas, resultan </w:t>
      </w:r>
      <w:r w:rsidR="000B6F0C">
        <w:rPr>
          <w:rFonts w:ascii="AvantGarde Bk BT" w:hAnsi="AvantGarde Bk BT" w:cs="Arial"/>
          <w:color w:val="000000" w:themeColor="text1"/>
          <w:sz w:val="24"/>
          <w:szCs w:val="24"/>
        </w:rPr>
        <w:t xml:space="preserve">parcialmente </w:t>
      </w:r>
      <w:r>
        <w:rPr>
          <w:rFonts w:ascii="AvantGarde Bk BT" w:hAnsi="AvantGarde Bk BT" w:cs="Arial"/>
          <w:color w:val="000000" w:themeColor="text1"/>
          <w:sz w:val="24"/>
          <w:szCs w:val="24"/>
        </w:rPr>
        <w:t>procedentes los argumentos vertidos por el recurrente</w:t>
      </w:r>
      <w:r w:rsidR="00E05781">
        <w:rPr>
          <w:rFonts w:ascii="AvantGarde Bk BT" w:hAnsi="AvantGarde Bk BT" w:cs="Arial"/>
          <w:color w:val="000000" w:themeColor="text1"/>
          <w:sz w:val="24"/>
          <w:szCs w:val="24"/>
        </w:rPr>
        <w:t xml:space="preserve"> por las razones que </w:t>
      </w:r>
      <w:r w:rsidR="00D301F9">
        <w:rPr>
          <w:rFonts w:ascii="AvantGarde Bk BT" w:hAnsi="AvantGarde Bk BT" w:cs="Arial"/>
          <w:color w:val="000000" w:themeColor="text1"/>
          <w:sz w:val="24"/>
          <w:szCs w:val="24"/>
        </w:rPr>
        <w:t>en lo sucesivo se detallan:</w:t>
      </w:r>
    </w:p>
    <w:p w14:paraId="28756BC2" w14:textId="77777777" w:rsidR="00761CC3" w:rsidRDefault="00761CC3" w:rsidP="008A57E6">
      <w:pPr>
        <w:pStyle w:val="corte4fondo"/>
        <w:tabs>
          <w:tab w:val="left" w:pos="567"/>
        </w:tabs>
        <w:ind w:firstLine="851"/>
        <w:rPr>
          <w:rFonts w:ascii="AvantGarde Bk BT" w:hAnsi="AvantGarde Bk BT" w:cs="Arial"/>
          <w:color w:val="000000" w:themeColor="text1"/>
          <w:sz w:val="24"/>
          <w:szCs w:val="24"/>
        </w:rPr>
      </w:pPr>
    </w:p>
    <w:p w14:paraId="1646C21A"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En primer término, este cuerpo colegiado debe pronunciarse respecto al fundamento jurídico empleado el sujeto obligado para sustentar dicha determinación, pues este resulta incorrecto, debido a que la Ley de Procedimientos Administrativos del Estado y Municipios de San Luis Potosí se encuentra abrogada.</w:t>
      </w:r>
      <w:r>
        <w:rPr>
          <w:rFonts w:ascii="AvantGarde Bk BT" w:hAnsi="AvantGarde Bk BT"/>
          <w:color w:val="000000" w:themeColor="text1"/>
          <w:vertAlign w:val="superscript"/>
        </w:rPr>
        <w:footnoteReference w:id="1"/>
      </w:r>
    </w:p>
    <w:p w14:paraId="339110D3"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Dicho lo anterior, es dable señalar que la figura jurídica de la acumulación se encuentra contemplada en el Código Procesal Administrativo para el Estado de San Luis Potosí, que en la porción normativa que interesa señalan lo siguiente: </w:t>
      </w:r>
    </w:p>
    <w:p w14:paraId="5F3F3D07"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18150F3C"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“ARTÍCULO 125. En los procedimientos contenciosos procede la acumulación de dos o más juicios pendientes de resolver cuando:</w:t>
      </w:r>
    </w:p>
    <w:p w14:paraId="7AF63487"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I. Siendo diferentes las partes e invocándose distintos agravios, el acto impugnado sea uno mismo o se impugnen varias partes del mismo acto y </w:t>
      </w:r>
    </w:p>
    <w:p w14:paraId="524A2709"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II. Sean las partes y los agravios diversos o no, se impugnen actos que sean unos antecedentes o consecuencia de los otros.” </w:t>
      </w:r>
    </w:p>
    <w:p w14:paraId="01C87830"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02B77CD8"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precepto normativo citado con anterioridad, se precisa que la acumulación como figura jurídica, consiste en la integración de distintas partes y </w:t>
      </w:r>
      <w:r>
        <w:rPr>
          <w:rFonts w:ascii="AvantGarde Bk BT" w:hAnsi="AvantGarde Bk BT" w:cs="Arial"/>
          <w:color w:val="000000" w:themeColor="text1"/>
          <w:sz w:val="24"/>
          <w:szCs w:val="24"/>
        </w:rPr>
        <w:lastRenderedPageBreak/>
        <w:t xml:space="preserve">distintos motivos de inconformidad que impugnen un mismo acto, el cual, puede ser antecedente o consecuencia de otros. </w:t>
      </w:r>
    </w:p>
    <w:p w14:paraId="543D0ECF"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456E0FB5"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bien, en materia de Transparencia y Acceso a la Información, la acumulación se encuentra prevista para la tramitación de recursos de revisión, tal y como lo determinó este Órgano Garante a través del Acuerdo CEGAIP-466/2008, aprobado en sesión ordinaria de consejo, celebrada el veinticuatro de septiembre de dos mil ocho, cuyo rubro y texto señalan lo siguiente:</w:t>
      </w:r>
    </w:p>
    <w:p w14:paraId="2A5D7643"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5E8EA435"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“ACUMULACIÓN DE EXPEDIENTE. Se aprueba por unanimidad de votos, que deberá procurar en la medida de lo posible la acumulación a un solo expediente, cuando se trate del mismo recurrente y el mismo ente obligado, y siempre que la información sea del mismo ámbito, con el propósito de dictar una sola resolución para los expedientes acumulados. “ </w:t>
      </w:r>
    </w:p>
    <w:p w14:paraId="213E641E"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719384B9"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4357A564"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los Lineamientos para la Recepción, Substanciación, Resolución y Cumplimiento de los Recursos de Revisión promovidos ante la CEGAIP, en la porción normativa que interesa señalan lo siguiente</w:t>
      </w:r>
    </w:p>
    <w:p w14:paraId="1470D4A8"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479AF704"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“Décimo segundo. Acumulación. </w:t>
      </w:r>
    </w:p>
    <w:p w14:paraId="1F0320F5"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Recibido el Recurso de Revisión. El Comisionado Ponente podrá solicitar al Pleno la acumulación de recursos de revisión, quien en todo caso podrá considerar los mismos elementos de valoración para dos o más recursos de revisión y resolver en el mismo sentido. Una vez cerrada la instrucción no se podrá emitir acuerdo de acumulación. </w:t>
      </w:r>
    </w:p>
    <w:p w14:paraId="56141BF0"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p>
    <w:p w14:paraId="5C80A439"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4E28F6F9"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Además los Lineamientos para la Implementación y Operación de la Plataforma Nacional de Transparencia, en la porción normativa que interesa señalan lo siguiente: </w:t>
      </w:r>
    </w:p>
    <w:p w14:paraId="14978740"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142C5F18"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“Octogésimo octavo. Cuando exista la posibilidad de acumular recursos de revisión por haber derivado de respuestas a solicitudes cuyo tema sea similar o idéntico y se trate del mismo sujeto obligado o cuando haya identidad de partes, aquellos encargados de los recursos que fueron recibidos con posterioridad podrán requerir la acumulación al encargado de aquel recurso que haya sido recibido primero, mediante el SIGEMI. Para tales efectos, podrán iniciar un subproceso de acumulación, en el cual deberán indicar a qué recurso requieren que sea acumulado. El encargado que tiene recurso más antiguo. Será notificado de dicha solicitud a través del tablero de “Notificaciones” y podrá aceptar o rechazar la acumulación. Sin importar cuál sea la elección, será notificada a quien solicitó la acumulación mediante el tablero “notificaciones.” </w:t>
      </w:r>
    </w:p>
    <w:p w14:paraId="0548E215" w14:textId="77777777" w:rsidR="008023E0" w:rsidRDefault="008023E0" w:rsidP="008023E0">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p>
    <w:p w14:paraId="5815E23F"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5A956194"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el sujeto obligado motiva la acumulación de las solicitudes de información por existir elementos comunes, tales como: </w:t>
      </w:r>
      <w:proofErr w:type="gramStart"/>
      <w:r>
        <w:rPr>
          <w:rFonts w:ascii="AvantGarde Bk BT" w:hAnsi="AvantGarde Bk BT" w:cs="Arial"/>
          <w:color w:val="000000" w:themeColor="text1"/>
          <w:sz w:val="24"/>
          <w:szCs w:val="24"/>
        </w:rPr>
        <w:t>la identidad</w:t>
      </w:r>
      <w:proofErr w:type="gramEnd"/>
      <w:r>
        <w:rPr>
          <w:rFonts w:ascii="AvantGarde Bk BT" w:hAnsi="AvantGarde Bk BT" w:cs="Arial"/>
          <w:color w:val="000000" w:themeColor="text1"/>
          <w:sz w:val="24"/>
          <w:szCs w:val="24"/>
        </w:rPr>
        <w:t xml:space="preserve"> del solicitante y la relación entre la información solicitada, así como la economía procesal; sin embargo, dichas consideración también resultan ser erróneas e insuficientes.</w:t>
      </w:r>
    </w:p>
    <w:p w14:paraId="2FCD4AAD"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71B69581"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como puede advertirse de la citada normatividad, el momento adecuado para decretar la acumulación sería una vez que el solicitante de la información decidiera recurrir en revisión la respuesta otorgada por el sujeto obligado y, dicha acumulación le competería a este cuerpo colegiado, pues así se cumplirían los elementos esenciales que dicha figura procesal exige (identidad de partes, respuestas a solicitudes cuyo tema sea similar o idéntico y etapa procesal adecuada)</w:t>
      </w:r>
    </w:p>
    <w:p w14:paraId="458E37F5"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04925AB9"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resulta oportuno hacer el señalamiento de que las solicitudes de información son independientes entre sí y por ende las respuestas que debió entregar el sujeto obligado no debiesen ser conexas.</w:t>
      </w:r>
    </w:p>
    <w:p w14:paraId="7DAF0B33"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3F4D92DF"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De lo anterior resulta que es procedente la acumulación en la tramitación de recursos de revisión, cuando en diversas solicitudes se requiera información cuyo tema resulte similar o cuando haya identidad de partes y que aquello que se requiere sea del mismo ámbito, por lo que del análisis de la respuesta otorgada por el Poder Judicial del Estado, si bien es cierto que existe identidad de partes es decir, el solicitante y el Sujeto Obligado son coincidentes, en el caso concreto, esta Comisión estima que la naturaleza de la información requerida es diversa.</w:t>
      </w:r>
    </w:p>
    <w:p w14:paraId="1E084BDB"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3F52D80A"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Por tanto, este Órgano Garante estima que en atención a lo establecido en los artículos 17</w:t>
      </w:r>
      <w:r>
        <w:rPr>
          <w:rFonts w:ascii="AvantGarde Bk BT" w:hAnsi="AvantGarde Bk BT"/>
          <w:color w:val="000000" w:themeColor="text1"/>
          <w:sz w:val="24"/>
          <w:vertAlign w:val="superscript"/>
        </w:rPr>
        <w:footnoteReference w:id="2"/>
      </w:r>
      <w:r>
        <w:rPr>
          <w:rFonts w:ascii="AvantGarde Bk BT" w:hAnsi="AvantGarde Bk BT" w:cs="Arial"/>
          <w:color w:val="000000" w:themeColor="text1"/>
          <w:sz w:val="24"/>
          <w:szCs w:val="24"/>
        </w:rPr>
        <w:t xml:space="preserve"> y 62</w:t>
      </w:r>
      <w:r>
        <w:rPr>
          <w:rFonts w:ascii="AvantGarde Bk BT" w:hAnsi="AvantGarde Bk BT"/>
          <w:color w:val="000000" w:themeColor="text1"/>
          <w:sz w:val="24"/>
          <w:vertAlign w:val="superscript"/>
        </w:rPr>
        <w:footnoteReference w:id="3"/>
      </w:r>
      <w:r>
        <w:rPr>
          <w:rFonts w:ascii="AvantGarde Bk BT" w:hAnsi="AvantGarde Bk BT" w:cs="Arial"/>
          <w:color w:val="000000" w:themeColor="text1"/>
          <w:sz w:val="24"/>
          <w:szCs w:val="24"/>
        </w:rPr>
        <w:t xml:space="preserve"> de la Ley de Transparencia y Acceso a la Información Pública del Estado, el Poder Judicial del Estado, debe atender de manera individual cada folio de solicitud de acceso y en consecuencia privilegiar la entrega sin costo de la información solicitada, en atención a las consideraciones vertidas en el considerando cuarto de la presente resolución, tal como lo refiere el numeral 165</w:t>
      </w:r>
      <w:r>
        <w:rPr>
          <w:rFonts w:ascii="AvantGarde Bk BT" w:hAnsi="AvantGarde Bk BT"/>
          <w:color w:val="000000" w:themeColor="text1"/>
          <w:vertAlign w:val="superscript"/>
        </w:rPr>
        <w:footnoteReference w:id="4"/>
      </w:r>
      <w:r>
        <w:rPr>
          <w:rFonts w:ascii="AvantGarde Bk BT" w:hAnsi="AvantGarde Bk BT" w:cs="Arial"/>
          <w:color w:val="000000" w:themeColor="text1"/>
          <w:sz w:val="24"/>
          <w:szCs w:val="24"/>
          <w:vertAlign w:val="superscript"/>
        </w:rPr>
        <w:t xml:space="preserve"> </w:t>
      </w:r>
      <w:r>
        <w:rPr>
          <w:rFonts w:ascii="AvantGarde Bk BT" w:hAnsi="AvantGarde Bk BT" w:cs="Arial"/>
          <w:color w:val="000000" w:themeColor="text1"/>
          <w:sz w:val="24"/>
          <w:szCs w:val="24"/>
        </w:rPr>
        <w:t>de la citada normatividad, ello así con la finalidad de instituir procedimientos y condiciones homogéneas en el ejercicio del derecho de acceso a la información, mediante procedimientos sencillos y expeditos para los particulares.</w:t>
      </w:r>
    </w:p>
    <w:p w14:paraId="6836DC69"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p>
    <w:p w14:paraId="1BB28DC0" w14:textId="77777777" w:rsidR="008023E0" w:rsidRDefault="008023E0" w:rsidP="008023E0">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Debido a lo anterior, esta Comisión Estatal de Garantía de Acceso a la Información Pública de San Luis Potosí,  apercibe al sujeto obligado para efecto de que en lo sucesivo se abstenga de decretar acumulaciones de solicitudes de información de manera innecesaria, ya que en caso contrario con fundamento en lo dispuesto por el artículo 190, fracción II de la Ley de la materia, se le impondrá una medida de apremio consistente en una multa.</w:t>
      </w:r>
    </w:p>
    <w:p w14:paraId="59118F82" w14:textId="77777777" w:rsidR="00CB26AA" w:rsidRDefault="00CB26AA" w:rsidP="008A57E6">
      <w:pPr>
        <w:pStyle w:val="corte4fondo"/>
        <w:tabs>
          <w:tab w:val="left" w:pos="567"/>
        </w:tabs>
        <w:ind w:firstLine="851"/>
        <w:rPr>
          <w:rFonts w:ascii="AvantGarde Bk BT" w:hAnsi="AvantGarde Bk BT" w:cs="Arial"/>
          <w:color w:val="000000" w:themeColor="text1"/>
          <w:sz w:val="24"/>
          <w:szCs w:val="24"/>
        </w:rPr>
      </w:pPr>
    </w:p>
    <w:p w14:paraId="1A1EF5DF" w14:textId="77777777" w:rsidR="008023E0" w:rsidRDefault="008023E0" w:rsidP="008023E0">
      <w:pPr>
        <w:pStyle w:val="corte4fondo"/>
        <w:tabs>
          <w:tab w:val="left" w:pos="567"/>
        </w:tabs>
        <w:ind w:firstLine="851"/>
        <w:rPr>
          <w:rFonts w:cs="Arial"/>
          <w:sz w:val="24"/>
          <w:szCs w:val="24"/>
        </w:rPr>
      </w:pPr>
      <w:r>
        <w:rPr>
          <w:rFonts w:ascii="AvantGarde Bk BT" w:hAnsi="AvantGarde Bk BT" w:cs="Arial"/>
          <w:color w:val="000000" w:themeColor="text1"/>
          <w:sz w:val="24"/>
          <w:szCs w:val="24"/>
        </w:rPr>
        <w:lastRenderedPageBreak/>
        <w:t>Pues bien, estas consideraciones encuentran una motivación más profunda, ya que derivado de la acumulación efectuada por la autoridad, no se atiende al principio de gratuidad, ya que por el cúmulo de información que contiene la respuesta, se genera un coste mayor para el particular a diferencia del trámite individual que debió otorgársele en el momento procesal oportuno, ya que debido a la acumulación no se observa de manera correcta lo establecido en el artículo 165</w:t>
      </w:r>
      <w:r>
        <w:rPr>
          <w:rFonts w:ascii="AvantGarde Bk BT" w:hAnsi="AvantGarde Bk BT"/>
          <w:color w:val="000000" w:themeColor="text1"/>
          <w:sz w:val="24"/>
          <w:vertAlign w:val="superscript"/>
        </w:rPr>
        <w:footnoteReference w:id="5"/>
      </w:r>
      <w:r>
        <w:rPr>
          <w:rFonts w:ascii="AvantGarde Bk BT" w:hAnsi="AvantGarde Bk BT" w:cs="Arial"/>
          <w:color w:val="000000" w:themeColor="text1"/>
          <w:sz w:val="18"/>
          <w:szCs w:val="24"/>
        </w:rPr>
        <w:t xml:space="preserve"> </w:t>
      </w:r>
      <w:r>
        <w:rPr>
          <w:rFonts w:ascii="AvantGarde Bk BT" w:hAnsi="AvantGarde Bk BT" w:cs="Arial"/>
          <w:color w:val="000000" w:themeColor="text1"/>
          <w:sz w:val="24"/>
          <w:szCs w:val="24"/>
        </w:rPr>
        <w:t xml:space="preserve">de la Ley de la materia es decir, que la información se entregue sin costo, cuando implique la entrega de no más de veinte hojas simples. </w:t>
      </w:r>
    </w:p>
    <w:p w14:paraId="54E1B193" w14:textId="77777777" w:rsidR="008023E0" w:rsidRDefault="008023E0" w:rsidP="008A57E6">
      <w:pPr>
        <w:pStyle w:val="corte4fondo"/>
        <w:tabs>
          <w:tab w:val="left" w:pos="567"/>
        </w:tabs>
        <w:ind w:firstLine="851"/>
        <w:rPr>
          <w:rFonts w:ascii="AvantGarde Bk BT" w:hAnsi="AvantGarde Bk BT" w:cs="Arial"/>
          <w:color w:val="000000" w:themeColor="text1"/>
          <w:sz w:val="24"/>
          <w:szCs w:val="24"/>
        </w:rPr>
      </w:pPr>
    </w:p>
    <w:p w14:paraId="759C2E55" w14:textId="05804968" w:rsidR="00D301F9" w:rsidRDefault="00CB26AA" w:rsidP="008A57E6">
      <w:pPr>
        <w:pStyle w:val="corte4fondo"/>
        <w:tabs>
          <w:tab w:val="left" w:pos="567"/>
        </w:tabs>
        <w:ind w:firstLine="851"/>
        <w:rPr>
          <w:rFonts w:ascii="AvantGarde Bk BT" w:hAnsi="AvantGarde Bk BT" w:cs="Arial"/>
          <w:color w:val="000000" w:themeColor="text1"/>
          <w:sz w:val="24"/>
          <w:szCs w:val="24"/>
        </w:rPr>
      </w:pPr>
      <w:r w:rsidRPr="00F92091">
        <w:rPr>
          <w:rFonts w:ascii="AvantGarde Bk BT" w:hAnsi="AvantGarde Bk BT" w:cs="Arial"/>
          <w:color w:val="000000" w:themeColor="text1"/>
          <w:sz w:val="24"/>
          <w:szCs w:val="24"/>
        </w:rPr>
        <w:t xml:space="preserve">Por otro lado, </w:t>
      </w:r>
      <w:r w:rsidR="000B6F0C">
        <w:rPr>
          <w:rFonts w:ascii="AvantGarde Bk BT" w:hAnsi="AvantGarde Bk BT" w:cs="Arial"/>
          <w:color w:val="000000" w:themeColor="text1"/>
          <w:sz w:val="24"/>
          <w:szCs w:val="24"/>
        </w:rPr>
        <w:t>es evidente que tanto de la respuesta otorgada, así como del oficio anexo a ésta, se advierte que el sujeto obligado respondió de forma incorrecto lo tocante al listado de los gastos de la partida de alimentación, así como el costo de dicha partida</w:t>
      </w:r>
      <w:r w:rsidR="000424FA" w:rsidRPr="00F92091">
        <w:rPr>
          <w:rFonts w:ascii="AvantGarde Bk BT" w:hAnsi="AvantGarde Bk BT" w:cs="Arial"/>
          <w:color w:val="000000" w:themeColor="text1"/>
          <w:sz w:val="24"/>
          <w:szCs w:val="24"/>
        </w:rPr>
        <w:t>.</w:t>
      </w:r>
    </w:p>
    <w:p w14:paraId="258CDB4C" w14:textId="77777777" w:rsidR="0029130C" w:rsidRDefault="0029130C" w:rsidP="008A57E6">
      <w:pPr>
        <w:pStyle w:val="corte4fondo"/>
        <w:tabs>
          <w:tab w:val="left" w:pos="567"/>
        </w:tabs>
        <w:ind w:firstLine="851"/>
        <w:rPr>
          <w:rFonts w:ascii="AvantGarde Bk BT" w:hAnsi="AvantGarde Bk BT" w:cs="Arial"/>
          <w:color w:val="000000" w:themeColor="text1"/>
          <w:sz w:val="24"/>
          <w:szCs w:val="24"/>
        </w:rPr>
      </w:pPr>
    </w:p>
    <w:p w14:paraId="2C5E60B4" w14:textId="27C5B526" w:rsidR="000B6F0C" w:rsidRDefault="000B6F0C" w:rsidP="008A57E6">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no es posible aplicar el principio de afirmativa ficta, pues si bien es cierto</w:t>
      </w:r>
      <w:r w:rsidR="00AB59CF">
        <w:rPr>
          <w:rFonts w:ascii="AvantGarde Bk BT" w:hAnsi="AvantGarde Bk BT" w:cs="Arial"/>
          <w:color w:val="000000" w:themeColor="text1"/>
          <w:sz w:val="24"/>
          <w:szCs w:val="24"/>
        </w:rPr>
        <w:t>, el sujeto obligado</w:t>
      </w:r>
      <w:r w:rsidR="008531CB">
        <w:rPr>
          <w:rFonts w:ascii="AvantGarde Bk BT" w:hAnsi="AvantGarde Bk BT" w:cs="Arial"/>
          <w:color w:val="000000" w:themeColor="text1"/>
          <w:sz w:val="24"/>
          <w:szCs w:val="24"/>
        </w:rPr>
        <w:t xml:space="preserve"> no hace pronunciamiento alguno respecto del listado de gastos que compone la partida de alimentación, así como el monto total al que asciende dicha partida</w:t>
      </w:r>
      <w:r w:rsidR="00AB59CF">
        <w:rPr>
          <w:rFonts w:ascii="AvantGarde Bk BT" w:hAnsi="AvantGarde Bk BT" w:cs="Arial"/>
          <w:color w:val="000000" w:themeColor="text1"/>
          <w:sz w:val="24"/>
          <w:szCs w:val="24"/>
        </w:rPr>
        <w:t>, también lo es que si emitió una respuesta.</w:t>
      </w:r>
    </w:p>
    <w:p w14:paraId="66C331AB" w14:textId="77777777" w:rsidR="0029130C" w:rsidRDefault="0029130C" w:rsidP="008A57E6">
      <w:pPr>
        <w:pStyle w:val="corte4fondo"/>
        <w:tabs>
          <w:tab w:val="left" w:pos="567"/>
        </w:tabs>
        <w:ind w:firstLine="851"/>
        <w:rPr>
          <w:rFonts w:ascii="AvantGarde Bk BT" w:hAnsi="AvantGarde Bk BT" w:cs="Arial"/>
          <w:color w:val="000000" w:themeColor="text1"/>
          <w:sz w:val="24"/>
          <w:szCs w:val="24"/>
        </w:rPr>
      </w:pPr>
    </w:p>
    <w:p w14:paraId="77108296" w14:textId="6B8FA72F" w:rsidR="00A725AA" w:rsidRDefault="00FE46C4" w:rsidP="008A57E6">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que respecta al agravio </w:t>
      </w:r>
      <w:r w:rsidR="003F1BF6">
        <w:rPr>
          <w:rFonts w:ascii="AvantGarde Bk BT" w:hAnsi="AvantGarde Bk BT" w:cs="Arial"/>
          <w:color w:val="000000" w:themeColor="text1"/>
          <w:sz w:val="24"/>
          <w:szCs w:val="24"/>
        </w:rPr>
        <w:t>concerniente</w:t>
      </w:r>
      <w:r>
        <w:rPr>
          <w:rFonts w:ascii="AvantGarde Bk BT" w:hAnsi="AvantGarde Bk BT" w:cs="Arial"/>
          <w:color w:val="000000" w:themeColor="text1"/>
          <w:sz w:val="24"/>
          <w:szCs w:val="24"/>
        </w:rPr>
        <w:t xml:space="preserve"> a la modalidad de entrega</w:t>
      </w:r>
      <w:r w:rsidR="00A725AA">
        <w:rPr>
          <w:rFonts w:ascii="AvantGarde Bk BT" w:hAnsi="AvantGarde Bk BT" w:cs="Arial"/>
          <w:color w:val="000000" w:themeColor="text1"/>
          <w:sz w:val="24"/>
          <w:szCs w:val="24"/>
        </w:rPr>
        <w:t xml:space="preserve">, </w:t>
      </w:r>
      <w:r w:rsidR="00A93CDD">
        <w:rPr>
          <w:rFonts w:ascii="AvantGarde Bk BT" w:hAnsi="AvantGarde Bk BT" w:cs="Arial"/>
          <w:color w:val="000000" w:themeColor="text1"/>
          <w:sz w:val="24"/>
          <w:szCs w:val="24"/>
        </w:rPr>
        <w:t xml:space="preserve">el solicitante de la </w:t>
      </w:r>
      <w:r>
        <w:rPr>
          <w:rFonts w:ascii="AvantGarde Bk BT" w:hAnsi="AvantGarde Bk BT" w:cs="Arial"/>
          <w:color w:val="000000" w:themeColor="text1"/>
          <w:sz w:val="24"/>
          <w:szCs w:val="24"/>
        </w:rPr>
        <w:t>información</w:t>
      </w:r>
      <w:r w:rsidR="00A93CDD">
        <w:rPr>
          <w:rFonts w:ascii="AvantGarde Bk BT" w:hAnsi="AvantGarde Bk BT" w:cs="Arial"/>
          <w:color w:val="000000" w:themeColor="text1"/>
          <w:sz w:val="24"/>
          <w:szCs w:val="24"/>
        </w:rPr>
        <w:t xml:space="preserve"> manifestó que ésta le fuera entregada en versión electrónica, mientras que el sujeto obligado contestó en el sentido </w:t>
      </w:r>
      <w:r>
        <w:rPr>
          <w:rFonts w:ascii="AvantGarde Bk BT" w:hAnsi="AvantGarde Bk BT" w:cs="Arial"/>
          <w:color w:val="000000" w:themeColor="text1"/>
          <w:sz w:val="24"/>
          <w:szCs w:val="24"/>
        </w:rPr>
        <w:t>de señalar que únicamente contaba con la información en forma física.</w:t>
      </w:r>
    </w:p>
    <w:p w14:paraId="09D7A2CA" w14:textId="77777777" w:rsidR="0029130C" w:rsidRDefault="0029130C" w:rsidP="008A57E6">
      <w:pPr>
        <w:pStyle w:val="corte4fondo"/>
        <w:tabs>
          <w:tab w:val="left" w:pos="567"/>
        </w:tabs>
        <w:ind w:firstLine="851"/>
        <w:rPr>
          <w:rFonts w:ascii="AvantGarde Bk BT" w:hAnsi="AvantGarde Bk BT" w:cs="Arial"/>
          <w:color w:val="000000" w:themeColor="text1"/>
          <w:sz w:val="24"/>
          <w:szCs w:val="24"/>
        </w:rPr>
      </w:pPr>
    </w:p>
    <w:p w14:paraId="1BB65CC2" w14:textId="5D578E72" w:rsidR="0029130C" w:rsidRDefault="00FE46C4" w:rsidP="008A57E6">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 este respecto, resulta oportuno señalar que de conformidad con la ley de la materia</w:t>
      </w:r>
      <w:r w:rsidR="009C51D8">
        <w:rPr>
          <w:rStyle w:val="Refdenotaalpie"/>
          <w:rFonts w:ascii="AvantGarde Bk BT" w:hAnsi="AvantGarde Bk BT" w:cs="Arial"/>
          <w:color w:val="000000" w:themeColor="text1"/>
          <w:sz w:val="24"/>
          <w:szCs w:val="24"/>
        </w:rPr>
        <w:footnoteReference w:id="6"/>
      </w:r>
      <w:r>
        <w:rPr>
          <w:rFonts w:ascii="AvantGarde Bk BT" w:hAnsi="AvantGarde Bk BT" w:cs="Arial"/>
          <w:color w:val="000000" w:themeColor="text1"/>
          <w:sz w:val="24"/>
          <w:szCs w:val="24"/>
        </w:rPr>
        <w:t xml:space="preserve">, la información debe ser entregada en la modalidad solicitad a por el </w:t>
      </w:r>
      <w:r>
        <w:rPr>
          <w:rFonts w:ascii="AvantGarde Bk BT" w:hAnsi="AvantGarde Bk BT" w:cs="Arial"/>
          <w:color w:val="000000" w:themeColor="text1"/>
          <w:sz w:val="24"/>
          <w:szCs w:val="24"/>
        </w:rPr>
        <w:lastRenderedPageBreak/>
        <w:t xml:space="preserve">particular y solo de manera excepcional el sujeto obligado podrá proponer al solicitante una modalidad distinta, siempre y cuando </w:t>
      </w:r>
      <w:r w:rsidR="00233309">
        <w:rPr>
          <w:rFonts w:ascii="AvantGarde Bk BT" w:hAnsi="AvantGarde Bk BT" w:cs="Arial"/>
          <w:color w:val="000000" w:themeColor="text1"/>
          <w:sz w:val="24"/>
          <w:szCs w:val="24"/>
        </w:rPr>
        <w:t>funde y motive la imposibilidad de entregar la información en la modalidad requerida</w:t>
      </w:r>
      <w:r w:rsidR="0029130C">
        <w:rPr>
          <w:rFonts w:ascii="AvantGarde Bk BT" w:hAnsi="AvantGarde Bk BT" w:cs="Arial"/>
          <w:color w:val="000000" w:themeColor="text1"/>
          <w:sz w:val="24"/>
          <w:szCs w:val="24"/>
        </w:rPr>
        <w:t>.</w:t>
      </w:r>
    </w:p>
    <w:p w14:paraId="0300A4BA" w14:textId="77777777" w:rsidR="00782DCD" w:rsidRDefault="00782DCD" w:rsidP="008A57E6">
      <w:pPr>
        <w:pStyle w:val="corte4fondo"/>
        <w:tabs>
          <w:tab w:val="left" w:pos="567"/>
        </w:tabs>
        <w:ind w:firstLine="851"/>
        <w:rPr>
          <w:rFonts w:ascii="AvantGarde Bk BT" w:hAnsi="AvantGarde Bk BT" w:cs="Arial"/>
          <w:color w:val="000000" w:themeColor="text1"/>
          <w:sz w:val="24"/>
          <w:szCs w:val="24"/>
        </w:rPr>
      </w:pPr>
    </w:p>
    <w:p w14:paraId="6049F050" w14:textId="283B179F" w:rsidR="00FE46C4" w:rsidRPr="00A36115" w:rsidRDefault="00782DCD" w:rsidP="008A57E6">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contexto se aprecia que en</w:t>
      </w:r>
      <w:r w:rsidR="00233309">
        <w:rPr>
          <w:rFonts w:ascii="AvantGarde Bk BT" w:hAnsi="AvantGarde Bk BT" w:cs="Arial"/>
          <w:color w:val="000000" w:themeColor="text1"/>
          <w:sz w:val="24"/>
          <w:szCs w:val="24"/>
        </w:rPr>
        <w:t xml:space="preserve"> el caso concreto </w:t>
      </w:r>
      <w:r>
        <w:rPr>
          <w:rFonts w:ascii="AvantGarde Bk BT" w:hAnsi="AvantGarde Bk BT" w:cs="Arial"/>
          <w:color w:val="000000" w:themeColor="text1"/>
          <w:sz w:val="24"/>
          <w:szCs w:val="24"/>
        </w:rPr>
        <w:t xml:space="preserve">esto </w:t>
      </w:r>
      <w:r w:rsidR="00233309">
        <w:rPr>
          <w:rFonts w:ascii="AvantGarde Bk BT" w:hAnsi="AvantGarde Bk BT" w:cs="Arial"/>
          <w:color w:val="000000" w:themeColor="text1"/>
          <w:sz w:val="24"/>
          <w:szCs w:val="24"/>
        </w:rPr>
        <w:t>no sucede</w:t>
      </w:r>
      <w:r w:rsidR="0029130C">
        <w:rPr>
          <w:rFonts w:ascii="AvantGarde Bk BT" w:hAnsi="AvantGarde Bk BT" w:cs="Arial"/>
          <w:color w:val="000000" w:themeColor="text1"/>
          <w:sz w:val="24"/>
          <w:szCs w:val="24"/>
        </w:rPr>
        <w:t>, pues de las constancias que integran los presentes autos, no se advierte que obre constancia alguna en la que el ente obligado justifique el cambio de modalidad de entrega</w:t>
      </w:r>
      <w:r w:rsidR="00D963F7">
        <w:rPr>
          <w:rFonts w:ascii="AvantGarde Bk BT" w:hAnsi="AvantGarde Bk BT" w:cs="Arial"/>
          <w:color w:val="000000" w:themeColor="text1"/>
          <w:sz w:val="24"/>
          <w:szCs w:val="24"/>
        </w:rPr>
        <w:t>.</w:t>
      </w:r>
    </w:p>
    <w:p w14:paraId="69B57AA3" w14:textId="77777777" w:rsidR="005914AC" w:rsidRDefault="005914AC" w:rsidP="00CF5CD3">
      <w:pPr>
        <w:pStyle w:val="corte4fondo"/>
        <w:tabs>
          <w:tab w:val="left" w:pos="567"/>
        </w:tabs>
        <w:rPr>
          <w:rFonts w:ascii="AvantGarde Bk BT" w:hAnsi="AvantGarde Bk BT" w:cs="Arial"/>
          <w:color w:val="000000" w:themeColor="text1"/>
          <w:sz w:val="24"/>
          <w:szCs w:val="24"/>
        </w:rPr>
      </w:pPr>
    </w:p>
    <w:p w14:paraId="026984F1"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14:paraId="251DB598"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FCC49DB" w14:textId="4882D193" w:rsidR="00250873" w:rsidRDefault="00250873" w:rsidP="00792F2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00DE2C65">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14:paraId="5DAEC8C5" w14:textId="77777777" w:rsidR="00A330EA" w:rsidRPr="007C5605" w:rsidRDefault="00A330EA" w:rsidP="00792F20">
      <w:pPr>
        <w:pStyle w:val="corte4fondo"/>
        <w:tabs>
          <w:tab w:val="left" w:pos="567"/>
        </w:tabs>
        <w:rPr>
          <w:rFonts w:ascii="AvantGarde Bk BT" w:hAnsi="AvantGarde Bk BT" w:cs="Arial"/>
          <w:color w:val="000000" w:themeColor="text1"/>
          <w:sz w:val="24"/>
          <w:szCs w:val="24"/>
        </w:rPr>
      </w:pPr>
    </w:p>
    <w:p w14:paraId="34B91313" w14:textId="77777777" w:rsidR="003F1BF6" w:rsidRDefault="00250873" w:rsidP="003F1BF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14704E" w:rsidRPr="0014704E">
        <w:rPr>
          <w:rFonts w:ascii="AvantGarde Bk BT" w:hAnsi="AvantGarde Bk BT" w:cs="Arial"/>
          <w:color w:val="000000" w:themeColor="text1"/>
          <w:sz w:val="24"/>
          <w:szCs w:val="24"/>
        </w:rPr>
        <w:t>Entregue</w:t>
      </w:r>
      <w:r w:rsidR="00792F20">
        <w:rPr>
          <w:rFonts w:ascii="AvantGarde Bk BT" w:hAnsi="AvantGarde Bk BT" w:cs="Arial"/>
          <w:color w:val="000000" w:themeColor="text1"/>
          <w:sz w:val="24"/>
          <w:szCs w:val="24"/>
        </w:rPr>
        <w:t xml:space="preserve"> </w:t>
      </w:r>
      <w:r w:rsidR="0014704E" w:rsidRPr="0014704E">
        <w:rPr>
          <w:rFonts w:ascii="AvantGarde Bk BT" w:hAnsi="AvantGarde Bk BT" w:cs="Arial"/>
          <w:color w:val="000000" w:themeColor="text1"/>
          <w:sz w:val="24"/>
          <w:szCs w:val="24"/>
        </w:rPr>
        <w:t xml:space="preserve">la información </w:t>
      </w:r>
      <w:r w:rsidR="00792F20">
        <w:rPr>
          <w:rFonts w:ascii="AvantGarde Bk BT" w:hAnsi="AvantGarde Bk BT" w:cs="Arial"/>
          <w:color w:val="000000" w:themeColor="text1"/>
          <w:sz w:val="24"/>
          <w:szCs w:val="24"/>
        </w:rPr>
        <w:t>consistente en</w:t>
      </w:r>
      <w:r w:rsidR="003F1BF6">
        <w:rPr>
          <w:rFonts w:ascii="AvantGarde Bk BT" w:hAnsi="AvantGarde Bk BT" w:cs="Arial"/>
          <w:color w:val="000000" w:themeColor="text1"/>
          <w:sz w:val="24"/>
          <w:szCs w:val="24"/>
        </w:rPr>
        <w:t>:</w:t>
      </w:r>
      <w:r w:rsidR="00792F20">
        <w:rPr>
          <w:rFonts w:ascii="AvantGarde Bk BT" w:hAnsi="AvantGarde Bk BT" w:cs="Arial"/>
          <w:color w:val="000000" w:themeColor="text1"/>
          <w:sz w:val="24"/>
          <w:szCs w:val="24"/>
        </w:rPr>
        <w:t xml:space="preserve"> </w:t>
      </w:r>
    </w:p>
    <w:p w14:paraId="458B5884" w14:textId="77777777" w:rsidR="008023E0" w:rsidRDefault="008023E0" w:rsidP="003F1BF6">
      <w:pPr>
        <w:pStyle w:val="corte4fondo"/>
        <w:tabs>
          <w:tab w:val="left" w:pos="567"/>
        </w:tabs>
        <w:rPr>
          <w:rFonts w:ascii="AvantGarde Bk BT" w:hAnsi="AvantGarde Bk BT" w:cs="Arial"/>
          <w:color w:val="000000" w:themeColor="text1"/>
          <w:sz w:val="24"/>
          <w:szCs w:val="24"/>
        </w:rPr>
      </w:pPr>
    </w:p>
    <w:p w14:paraId="27314639" w14:textId="3C2D6644" w:rsidR="003F1BF6" w:rsidRPr="003D419D" w:rsidRDefault="003F1BF6" w:rsidP="003F1BF6">
      <w:pPr>
        <w:pStyle w:val="corte4fondo"/>
        <w:tabs>
          <w:tab w:val="left" w:pos="567"/>
        </w:tabs>
        <w:rPr>
          <w:rFonts w:ascii="AvantGarde Bk BT" w:hAnsi="AvantGarde Bk BT" w:cs="Arial"/>
          <w:i/>
          <w:color w:val="000000" w:themeColor="text1"/>
          <w:sz w:val="24"/>
          <w:szCs w:val="24"/>
        </w:rPr>
      </w:pPr>
      <w:r>
        <w:rPr>
          <w:rFonts w:ascii="AvantGarde Bk BT" w:hAnsi="AvantGarde Bk BT" w:cs="Arial"/>
          <w:color w:val="000000" w:themeColor="text1"/>
          <w:sz w:val="24"/>
          <w:szCs w:val="24"/>
        </w:rPr>
        <w:t>“</w:t>
      </w:r>
      <w:r w:rsidRPr="003D419D">
        <w:rPr>
          <w:rFonts w:ascii="AvantGarde Bk BT" w:hAnsi="AvantGarde Bk BT" w:cs="Arial"/>
          <w:i/>
          <w:color w:val="000000" w:themeColor="text1"/>
          <w:sz w:val="24"/>
          <w:szCs w:val="24"/>
        </w:rPr>
        <w:t>1. listado completo de gastos en la partida alimentación.</w:t>
      </w:r>
    </w:p>
    <w:p w14:paraId="285FB6E6" w14:textId="77777777" w:rsidR="003F1BF6" w:rsidRPr="003D419D" w:rsidRDefault="003F1BF6" w:rsidP="003F1BF6">
      <w:pPr>
        <w:pStyle w:val="corte4fondo"/>
        <w:tabs>
          <w:tab w:val="left" w:pos="567"/>
        </w:tabs>
        <w:rPr>
          <w:rFonts w:ascii="AvantGarde Bk BT" w:hAnsi="AvantGarde Bk BT" w:cs="Arial"/>
          <w:i/>
          <w:color w:val="000000" w:themeColor="text1"/>
          <w:sz w:val="24"/>
          <w:szCs w:val="24"/>
        </w:rPr>
      </w:pPr>
      <w:r w:rsidRPr="003D419D">
        <w:rPr>
          <w:rFonts w:ascii="AvantGarde Bk BT" w:hAnsi="AvantGarde Bk BT" w:cs="Arial"/>
          <w:i/>
          <w:color w:val="000000" w:themeColor="text1"/>
          <w:sz w:val="24"/>
          <w:szCs w:val="24"/>
        </w:rPr>
        <w:t>2. costo completo de gastos en la partida alimentación.</w:t>
      </w:r>
    </w:p>
    <w:p w14:paraId="13D809A5" w14:textId="77777777" w:rsidR="003F1BF6" w:rsidRDefault="003F1BF6" w:rsidP="003F1BF6">
      <w:pPr>
        <w:pStyle w:val="corte4fondo"/>
        <w:tabs>
          <w:tab w:val="left" w:pos="567"/>
        </w:tabs>
        <w:rPr>
          <w:rFonts w:ascii="AvantGarde Bk BT" w:hAnsi="AvantGarde Bk BT" w:cs="Arial"/>
          <w:i/>
          <w:color w:val="000000" w:themeColor="text1"/>
          <w:sz w:val="24"/>
          <w:szCs w:val="24"/>
        </w:rPr>
      </w:pPr>
      <w:r w:rsidRPr="003D419D">
        <w:rPr>
          <w:rFonts w:ascii="AvantGarde Bk BT" w:hAnsi="AvantGarde Bk BT" w:cs="Arial"/>
          <w:i/>
          <w:color w:val="000000" w:themeColor="text1"/>
          <w:sz w:val="24"/>
          <w:szCs w:val="24"/>
        </w:rPr>
        <w:t>3. comprobantes de pago y facturas digitales que comprueben los gastos relativos a la partida alimentación.</w:t>
      </w:r>
      <w:r>
        <w:rPr>
          <w:rFonts w:ascii="AvantGarde Bk BT" w:hAnsi="AvantGarde Bk BT" w:cs="Arial"/>
          <w:i/>
          <w:color w:val="000000" w:themeColor="text1"/>
          <w:sz w:val="24"/>
          <w:szCs w:val="24"/>
        </w:rPr>
        <w:t xml:space="preserve"> </w:t>
      </w:r>
    </w:p>
    <w:p w14:paraId="4DEF17D6" w14:textId="61F6B38A" w:rsidR="003F1BF6" w:rsidRPr="003D419D" w:rsidRDefault="003F1BF6" w:rsidP="003F1BF6">
      <w:pPr>
        <w:pStyle w:val="corte4fondo"/>
        <w:tabs>
          <w:tab w:val="left" w:pos="567"/>
        </w:tabs>
        <w:rPr>
          <w:rFonts w:ascii="AvantGarde Bk BT" w:hAnsi="AvantGarde Bk BT" w:cs="Arial"/>
          <w:i/>
          <w:color w:val="000000" w:themeColor="text1"/>
          <w:sz w:val="24"/>
          <w:szCs w:val="24"/>
        </w:rPr>
      </w:pPr>
      <w:r w:rsidRPr="003D419D">
        <w:rPr>
          <w:rFonts w:ascii="AvantGarde Bk BT" w:hAnsi="AvantGarde Bk BT" w:cs="Arial"/>
          <w:i/>
          <w:color w:val="000000" w:themeColor="text1"/>
          <w:sz w:val="24"/>
          <w:szCs w:val="24"/>
        </w:rPr>
        <w:t>Para 2017.</w:t>
      </w:r>
    </w:p>
    <w:p w14:paraId="5B3A4BE5" w14:textId="677DA1A8" w:rsidR="00250873" w:rsidRPr="003F1BF6" w:rsidRDefault="003F1BF6" w:rsidP="003F1BF6">
      <w:pPr>
        <w:pStyle w:val="corte4fondo"/>
        <w:tabs>
          <w:tab w:val="left" w:pos="567"/>
        </w:tabs>
        <w:ind w:left="680" w:firstLine="0"/>
        <w:rPr>
          <w:rFonts w:ascii="AvantGarde Bk BT" w:hAnsi="AvantGarde Bk BT" w:cs="Arial"/>
          <w:color w:val="000000" w:themeColor="text1"/>
          <w:sz w:val="24"/>
          <w:szCs w:val="24"/>
        </w:rPr>
      </w:pPr>
      <w:r w:rsidRPr="003D419D">
        <w:rPr>
          <w:rFonts w:ascii="AvantGarde Bk BT" w:hAnsi="AvantGarde Bk BT" w:cs="Arial"/>
          <w:i/>
          <w:color w:val="000000" w:themeColor="text1"/>
          <w:sz w:val="24"/>
          <w:szCs w:val="24"/>
        </w:rPr>
        <w:lastRenderedPageBreak/>
        <w:t xml:space="preserve">Todo en versión digital. </w:t>
      </w:r>
      <w:r>
        <w:rPr>
          <w:rFonts w:ascii="AvantGarde Bk BT" w:hAnsi="AvantGarde Bk BT" w:cs="Arial"/>
          <w:i/>
          <w:color w:val="000000" w:themeColor="text1"/>
          <w:sz w:val="24"/>
          <w:szCs w:val="24"/>
        </w:rPr>
        <w:t>m</w:t>
      </w:r>
      <w:r w:rsidRPr="003D419D">
        <w:rPr>
          <w:rFonts w:ascii="AvantGarde Bk BT" w:hAnsi="AvantGarde Bk BT" w:cs="Arial"/>
          <w:i/>
          <w:color w:val="000000" w:themeColor="text1"/>
          <w:sz w:val="24"/>
          <w:szCs w:val="24"/>
        </w:rPr>
        <w:t xml:space="preserve">e interesan todas las facturas recibidas por correo electrónico. o que </w:t>
      </w:r>
      <w:proofErr w:type="spellStart"/>
      <w:r w:rsidRPr="003D419D">
        <w:rPr>
          <w:rFonts w:ascii="AvantGarde Bk BT" w:hAnsi="AvantGarde Bk BT" w:cs="Arial"/>
          <w:i/>
          <w:color w:val="000000" w:themeColor="text1"/>
          <w:sz w:val="24"/>
          <w:szCs w:val="24"/>
        </w:rPr>
        <w:t>peudan</w:t>
      </w:r>
      <w:proofErr w:type="spellEnd"/>
      <w:r w:rsidRPr="003D419D">
        <w:rPr>
          <w:rFonts w:ascii="AvantGarde Bk BT" w:hAnsi="AvantGarde Bk BT" w:cs="Arial"/>
          <w:i/>
          <w:color w:val="000000" w:themeColor="text1"/>
          <w:sz w:val="24"/>
          <w:szCs w:val="24"/>
        </w:rPr>
        <w:t xml:space="preserve"> ser </w:t>
      </w:r>
      <w:proofErr w:type="spellStart"/>
      <w:r w:rsidRPr="003D419D">
        <w:rPr>
          <w:rFonts w:ascii="AvantGarde Bk BT" w:hAnsi="AvantGarde Bk BT" w:cs="Arial"/>
          <w:i/>
          <w:color w:val="000000" w:themeColor="text1"/>
          <w:sz w:val="24"/>
          <w:szCs w:val="24"/>
        </w:rPr>
        <w:t>accesadas</w:t>
      </w:r>
      <w:proofErr w:type="spellEnd"/>
      <w:r w:rsidRPr="003D419D">
        <w:rPr>
          <w:rFonts w:ascii="AvantGarde Bk BT" w:hAnsi="AvantGarde Bk BT" w:cs="Arial"/>
          <w:i/>
          <w:color w:val="000000" w:themeColor="text1"/>
          <w:sz w:val="24"/>
          <w:szCs w:val="24"/>
        </w:rPr>
        <w:t xml:space="preserve"> por sistemas informáticos</w:t>
      </w:r>
      <w:r w:rsidR="00DE2C65" w:rsidRPr="00DE2C65">
        <w:rPr>
          <w:rFonts w:ascii="AvantGarde Bk BT" w:hAnsi="AvantGarde Bk BT" w:cs="Arial"/>
          <w:color w:val="000000" w:themeColor="text1"/>
          <w:sz w:val="24"/>
          <w:szCs w:val="24"/>
        </w:rPr>
        <w:t>.</w:t>
      </w:r>
      <w:r>
        <w:rPr>
          <w:rFonts w:ascii="AvantGarde Bk BT" w:hAnsi="AvantGarde Bk BT" w:cs="Arial"/>
          <w:color w:val="000000" w:themeColor="text1"/>
          <w:sz w:val="24"/>
          <w:szCs w:val="24"/>
        </w:rPr>
        <w:t>”</w:t>
      </w:r>
      <w:r w:rsidR="00DE2C65" w:rsidRPr="00DE2C65">
        <w:rPr>
          <w:rFonts w:ascii="AvantGarde Bk BT" w:hAnsi="AvantGarde Bk BT" w:cs="Arial"/>
          <w:color w:val="000000" w:themeColor="text1"/>
          <w:sz w:val="24"/>
          <w:szCs w:val="24"/>
        </w:rPr>
        <w:t xml:space="preserve"> </w:t>
      </w:r>
    </w:p>
    <w:p w14:paraId="667E7B69" w14:textId="77777777" w:rsidR="0014704E" w:rsidRPr="007C5605" w:rsidRDefault="0014704E" w:rsidP="0014704E">
      <w:pPr>
        <w:pStyle w:val="corte4fondo"/>
        <w:tabs>
          <w:tab w:val="left" w:pos="567"/>
        </w:tabs>
        <w:ind w:left="720" w:firstLine="0"/>
        <w:rPr>
          <w:rFonts w:ascii="AvantGarde Bk BT" w:hAnsi="AvantGarde Bk BT" w:cs="Arial"/>
          <w:color w:val="000000" w:themeColor="text1"/>
          <w:sz w:val="24"/>
          <w:szCs w:val="24"/>
        </w:rPr>
      </w:pPr>
    </w:p>
    <w:p w14:paraId="1D516894"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14:paraId="5725ABCA"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14:paraId="5B3C3CCC" w14:textId="77777777"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14:paraId="30F544D6" w14:textId="77777777" w:rsidR="00B33470" w:rsidRDefault="00B33470" w:rsidP="00250873">
      <w:pPr>
        <w:pStyle w:val="corte4fondo"/>
        <w:tabs>
          <w:tab w:val="left" w:pos="567"/>
        </w:tabs>
        <w:rPr>
          <w:rFonts w:ascii="AvantGarde Bk BT" w:hAnsi="AvantGarde Bk BT" w:cs="Arial"/>
          <w:color w:val="000000" w:themeColor="text1"/>
          <w:sz w:val="24"/>
          <w:szCs w:val="24"/>
        </w:rPr>
      </w:pPr>
    </w:p>
    <w:p w14:paraId="4C5EA0B4" w14:textId="77777777" w:rsidR="00B33470" w:rsidRPr="00CA4F09" w:rsidRDefault="00B33470" w:rsidP="00250873">
      <w:pPr>
        <w:pStyle w:val="corte4fondo"/>
        <w:tabs>
          <w:tab w:val="left" w:pos="567"/>
        </w:tabs>
        <w:rPr>
          <w:rFonts w:ascii="AvantGarde Bk BT" w:hAnsi="AvantGarde Bk BT" w:cs="Arial"/>
          <w:b/>
          <w:color w:val="000000" w:themeColor="text1"/>
          <w:sz w:val="24"/>
          <w:szCs w:val="24"/>
        </w:rPr>
      </w:pPr>
      <w:r w:rsidRPr="00CA4F09">
        <w:rPr>
          <w:rFonts w:ascii="AvantGarde Bk BT" w:hAnsi="AvantGarde Bk BT" w:cs="Arial"/>
          <w:b/>
          <w:color w:val="000000" w:themeColor="text1"/>
          <w:sz w:val="24"/>
          <w:szCs w:val="24"/>
        </w:rPr>
        <w:t>6.3. Precisiones de esta resolución.</w:t>
      </w:r>
    </w:p>
    <w:p w14:paraId="654806DC" w14:textId="77777777" w:rsidR="00B33470" w:rsidRDefault="00B33470" w:rsidP="00250873">
      <w:pPr>
        <w:pStyle w:val="corte4fondo"/>
        <w:tabs>
          <w:tab w:val="left" w:pos="567"/>
        </w:tabs>
        <w:rPr>
          <w:rFonts w:ascii="AvantGarde Bk BT" w:hAnsi="AvantGarde Bk BT" w:cs="Arial"/>
          <w:color w:val="000000" w:themeColor="text1"/>
          <w:sz w:val="24"/>
          <w:szCs w:val="24"/>
        </w:rPr>
      </w:pPr>
    </w:p>
    <w:p w14:paraId="610F0FE2" w14:textId="77777777" w:rsidR="00A330EA" w:rsidRDefault="00A330EA" w:rsidP="00A330E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sujeto obligado deberá observar en todo momento si la información solicitada por el recurrente contiene información confidencial y, en caso de ser así deberá elaborar la versión pública de dichos documentos y acompañar a su respuesta el acuerdo del Comité de Transparencia mediante el cual se aprobó la clasificación de los documentos peticionados, de conformidad con el artículo 117 de la Ley.</w:t>
      </w:r>
    </w:p>
    <w:p w14:paraId="75FA748C" w14:textId="77777777"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14:paraId="245628E1"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CA4F09">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14:paraId="186B09B2"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14:paraId="5D5FAFDA"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5663ED">
        <w:rPr>
          <w:rFonts w:ascii="AvantGarde Bk BT" w:hAnsi="AvantGarde Bk BT" w:cs="Arial"/>
          <w:color w:val="000000" w:themeColor="text1"/>
          <w:sz w:val="24"/>
          <w:szCs w:val="24"/>
          <w:u w:val="single"/>
        </w:rPr>
        <w:t>10</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3AEA3542" w14:textId="15591BA4" w:rsidR="00250873" w:rsidRDefault="00250873" w:rsidP="00250873">
      <w:pPr>
        <w:pStyle w:val="corte4fondo"/>
        <w:tabs>
          <w:tab w:val="left" w:pos="567"/>
        </w:tabs>
        <w:rPr>
          <w:rFonts w:ascii="AvantGarde Bk BT" w:hAnsi="AvantGarde Bk BT" w:cs="Arial"/>
          <w:color w:val="000000" w:themeColor="text1"/>
          <w:sz w:val="24"/>
          <w:szCs w:val="24"/>
        </w:rPr>
      </w:pPr>
    </w:p>
    <w:p w14:paraId="16860F8A" w14:textId="77777777" w:rsidR="00A330EA" w:rsidRDefault="00A330EA" w:rsidP="00250873">
      <w:pPr>
        <w:pStyle w:val="corte4fondo"/>
        <w:tabs>
          <w:tab w:val="left" w:pos="567"/>
        </w:tabs>
        <w:rPr>
          <w:rFonts w:ascii="AvantGarde Bk BT" w:hAnsi="AvantGarde Bk BT" w:cs="Arial"/>
          <w:color w:val="000000" w:themeColor="text1"/>
          <w:sz w:val="24"/>
          <w:szCs w:val="24"/>
        </w:rPr>
      </w:pPr>
    </w:p>
    <w:p w14:paraId="4609F081"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245BFD">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 Medida de apremio en caso de incumplimiento a la resolución.</w:t>
      </w:r>
    </w:p>
    <w:p w14:paraId="065C624D" w14:textId="77777777"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14:paraId="2133EADB"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14:paraId="5FC5A6F4"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p>
    <w:p w14:paraId="0DCFA3E9" w14:textId="77777777" w:rsidR="008023E0" w:rsidRDefault="008023E0" w:rsidP="00250873">
      <w:pPr>
        <w:pStyle w:val="corte4fondo"/>
        <w:tabs>
          <w:tab w:val="left" w:pos="567"/>
        </w:tabs>
        <w:jc w:val="center"/>
        <w:rPr>
          <w:rFonts w:ascii="AvantGarde Bk BT" w:hAnsi="AvantGarde Bk BT" w:cs="Arial"/>
          <w:b/>
          <w:color w:val="000000" w:themeColor="text1"/>
          <w:sz w:val="24"/>
          <w:szCs w:val="24"/>
        </w:rPr>
      </w:pPr>
    </w:p>
    <w:p w14:paraId="3CA2BED9"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A806D5D"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p>
    <w:p w14:paraId="71CFE0F5" w14:textId="77777777" w:rsidR="008023E0" w:rsidRPr="00E215D2" w:rsidRDefault="008023E0" w:rsidP="00250873">
      <w:pPr>
        <w:pStyle w:val="corte4fondo"/>
        <w:tabs>
          <w:tab w:val="left" w:pos="567"/>
        </w:tabs>
        <w:jc w:val="center"/>
        <w:rPr>
          <w:rFonts w:ascii="AvantGarde Bk BT" w:hAnsi="AvantGarde Bk BT" w:cs="Arial"/>
          <w:b/>
          <w:color w:val="000000" w:themeColor="text1"/>
          <w:sz w:val="24"/>
          <w:szCs w:val="24"/>
        </w:rPr>
      </w:pPr>
    </w:p>
    <w:p w14:paraId="3BF05D28"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0F328F3E"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21ADEA7C" w14:textId="54F7703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sidR="00CE4024">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14:paraId="280949ED"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0765C964"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14:paraId="66EBAEF5"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AA3DE98" w14:textId="0F5DCD0A"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9479DD">
        <w:rPr>
          <w:rFonts w:ascii="AvantGarde Bk BT" w:hAnsi="AvantGarde Bk BT"/>
          <w:color w:val="000000" w:themeColor="text1"/>
          <w:sz w:val="24"/>
          <w:szCs w:val="24"/>
        </w:rPr>
        <w:t>O</w:t>
      </w:r>
      <w:r>
        <w:rPr>
          <w:rFonts w:ascii="AvantGarde Bk BT" w:hAnsi="AvantGarde Bk BT"/>
          <w:color w:val="000000" w:themeColor="text1"/>
          <w:sz w:val="24"/>
          <w:szCs w:val="24"/>
        </w:rPr>
        <w:t xml:space="preserve">rdinaria de Consejo el </w:t>
      </w:r>
      <w:r w:rsidR="008023E0">
        <w:rPr>
          <w:rFonts w:ascii="AvantGarde Bk BT" w:hAnsi="AvantGarde Bk BT"/>
          <w:color w:val="000000" w:themeColor="text1"/>
          <w:sz w:val="24"/>
          <w:szCs w:val="24"/>
        </w:rPr>
        <w:t xml:space="preserve">22 veintidós de noviembre </w:t>
      </w:r>
      <w:r>
        <w:rPr>
          <w:rFonts w:ascii="AvantGarde Bk BT" w:hAnsi="AvantGarde Bk BT"/>
          <w:color w:val="000000" w:themeColor="text1"/>
          <w:sz w:val="24"/>
          <w:szCs w:val="24"/>
        </w:rPr>
        <w:t xml:space="preserve">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14:paraId="4F713858" w14:textId="77777777" w:rsidR="008023E0" w:rsidRDefault="008023E0" w:rsidP="00B86F4A">
      <w:pPr>
        <w:pStyle w:val="corte4fondo"/>
        <w:tabs>
          <w:tab w:val="left" w:pos="567"/>
        </w:tabs>
        <w:ind w:firstLine="0"/>
        <w:rPr>
          <w:rFonts w:ascii="AvantGarde Bk BT" w:hAnsi="AvantGarde Bk BT"/>
          <w:color w:val="000000" w:themeColor="text1"/>
          <w:sz w:val="24"/>
          <w:szCs w:val="24"/>
        </w:rPr>
      </w:pPr>
    </w:p>
    <w:p w14:paraId="2A9243E2" w14:textId="77777777"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14:paraId="48430E0B" w14:textId="77777777" w:rsidR="00DF5FF4" w:rsidRDefault="00DF5FF4" w:rsidP="009E4194">
      <w:pPr>
        <w:pStyle w:val="NormalWeb"/>
        <w:jc w:val="both"/>
        <w:rPr>
          <w:rFonts w:ascii="AvantGarde Bk BT" w:hAnsi="AvantGarde Bk BT" w:cs="Arial"/>
          <w:b/>
          <w:color w:val="000000" w:themeColor="text1"/>
          <w:lang w:val="es-MX"/>
        </w:rPr>
      </w:pPr>
    </w:p>
    <w:p w14:paraId="4F7E86C6" w14:textId="77777777"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14:paraId="44053E69" w14:textId="77777777" w:rsidR="00DF5FF4" w:rsidRDefault="00DF5FF4" w:rsidP="00DF5FF4">
      <w:pPr>
        <w:pStyle w:val="NormalWeb"/>
        <w:jc w:val="center"/>
        <w:rPr>
          <w:rFonts w:ascii="AvantGarde Bk BT" w:hAnsi="AvantGarde Bk BT" w:cs="Arial"/>
          <w:b/>
          <w:color w:val="000000" w:themeColor="text1"/>
          <w:lang w:val="es-MX"/>
        </w:rPr>
      </w:pPr>
    </w:p>
    <w:p w14:paraId="18380BE0" w14:textId="77777777"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14:paraId="392C6006" w14:textId="77777777" w:rsidR="009E4194" w:rsidRDefault="009E4194" w:rsidP="009E4194">
      <w:pPr>
        <w:pStyle w:val="NormalWeb"/>
        <w:rPr>
          <w:rFonts w:ascii="AvantGarde Bk BT" w:hAnsi="AvantGarde Bk BT" w:cs="Arial"/>
          <w:b/>
          <w:color w:val="000000" w:themeColor="text1"/>
          <w:lang w:val="es-MX"/>
        </w:rPr>
      </w:pPr>
    </w:p>
    <w:p w14:paraId="766CA33D" w14:textId="77777777"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14:paraId="4EF60380" w14:textId="77777777" w:rsidR="008023E0" w:rsidRDefault="008023E0" w:rsidP="00CE4024">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p>
    <w:p w14:paraId="4EF11FF0" w14:textId="77777777" w:rsidR="008023E0" w:rsidRDefault="008023E0" w:rsidP="00CE4024">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p>
    <w:p w14:paraId="4B482852" w14:textId="77777777" w:rsidR="00CE4024" w:rsidRPr="001314EC" w:rsidRDefault="00CE4024" w:rsidP="00CE4024">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bookmarkStart w:id="0" w:name="_GoBack"/>
      <w:bookmarkEnd w:id="0"/>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2A3FAB1B" w14:textId="16A3AF69" w:rsidR="00CE4024" w:rsidRPr="004C15C0" w:rsidRDefault="00CE4024" w:rsidP="00CE4024">
      <w:pPr>
        <w:autoSpaceDE w:val="0"/>
        <w:autoSpaceDN w:val="0"/>
        <w:adjustRightInd w:val="0"/>
        <w:spacing w:after="0" w:line="24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(Estas firmas corresponden a la resolución dictada por el Pleno de la Comisión Estatal de Garantía de Acceso a la Información Pública de San Luis Potosí en sesión extraordinaria de 22 veintidós de octubre de 2018 dos mil dieciocho, dentro de los autos del recurso de revisión RR-7</w:t>
      </w:r>
      <w:r w:rsidR="00A16A06">
        <w:rPr>
          <w:rFonts w:ascii="AvantGarde Bk BT" w:hAnsi="AvantGarde Bk BT" w:cs="Arial"/>
          <w:color w:val="000000" w:themeColor="text1"/>
          <w:sz w:val="14"/>
          <w:szCs w:val="14"/>
        </w:rPr>
        <w:t>69</w:t>
      </w:r>
      <w:r>
        <w:rPr>
          <w:rFonts w:ascii="AvantGarde Bk BT" w:hAnsi="AvantGarde Bk BT" w:cs="Arial"/>
          <w:color w:val="000000" w:themeColor="text1"/>
          <w:sz w:val="14"/>
          <w:szCs w:val="14"/>
        </w:rPr>
        <w:t>/2018-1 PLATAFORMA.)</w:t>
      </w:r>
    </w:p>
    <w:p w14:paraId="05D0AB2D" w14:textId="77777777" w:rsidR="005873DB" w:rsidRPr="004C15C0" w:rsidRDefault="005873DB" w:rsidP="00CE4024">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10"/>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63DE60" w14:textId="77777777" w:rsidR="00EE63FC" w:rsidRDefault="00EE63FC" w:rsidP="003864ED">
      <w:pPr>
        <w:spacing w:after="0" w:line="240" w:lineRule="auto"/>
      </w:pPr>
      <w:r>
        <w:separator/>
      </w:r>
    </w:p>
  </w:endnote>
  <w:endnote w:type="continuationSeparator" w:id="0">
    <w:p w14:paraId="5256D527" w14:textId="77777777" w:rsidR="00EE63FC" w:rsidRDefault="00EE63FC"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C3277E" w14:textId="77777777" w:rsidR="00EE63FC" w:rsidRDefault="00EE63FC" w:rsidP="003864ED">
      <w:pPr>
        <w:spacing w:after="0" w:line="240" w:lineRule="auto"/>
      </w:pPr>
      <w:r>
        <w:separator/>
      </w:r>
    </w:p>
  </w:footnote>
  <w:footnote w:type="continuationSeparator" w:id="0">
    <w:p w14:paraId="5ECED8E6" w14:textId="77777777" w:rsidR="00EE63FC" w:rsidRDefault="00EE63FC" w:rsidP="003864ED">
      <w:pPr>
        <w:spacing w:after="0" w:line="240" w:lineRule="auto"/>
      </w:pPr>
      <w:r>
        <w:continuationSeparator/>
      </w:r>
    </w:p>
  </w:footnote>
  <w:footnote w:id="1">
    <w:p w14:paraId="2BF4BDEB" w14:textId="77777777" w:rsidR="008023E0" w:rsidRPr="008023E0" w:rsidRDefault="008023E0" w:rsidP="008023E0">
      <w:pPr>
        <w:pStyle w:val="Textonotapie"/>
        <w:jc w:val="both"/>
        <w:rPr>
          <w:rStyle w:val="Refdenotaalpie"/>
          <w:vertAlign w:val="baseline"/>
        </w:rPr>
      </w:pPr>
      <w:r w:rsidRPr="008023E0">
        <w:rPr>
          <w:rStyle w:val="Refdenotaalpie"/>
          <w:vertAlign w:val="baseline"/>
        </w:rPr>
        <w:footnoteRef/>
      </w:r>
      <w:r w:rsidRPr="008023E0">
        <w:rPr>
          <w:rStyle w:val="Refdenotaalpie"/>
          <w:vertAlign w:val="baseline"/>
        </w:rPr>
        <w:t xml:space="preserve"> CÓDIGO PROCESAL ADMINISTRATIVO PARA EL ESTADO DE SAN LUIS POTOSÍ</w:t>
      </w:r>
    </w:p>
    <w:p w14:paraId="67269891" w14:textId="77777777" w:rsidR="008023E0" w:rsidRPr="008023E0" w:rsidRDefault="008023E0" w:rsidP="008023E0">
      <w:pPr>
        <w:pStyle w:val="Textonotapie"/>
        <w:jc w:val="both"/>
        <w:rPr>
          <w:rStyle w:val="Refdenotaalpie"/>
          <w:vertAlign w:val="baseline"/>
        </w:rPr>
      </w:pPr>
      <w:r w:rsidRPr="008023E0">
        <w:rPr>
          <w:rStyle w:val="Refdenotaalpie"/>
          <w:vertAlign w:val="baseline"/>
        </w:rPr>
        <w:t>[…]</w:t>
      </w:r>
    </w:p>
    <w:p w14:paraId="4EB7D55B" w14:textId="77777777" w:rsidR="008023E0" w:rsidRPr="008023E0" w:rsidRDefault="008023E0" w:rsidP="008023E0">
      <w:pPr>
        <w:pStyle w:val="Textonotapie"/>
        <w:jc w:val="both"/>
        <w:rPr>
          <w:rStyle w:val="Refdenotaalpie"/>
          <w:vertAlign w:val="baseline"/>
        </w:rPr>
      </w:pPr>
      <w:r w:rsidRPr="008023E0">
        <w:rPr>
          <w:rStyle w:val="Refdenotaalpie"/>
          <w:vertAlign w:val="baseline"/>
        </w:rPr>
        <w:t>TRANSITORIOS:</w:t>
      </w:r>
    </w:p>
    <w:p w14:paraId="7D80E65C" w14:textId="77777777" w:rsidR="008023E0" w:rsidRPr="008023E0" w:rsidRDefault="008023E0" w:rsidP="008023E0">
      <w:pPr>
        <w:pStyle w:val="Textonotapie"/>
        <w:jc w:val="both"/>
        <w:rPr>
          <w:rStyle w:val="Refdenotaalpie"/>
          <w:vertAlign w:val="baseline"/>
        </w:rPr>
      </w:pPr>
      <w:r w:rsidRPr="008023E0">
        <w:rPr>
          <w:rStyle w:val="Refdenotaalpie"/>
          <w:vertAlign w:val="baseline"/>
        </w:rPr>
        <w:t>[…]</w:t>
      </w:r>
    </w:p>
    <w:p w14:paraId="5512639D" w14:textId="77777777" w:rsidR="008023E0" w:rsidRDefault="008023E0" w:rsidP="008023E0">
      <w:pPr>
        <w:pStyle w:val="Textonotapie"/>
        <w:jc w:val="both"/>
        <w:rPr>
          <w:rFonts w:ascii="Arial" w:hAnsi="Arial" w:cs="Arial"/>
        </w:rPr>
      </w:pPr>
      <w:r w:rsidRPr="008023E0">
        <w:rPr>
          <w:rStyle w:val="Refdenotaalpie"/>
          <w:vertAlign w:val="baseline"/>
        </w:rPr>
        <w:t>TERCERO. Se abroga la Ley de Procedimientos Administrativos para el Estado y Municipios de San Luis Potosí, publicada en el Periódico Oficial del Estado con el veintisiete de marzo de dos mil uno. Los procedimientos iniciados durante su vigencia continuarán substanciándose y se resolverán bajo las disposiciones de la misma hasta su conclusión definitiva.</w:t>
      </w:r>
    </w:p>
  </w:footnote>
  <w:footnote w:id="2">
    <w:p w14:paraId="3D84522E" w14:textId="77777777" w:rsidR="008023E0" w:rsidRPr="008023E0" w:rsidRDefault="008023E0" w:rsidP="008023E0">
      <w:pPr>
        <w:pStyle w:val="Textonotapie"/>
        <w:jc w:val="both"/>
        <w:rPr>
          <w:rStyle w:val="Refdenotaalpie"/>
          <w:vertAlign w:val="baseline"/>
        </w:rPr>
      </w:pPr>
      <w:r w:rsidRPr="008023E0">
        <w:rPr>
          <w:rStyle w:val="Refdenotaalpie"/>
          <w:vertAlign w:val="baseline"/>
        </w:rPr>
        <w:footnoteRef/>
      </w:r>
      <w:r w:rsidRPr="008023E0">
        <w:rPr>
          <w:rStyle w:val="Refdenotaalpie"/>
          <w:vertAlign w:val="baseline"/>
        </w:rPr>
        <w:t xml:space="preserve"> ARTÍCULO 17. El ejercicio del derecho de acceso a la información es gratuito y sólo podrá requerirse el cobro correspondiente a la modalidad de reproducción y entrega solicitada. [...]”</w:t>
      </w:r>
    </w:p>
  </w:footnote>
  <w:footnote w:id="3">
    <w:p w14:paraId="185187E1" w14:textId="77777777" w:rsidR="008023E0" w:rsidRPr="008023E0" w:rsidRDefault="008023E0" w:rsidP="008023E0">
      <w:pPr>
        <w:pStyle w:val="Textonotapie"/>
        <w:jc w:val="both"/>
        <w:rPr>
          <w:rFonts w:ascii="Arial" w:hAnsi="Arial" w:cs="Arial"/>
          <w:sz w:val="16"/>
          <w:szCs w:val="16"/>
        </w:rPr>
      </w:pPr>
      <w:r w:rsidRPr="008023E0">
        <w:rPr>
          <w:rStyle w:val="Refdenotaalpie"/>
          <w:vertAlign w:val="baseline"/>
        </w:rPr>
        <w:footnoteRef/>
      </w:r>
      <w:r w:rsidRPr="008023E0">
        <w:rPr>
          <w:rStyle w:val="Refdenotaalpie"/>
          <w:vertAlign w:val="baseline"/>
        </w:rPr>
        <w:t xml:space="preserve"> ARTÍCULO 62. 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footnote>
  <w:footnote w:id="4">
    <w:p w14:paraId="0AD67C10" w14:textId="77777777" w:rsidR="008023E0" w:rsidRDefault="008023E0" w:rsidP="008023E0">
      <w:pPr>
        <w:pStyle w:val="Textonotapie"/>
        <w:jc w:val="both"/>
        <w:rPr>
          <w:rStyle w:val="Refdenotaalpie"/>
        </w:rPr>
      </w:pPr>
      <w:r w:rsidRPr="008023E0">
        <w:rPr>
          <w:rStyle w:val="Refdenotaalpie"/>
          <w:vertAlign w:val="baseline"/>
        </w:rPr>
        <w:footnoteRef/>
      </w:r>
      <w:r w:rsidRPr="008023E0">
        <w:rPr>
          <w:rStyle w:val="Refdenotaalpie"/>
          <w:vertAlign w:val="baseline"/>
        </w:rPr>
        <w:t xml:space="preserve"> [...] Ante la falta de respuesta a una solicitud en el plazo previsto y en caso de que proceda el acceso, los costos de reproducción y envío correrán a cargo del sujeto obligado. [...]</w:t>
      </w:r>
    </w:p>
  </w:footnote>
  <w:footnote w:id="5">
    <w:p w14:paraId="30CB32F8" w14:textId="77777777" w:rsidR="008023E0" w:rsidRPr="00791A4B" w:rsidRDefault="008023E0" w:rsidP="008023E0">
      <w:pPr>
        <w:pStyle w:val="Textonotapie"/>
        <w:jc w:val="both"/>
        <w:rPr>
          <w:rStyle w:val="Refdenotaalpie"/>
        </w:rPr>
      </w:pPr>
      <w:r w:rsidRPr="00791A4B">
        <w:rPr>
          <w:rStyle w:val="Refdenotaalpie"/>
        </w:rPr>
        <w:footnoteRef/>
      </w:r>
      <w:r w:rsidRPr="00791A4B">
        <w:rPr>
          <w:rStyle w:val="Refdenotaalpie"/>
        </w:rPr>
        <w:t xml:space="preserve"> ARTÍCULO 165. En caso de existir costos para obtener la información, deberán cubrirse de manera previa a la entrega y no podrán ser superiores a la suma de: </w:t>
      </w:r>
    </w:p>
    <w:p w14:paraId="7E6F2E74" w14:textId="77777777" w:rsidR="008023E0" w:rsidRPr="00791A4B" w:rsidRDefault="008023E0" w:rsidP="008023E0">
      <w:pPr>
        <w:pStyle w:val="Textonotapie"/>
        <w:jc w:val="both"/>
        <w:rPr>
          <w:rStyle w:val="Refdenotaalpie"/>
        </w:rPr>
      </w:pPr>
      <w:r w:rsidRPr="00791A4B">
        <w:rPr>
          <w:rStyle w:val="Refdenotaalpie"/>
        </w:rPr>
        <w:t>[...]</w:t>
      </w:r>
    </w:p>
    <w:p w14:paraId="0A561A98" w14:textId="77777777" w:rsidR="008023E0" w:rsidRPr="00791A4B" w:rsidRDefault="008023E0" w:rsidP="008023E0">
      <w:pPr>
        <w:pStyle w:val="Textonotapie"/>
        <w:rPr>
          <w:rFonts w:cstheme="minorHAnsi"/>
        </w:rPr>
      </w:pPr>
      <w:r w:rsidRPr="00791A4B">
        <w:rPr>
          <w:rFonts w:cstheme="minorHAnsi"/>
          <w:szCs w:val="16"/>
        </w:rPr>
        <w:t>La información deberá ser entregada sin costo, cuando implique la entrega de no más de veinte hojas simples. Las unidades de transparencia podrán exceptuar el pago de reproducción y envío atendiendo a las circunstancias socioeconómicas del solicitante. [...]”</w:t>
      </w:r>
    </w:p>
  </w:footnote>
  <w:footnote w:id="6">
    <w:p w14:paraId="585ACC66" w14:textId="606DBAB6" w:rsidR="004C5BB6" w:rsidRDefault="009C51D8" w:rsidP="004C5BB6">
      <w:pPr>
        <w:pStyle w:val="Textonotapie"/>
        <w:jc w:val="both"/>
      </w:pPr>
      <w:r>
        <w:rPr>
          <w:rStyle w:val="Refdenotaalpie"/>
        </w:rPr>
        <w:footnoteRef/>
      </w:r>
      <w:r>
        <w:t xml:space="preserve"> </w:t>
      </w:r>
      <w:r w:rsidR="004C5BB6" w:rsidRPr="004C5BB6">
        <w:t>ARTÍCULO 149. De manera excepcional, cuando, de forma fundada y motivada, así lo determine el sujeto obligado, en aquellos casos en que la información solicitada que ya se encuentre en su posesión implique análisis, estudio o procesamiento de Documentos cuya entrega o reproducción sobrepase las capacidades técnicas del sujeto obligado para cumplir con la solicitud, en los plazos establecidos para dichos efectos, se podrán poner a disposición del solicitante los Documentos en consulta directa, salvo la información</w:t>
      </w:r>
      <w:r w:rsidR="0029130C">
        <w:t xml:space="preserve"> </w:t>
      </w:r>
      <w:r w:rsidR="004C5BB6" w:rsidRPr="004C5BB6">
        <w:t>clasificada.</w:t>
      </w:r>
    </w:p>
    <w:p w14:paraId="73F5661A" w14:textId="6CA0D04D" w:rsidR="009C51D8" w:rsidRDefault="004C5BB6" w:rsidP="004C5BB6">
      <w:pPr>
        <w:pStyle w:val="Textonotapie"/>
        <w:jc w:val="both"/>
      </w:pPr>
      <w:r w:rsidRPr="004C5BB6">
        <w:t xml:space="preserve"> En todo caso se facilitará su copia simple o certificada, así como su reproducción por cualquier medio disponible en las instalaciones del sujeto obligado o que, en su caso, aporte el solicitante.</w:t>
      </w:r>
    </w:p>
    <w:p w14:paraId="7064014C" w14:textId="15E40288" w:rsidR="0029130C" w:rsidRDefault="0029130C" w:rsidP="004C5BB6">
      <w:pPr>
        <w:pStyle w:val="Textonotapie"/>
        <w:jc w:val="both"/>
      </w:pPr>
      <w:r>
        <w:t>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En el caso de que la información solicitada consista en bases de datos se deberá privilegiar la entrega de la misma en Formatos Abiertos.</w:t>
      </w:r>
    </w:p>
    <w:p w14:paraId="6741D300" w14:textId="67D85AEB" w:rsidR="0029130C" w:rsidRDefault="0029130C" w:rsidP="004C5BB6">
      <w:pPr>
        <w:pStyle w:val="Textonotapie"/>
        <w:jc w:val="both"/>
      </w:pPr>
      <w:r>
        <w:t>ARTÍCULO 155. El acceso se dará en la modalidad de entrega y, en su caso, de envío elegidos por el solicitante. Cuando la información no pueda entregarse o enviarse en la modalidad elegida, el sujeto obligado deberá ofrecer otra u otras modalidades de entrega. En cualquier caso, se deberá fundar y motivar la necesidad de ofrecer otras modalidades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293170"/>
      <w:docPartObj>
        <w:docPartGallery w:val="Page Numbers (Top of Page)"/>
        <w:docPartUnique/>
      </w:docPartObj>
    </w:sdtPr>
    <w:sdtEndPr/>
    <w:sdtContent>
      <w:p w14:paraId="09CF8C8A" w14:textId="77777777" w:rsidR="00A66405" w:rsidRDefault="00A66405" w:rsidP="007E5F3A">
        <w:pPr>
          <w:pStyle w:val="Encabezado"/>
          <w:jc w:val="center"/>
        </w:pPr>
        <w:r>
          <w:fldChar w:fldCharType="begin"/>
        </w:r>
        <w:r>
          <w:instrText>PAGE   \* MERGEFORMAT</w:instrText>
        </w:r>
        <w:r>
          <w:fldChar w:fldCharType="separate"/>
        </w:r>
        <w:r w:rsidR="00750A31" w:rsidRPr="00750A31">
          <w:rPr>
            <w:noProof/>
            <w:lang w:val="es-ES"/>
          </w:rPr>
          <w:t>18</w:t>
        </w:r>
        <w:r>
          <w:fldChar w:fldCharType="end"/>
        </w:r>
        <w:r>
          <w:t xml:space="preserve">                                  </w:t>
        </w:r>
      </w:p>
      <w:p w14:paraId="7A4F52CF" w14:textId="65C3956E" w:rsidR="00A66405" w:rsidRDefault="00A66405" w:rsidP="007F1CA7">
        <w:pPr>
          <w:pStyle w:val="Encabezado"/>
          <w:jc w:val="right"/>
        </w:pPr>
        <w:r>
          <w:t xml:space="preserve">RECURSO DE REVISIÓN </w:t>
        </w:r>
        <w:r w:rsidR="006A6940">
          <w:t>7</w:t>
        </w:r>
        <w:r w:rsidR="001A0BBB">
          <w:t>69</w:t>
        </w:r>
        <w:r w:rsidR="004D080B">
          <w:t>/</w:t>
        </w:r>
        <w:r>
          <w:t>2018-1</w:t>
        </w:r>
        <w:r w:rsidR="0010246E">
          <w:t xml:space="preserve"> </w:t>
        </w:r>
        <w:r w:rsidR="007F1CA7">
          <w:t>PLATAFORMA</w:t>
        </w:r>
      </w:p>
    </w:sdtContent>
  </w:sdt>
  <w:p w14:paraId="5028D6BE" w14:textId="77777777"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7C01B1"/>
    <w:multiLevelType w:val="hybridMultilevel"/>
    <w:tmpl w:val="1C88FD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102411"/>
    <w:multiLevelType w:val="hybridMultilevel"/>
    <w:tmpl w:val="CC56B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8"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1E1277F"/>
    <w:multiLevelType w:val="hybridMultilevel"/>
    <w:tmpl w:val="8CAE942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1C2A2546"/>
    <w:multiLevelType w:val="hybridMultilevel"/>
    <w:tmpl w:val="36C0DB16"/>
    <w:lvl w:ilvl="0" w:tplc="080A000F">
      <w:start w:val="1"/>
      <w:numFmt w:val="decimal"/>
      <w:lvlText w:val="%1."/>
      <w:lvlJc w:val="left"/>
      <w:pPr>
        <w:ind w:left="2204" w:hanging="360"/>
      </w:pPr>
    </w:lvl>
    <w:lvl w:ilvl="1" w:tplc="080A0019" w:tentative="1">
      <w:start w:val="1"/>
      <w:numFmt w:val="lowerLetter"/>
      <w:lvlText w:val="%2."/>
      <w:lvlJc w:val="left"/>
      <w:pPr>
        <w:ind w:left="2924" w:hanging="360"/>
      </w:pPr>
    </w:lvl>
    <w:lvl w:ilvl="2" w:tplc="080A001B" w:tentative="1">
      <w:start w:val="1"/>
      <w:numFmt w:val="lowerRoman"/>
      <w:lvlText w:val="%3."/>
      <w:lvlJc w:val="right"/>
      <w:pPr>
        <w:ind w:left="3644" w:hanging="180"/>
      </w:pPr>
    </w:lvl>
    <w:lvl w:ilvl="3" w:tplc="080A000F" w:tentative="1">
      <w:start w:val="1"/>
      <w:numFmt w:val="decimal"/>
      <w:lvlText w:val="%4."/>
      <w:lvlJc w:val="left"/>
      <w:pPr>
        <w:ind w:left="4364" w:hanging="360"/>
      </w:pPr>
    </w:lvl>
    <w:lvl w:ilvl="4" w:tplc="080A0019" w:tentative="1">
      <w:start w:val="1"/>
      <w:numFmt w:val="lowerLetter"/>
      <w:lvlText w:val="%5."/>
      <w:lvlJc w:val="left"/>
      <w:pPr>
        <w:ind w:left="5084" w:hanging="360"/>
      </w:pPr>
    </w:lvl>
    <w:lvl w:ilvl="5" w:tplc="080A001B" w:tentative="1">
      <w:start w:val="1"/>
      <w:numFmt w:val="lowerRoman"/>
      <w:lvlText w:val="%6."/>
      <w:lvlJc w:val="right"/>
      <w:pPr>
        <w:ind w:left="5804" w:hanging="180"/>
      </w:pPr>
    </w:lvl>
    <w:lvl w:ilvl="6" w:tplc="080A000F" w:tentative="1">
      <w:start w:val="1"/>
      <w:numFmt w:val="decimal"/>
      <w:lvlText w:val="%7."/>
      <w:lvlJc w:val="left"/>
      <w:pPr>
        <w:ind w:left="6524" w:hanging="360"/>
      </w:pPr>
    </w:lvl>
    <w:lvl w:ilvl="7" w:tplc="080A0019" w:tentative="1">
      <w:start w:val="1"/>
      <w:numFmt w:val="lowerLetter"/>
      <w:lvlText w:val="%8."/>
      <w:lvlJc w:val="left"/>
      <w:pPr>
        <w:ind w:left="7244" w:hanging="360"/>
      </w:pPr>
    </w:lvl>
    <w:lvl w:ilvl="8" w:tplc="080A001B" w:tentative="1">
      <w:start w:val="1"/>
      <w:numFmt w:val="lowerRoman"/>
      <w:lvlText w:val="%9."/>
      <w:lvlJc w:val="right"/>
      <w:pPr>
        <w:ind w:left="7964" w:hanging="180"/>
      </w:pPr>
    </w:lvl>
  </w:abstractNum>
  <w:abstractNum w:abstractNumId="11"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3" w15:restartNumberingAfterBreak="0">
    <w:nsid w:val="2CA3342F"/>
    <w:multiLevelType w:val="hybridMultilevel"/>
    <w:tmpl w:val="B51A13A8"/>
    <w:lvl w:ilvl="0" w:tplc="6FAEE3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7905338"/>
    <w:multiLevelType w:val="hybridMultilevel"/>
    <w:tmpl w:val="6CF8C3D0"/>
    <w:lvl w:ilvl="0" w:tplc="A97EC1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4"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6"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8"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73B6E97"/>
    <w:multiLevelType w:val="hybridMultilevel"/>
    <w:tmpl w:val="A6B868FA"/>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1"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4"/>
  </w:num>
  <w:num w:numId="2">
    <w:abstractNumId w:val="21"/>
  </w:num>
  <w:num w:numId="3">
    <w:abstractNumId w:val="7"/>
  </w:num>
  <w:num w:numId="4">
    <w:abstractNumId w:val="31"/>
  </w:num>
  <w:num w:numId="5">
    <w:abstractNumId w:val="26"/>
  </w:num>
  <w:num w:numId="6">
    <w:abstractNumId w:val="27"/>
  </w:num>
  <w:num w:numId="7">
    <w:abstractNumId w:val="8"/>
  </w:num>
  <w:num w:numId="8">
    <w:abstractNumId w:val="15"/>
  </w:num>
  <w:num w:numId="9">
    <w:abstractNumId w:val="19"/>
  </w:num>
  <w:num w:numId="10">
    <w:abstractNumId w:val="18"/>
  </w:num>
  <w:num w:numId="11">
    <w:abstractNumId w:val="29"/>
  </w:num>
  <w:num w:numId="12">
    <w:abstractNumId w:val="1"/>
  </w:num>
  <w:num w:numId="13">
    <w:abstractNumId w:val="25"/>
  </w:num>
  <w:num w:numId="14">
    <w:abstractNumId w:val="17"/>
  </w:num>
  <w:num w:numId="15">
    <w:abstractNumId w:val="23"/>
  </w:num>
  <w:num w:numId="16">
    <w:abstractNumId w:val="32"/>
  </w:num>
  <w:num w:numId="17">
    <w:abstractNumId w:val="12"/>
  </w:num>
  <w:num w:numId="18">
    <w:abstractNumId w:val="0"/>
  </w:num>
  <w:num w:numId="19">
    <w:abstractNumId w:val="24"/>
  </w:num>
  <w:num w:numId="20">
    <w:abstractNumId w:val="5"/>
  </w:num>
  <w:num w:numId="21">
    <w:abstractNumId w:val="11"/>
  </w:num>
  <w:num w:numId="22">
    <w:abstractNumId w:val="3"/>
  </w:num>
  <w:num w:numId="23">
    <w:abstractNumId w:val="28"/>
  </w:num>
  <w:num w:numId="24">
    <w:abstractNumId w:val="20"/>
  </w:num>
  <w:num w:numId="25">
    <w:abstractNumId w:val="22"/>
  </w:num>
  <w:num w:numId="26">
    <w:abstractNumId w:val="6"/>
  </w:num>
  <w:num w:numId="27">
    <w:abstractNumId w:val="2"/>
  </w:num>
  <w:num w:numId="28">
    <w:abstractNumId w:val="4"/>
  </w:num>
  <w:num w:numId="29">
    <w:abstractNumId w:val="9"/>
  </w:num>
  <w:num w:numId="30">
    <w:abstractNumId w:val="10"/>
  </w:num>
  <w:num w:numId="31">
    <w:abstractNumId w:val="30"/>
  </w:num>
  <w:num w:numId="32">
    <w:abstractNumId w:val="13"/>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39D4"/>
    <w:rsid w:val="00015009"/>
    <w:rsid w:val="00015A95"/>
    <w:rsid w:val="00017BB1"/>
    <w:rsid w:val="00020321"/>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4FA"/>
    <w:rsid w:val="0004274F"/>
    <w:rsid w:val="0004294E"/>
    <w:rsid w:val="00042BD6"/>
    <w:rsid w:val="00043069"/>
    <w:rsid w:val="00043A51"/>
    <w:rsid w:val="00043BE1"/>
    <w:rsid w:val="000442C8"/>
    <w:rsid w:val="000450EB"/>
    <w:rsid w:val="00046FEA"/>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87B2D"/>
    <w:rsid w:val="000901C0"/>
    <w:rsid w:val="0009032E"/>
    <w:rsid w:val="00090678"/>
    <w:rsid w:val="00092A19"/>
    <w:rsid w:val="000944FF"/>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B6F0C"/>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09E"/>
    <w:rsid w:val="000F0FF2"/>
    <w:rsid w:val="000F133E"/>
    <w:rsid w:val="000F1794"/>
    <w:rsid w:val="000F2BD5"/>
    <w:rsid w:val="000F3E8A"/>
    <w:rsid w:val="000F4347"/>
    <w:rsid w:val="000F4B35"/>
    <w:rsid w:val="000F6A00"/>
    <w:rsid w:val="000F6E8F"/>
    <w:rsid w:val="000F7D24"/>
    <w:rsid w:val="00100D51"/>
    <w:rsid w:val="00100E65"/>
    <w:rsid w:val="0010246E"/>
    <w:rsid w:val="00102D16"/>
    <w:rsid w:val="00102E9E"/>
    <w:rsid w:val="0010335D"/>
    <w:rsid w:val="0010585E"/>
    <w:rsid w:val="00105F46"/>
    <w:rsid w:val="00106B48"/>
    <w:rsid w:val="00106E39"/>
    <w:rsid w:val="00107681"/>
    <w:rsid w:val="0011417A"/>
    <w:rsid w:val="00116955"/>
    <w:rsid w:val="00116CBC"/>
    <w:rsid w:val="00117744"/>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4704E"/>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6159"/>
    <w:rsid w:val="00167743"/>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87E9F"/>
    <w:rsid w:val="00190275"/>
    <w:rsid w:val="00191421"/>
    <w:rsid w:val="00192395"/>
    <w:rsid w:val="0019294C"/>
    <w:rsid w:val="001947D3"/>
    <w:rsid w:val="00194D48"/>
    <w:rsid w:val="00196474"/>
    <w:rsid w:val="00196579"/>
    <w:rsid w:val="001A0953"/>
    <w:rsid w:val="001A0BBB"/>
    <w:rsid w:val="001A1B21"/>
    <w:rsid w:val="001A2A61"/>
    <w:rsid w:val="001A3A03"/>
    <w:rsid w:val="001A473A"/>
    <w:rsid w:val="001A4D90"/>
    <w:rsid w:val="001A5D5A"/>
    <w:rsid w:val="001B288C"/>
    <w:rsid w:val="001B2D9C"/>
    <w:rsid w:val="001B7749"/>
    <w:rsid w:val="001C400C"/>
    <w:rsid w:val="001C400D"/>
    <w:rsid w:val="001C4F1E"/>
    <w:rsid w:val="001C5317"/>
    <w:rsid w:val="001C53D3"/>
    <w:rsid w:val="001C54AF"/>
    <w:rsid w:val="001C7B67"/>
    <w:rsid w:val="001C7C3C"/>
    <w:rsid w:val="001D060C"/>
    <w:rsid w:val="001D24D3"/>
    <w:rsid w:val="001D2B4B"/>
    <w:rsid w:val="001D2BE8"/>
    <w:rsid w:val="001D3081"/>
    <w:rsid w:val="001D4D02"/>
    <w:rsid w:val="001D5867"/>
    <w:rsid w:val="001D5BF5"/>
    <w:rsid w:val="001D5F36"/>
    <w:rsid w:val="001E0E77"/>
    <w:rsid w:val="001E17C7"/>
    <w:rsid w:val="001E27F5"/>
    <w:rsid w:val="001E4586"/>
    <w:rsid w:val="001E46F0"/>
    <w:rsid w:val="001E5BCA"/>
    <w:rsid w:val="001E5D8A"/>
    <w:rsid w:val="001E6629"/>
    <w:rsid w:val="001E79BD"/>
    <w:rsid w:val="001F5274"/>
    <w:rsid w:val="001F5ADD"/>
    <w:rsid w:val="001F5EF9"/>
    <w:rsid w:val="002004E9"/>
    <w:rsid w:val="00200609"/>
    <w:rsid w:val="002008A2"/>
    <w:rsid w:val="00201843"/>
    <w:rsid w:val="002036B7"/>
    <w:rsid w:val="0020417A"/>
    <w:rsid w:val="002054DA"/>
    <w:rsid w:val="0020592E"/>
    <w:rsid w:val="002068CA"/>
    <w:rsid w:val="00206F0E"/>
    <w:rsid w:val="00207377"/>
    <w:rsid w:val="00210A2D"/>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309"/>
    <w:rsid w:val="00233938"/>
    <w:rsid w:val="00233ED1"/>
    <w:rsid w:val="00234ADD"/>
    <w:rsid w:val="00234CBE"/>
    <w:rsid w:val="002350B9"/>
    <w:rsid w:val="00236736"/>
    <w:rsid w:val="00241713"/>
    <w:rsid w:val="0024465B"/>
    <w:rsid w:val="00245AD7"/>
    <w:rsid w:val="00245BFD"/>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1806"/>
    <w:rsid w:val="00285876"/>
    <w:rsid w:val="002860E5"/>
    <w:rsid w:val="0028655D"/>
    <w:rsid w:val="00286C5C"/>
    <w:rsid w:val="00286D54"/>
    <w:rsid w:val="002876C0"/>
    <w:rsid w:val="002902CE"/>
    <w:rsid w:val="0029130C"/>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BA2"/>
    <w:rsid w:val="002E0CE2"/>
    <w:rsid w:val="002E39ED"/>
    <w:rsid w:val="002E3E6F"/>
    <w:rsid w:val="002E4982"/>
    <w:rsid w:val="002E5C34"/>
    <w:rsid w:val="002E64CA"/>
    <w:rsid w:val="002E7959"/>
    <w:rsid w:val="002E7B1E"/>
    <w:rsid w:val="002F0788"/>
    <w:rsid w:val="002F1032"/>
    <w:rsid w:val="002F1FD5"/>
    <w:rsid w:val="002F2079"/>
    <w:rsid w:val="002F3E22"/>
    <w:rsid w:val="002F5173"/>
    <w:rsid w:val="002F63E3"/>
    <w:rsid w:val="00302BBA"/>
    <w:rsid w:val="00303BDF"/>
    <w:rsid w:val="00305125"/>
    <w:rsid w:val="003054C7"/>
    <w:rsid w:val="003064A3"/>
    <w:rsid w:val="00310B53"/>
    <w:rsid w:val="00314E55"/>
    <w:rsid w:val="00315930"/>
    <w:rsid w:val="00315FB2"/>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77A5"/>
    <w:rsid w:val="00341D49"/>
    <w:rsid w:val="00341E99"/>
    <w:rsid w:val="0034477F"/>
    <w:rsid w:val="00344A6F"/>
    <w:rsid w:val="00344D10"/>
    <w:rsid w:val="00345AAD"/>
    <w:rsid w:val="0035003F"/>
    <w:rsid w:val="003512FB"/>
    <w:rsid w:val="00351B33"/>
    <w:rsid w:val="00352BE5"/>
    <w:rsid w:val="00353490"/>
    <w:rsid w:val="00353685"/>
    <w:rsid w:val="00354539"/>
    <w:rsid w:val="00354E5A"/>
    <w:rsid w:val="00354E73"/>
    <w:rsid w:val="003560AE"/>
    <w:rsid w:val="00360687"/>
    <w:rsid w:val="00361782"/>
    <w:rsid w:val="00363AE3"/>
    <w:rsid w:val="003641AB"/>
    <w:rsid w:val="003656A6"/>
    <w:rsid w:val="00365BBD"/>
    <w:rsid w:val="00365FF4"/>
    <w:rsid w:val="00366C8D"/>
    <w:rsid w:val="00370181"/>
    <w:rsid w:val="003715F5"/>
    <w:rsid w:val="003727A6"/>
    <w:rsid w:val="00372D34"/>
    <w:rsid w:val="00373276"/>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5E8B"/>
    <w:rsid w:val="00396F07"/>
    <w:rsid w:val="00397017"/>
    <w:rsid w:val="003A0CF0"/>
    <w:rsid w:val="003A2315"/>
    <w:rsid w:val="003A331B"/>
    <w:rsid w:val="003A3516"/>
    <w:rsid w:val="003A4C4E"/>
    <w:rsid w:val="003A512E"/>
    <w:rsid w:val="003A5D8C"/>
    <w:rsid w:val="003A7A25"/>
    <w:rsid w:val="003B049A"/>
    <w:rsid w:val="003B0928"/>
    <w:rsid w:val="003B0C2F"/>
    <w:rsid w:val="003B24FE"/>
    <w:rsid w:val="003B322C"/>
    <w:rsid w:val="003B3852"/>
    <w:rsid w:val="003B3AC2"/>
    <w:rsid w:val="003B3F38"/>
    <w:rsid w:val="003B4877"/>
    <w:rsid w:val="003B5622"/>
    <w:rsid w:val="003B632D"/>
    <w:rsid w:val="003B6C9B"/>
    <w:rsid w:val="003B6CF9"/>
    <w:rsid w:val="003B7C38"/>
    <w:rsid w:val="003B7C60"/>
    <w:rsid w:val="003C2226"/>
    <w:rsid w:val="003C27B4"/>
    <w:rsid w:val="003C2A7C"/>
    <w:rsid w:val="003C2C66"/>
    <w:rsid w:val="003C4758"/>
    <w:rsid w:val="003C4BA6"/>
    <w:rsid w:val="003C5864"/>
    <w:rsid w:val="003C5DF6"/>
    <w:rsid w:val="003C6B03"/>
    <w:rsid w:val="003C7A42"/>
    <w:rsid w:val="003D054C"/>
    <w:rsid w:val="003D18F8"/>
    <w:rsid w:val="003D2911"/>
    <w:rsid w:val="003D419D"/>
    <w:rsid w:val="003D4757"/>
    <w:rsid w:val="003D4E42"/>
    <w:rsid w:val="003D5937"/>
    <w:rsid w:val="003D5A1A"/>
    <w:rsid w:val="003D6958"/>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BF6"/>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2F37"/>
    <w:rsid w:val="004135E1"/>
    <w:rsid w:val="00414690"/>
    <w:rsid w:val="00415213"/>
    <w:rsid w:val="0041566E"/>
    <w:rsid w:val="00415B26"/>
    <w:rsid w:val="00415C6E"/>
    <w:rsid w:val="00420835"/>
    <w:rsid w:val="00420FE9"/>
    <w:rsid w:val="00422B0B"/>
    <w:rsid w:val="00422CD1"/>
    <w:rsid w:val="004234A9"/>
    <w:rsid w:val="00423EFB"/>
    <w:rsid w:val="004242FC"/>
    <w:rsid w:val="00426280"/>
    <w:rsid w:val="004271DB"/>
    <w:rsid w:val="0042723B"/>
    <w:rsid w:val="00427E66"/>
    <w:rsid w:val="00432085"/>
    <w:rsid w:val="00432789"/>
    <w:rsid w:val="004327B3"/>
    <w:rsid w:val="00432EF7"/>
    <w:rsid w:val="004333DF"/>
    <w:rsid w:val="00433E04"/>
    <w:rsid w:val="00434824"/>
    <w:rsid w:val="00435DE5"/>
    <w:rsid w:val="00435EE5"/>
    <w:rsid w:val="004363B0"/>
    <w:rsid w:val="0043776E"/>
    <w:rsid w:val="004407B8"/>
    <w:rsid w:val="00440FE4"/>
    <w:rsid w:val="00442C82"/>
    <w:rsid w:val="00443100"/>
    <w:rsid w:val="00443DED"/>
    <w:rsid w:val="00445F3B"/>
    <w:rsid w:val="004475C3"/>
    <w:rsid w:val="004508B3"/>
    <w:rsid w:val="00451541"/>
    <w:rsid w:val="00451CBA"/>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937"/>
    <w:rsid w:val="00491F18"/>
    <w:rsid w:val="0049219E"/>
    <w:rsid w:val="00496934"/>
    <w:rsid w:val="00497684"/>
    <w:rsid w:val="004A0892"/>
    <w:rsid w:val="004A0B72"/>
    <w:rsid w:val="004A1732"/>
    <w:rsid w:val="004A2171"/>
    <w:rsid w:val="004A2B81"/>
    <w:rsid w:val="004A31B5"/>
    <w:rsid w:val="004A578D"/>
    <w:rsid w:val="004A768D"/>
    <w:rsid w:val="004A7825"/>
    <w:rsid w:val="004B00C1"/>
    <w:rsid w:val="004B04F4"/>
    <w:rsid w:val="004B0B19"/>
    <w:rsid w:val="004B0F31"/>
    <w:rsid w:val="004B2EC0"/>
    <w:rsid w:val="004B3580"/>
    <w:rsid w:val="004B4E23"/>
    <w:rsid w:val="004B4EB7"/>
    <w:rsid w:val="004B5810"/>
    <w:rsid w:val="004B709A"/>
    <w:rsid w:val="004B7C28"/>
    <w:rsid w:val="004C0AC3"/>
    <w:rsid w:val="004C15C0"/>
    <w:rsid w:val="004C332D"/>
    <w:rsid w:val="004C4C87"/>
    <w:rsid w:val="004C51FD"/>
    <w:rsid w:val="004C5BB6"/>
    <w:rsid w:val="004C63AC"/>
    <w:rsid w:val="004C6BF8"/>
    <w:rsid w:val="004C76D7"/>
    <w:rsid w:val="004C7E39"/>
    <w:rsid w:val="004D080B"/>
    <w:rsid w:val="004D0878"/>
    <w:rsid w:val="004D1715"/>
    <w:rsid w:val="004D1A2C"/>
    <w:rsid w:val="004D2DD0"/>
    <w:rsid w:val="004D40AC"/>
    <w:rsid w:val="004D5555"/>
    <w:rsid w:val="004D5901"/>
    <w:rsid w:val="004D7266"/>
    <w:rsid w:val="004D72F6"/>
    <w:rsid w:val="004D7692"/>
    <w:rsid w:val="004E0AAF"/>
    <w:rsid w:val="004E0BCC"/>
    <w:rsid w:val="004E13A6"/>
    <w:rsid w:val="004E26DC"/>
    <w:rsid w:val="004E317D"/>
    <w:rsid w:val="004E3DC4"/>
    <w:rsid w:val="004E4165"/>
    <w:rsid w:val="004E7C39"/>
    <w:rsid w:val="004F108B"/>
    <w:rsid w:val="004F279A"/>
    <w:rsid w:val="004F2B2F"/>
    <w:rsid w:val="004F35CA"/>
    <w:rsid w:val="004F6065"/>
    <w:rsid w:val="004F6314"/>
    <w:rsid w:val="004F6F21"/>
    <w:rsid w:val="0050032E"/>
    <w:rsid w:val="00501A84"/>
    <w:rsid w:val="00501BDE"/>
    <w:rsid w:val="00502F67"/>
    <w:rsid w:val="00503888"/>
    <w:rsid w:val="005038E8"/>
    <w:rsid w:val="00504DB1"/>
    <w:rsid w:val="005052AF"/>
    <w:rsid w:val="00506847"/>
    <w:rsid w:val="00506A13"/>
    <w:rsid w:val="00511894"/>
    <w:rsid w:val="0051323B"/>
    <w:rsid w:val="005138A0"/>
    <w:rsid w:val="00513B0E"/>
    <w:rsid w:val="00515D9F"/>
    <w:rsid w:val="00517C80"/>
    <w:rsid w:val="0052120D"/>
    <w:rsid w:val="00523917"/>
    <w:rsid w:val="005303A7"/>
    <w:rsid w:val="005343EC"/>
    <w:rsid w:val="00534B0E"/>
    <w:rsid w:val="0053629E"/>
    <w:rsid w:val="00536463"/>
    <w:rsid w:val="00537138"/>
    <w:rsid w:val="00537993"/>
    <w:rsid w:val="00542BD8"/>
    <w:rsid w:val="005441EC"/>
    <w:rsid w:val="00544825"/>
    <w:rsid w:val="0054603A"/>
    <w:rsid w:val="005473AB"/>
    <w:rsid w:val="0054744E"/>
    <w:rsid w:val="00550CAB"/>
    <w:rsid w:val="005514F0"/>
    <w:rsid w:val="005519B5"/>
    <w:rsid w:val="005526C0"/>
    <w:rsid w:val="00552770"/>
    <w:rsid w:val="005545CB"/>
    <w:rsid w:val="00554F9D"/>
    <w:rsid w:val="00555517"/>
    <w:rsid w:val="00556CE3"/>
    <w:rsid w:val="00561A10"/>
    <w:rsid w:val="005624EA"/>
    <w:rsid w:val="00563CC9"/>
    <w:rsid w:val="0056434F"/>
    <w:rsid w:val="00564DFB"/>
    <w:rsid w:val="005663ED"/>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4AC"/>
    <w:rsid w:val="00591BAC"/>
    <w:rsid w:val="00591E89"/>
    <w:rsid w:val="005933C1"/>
    <w:rsid w:val="00593E21"/>
    <w:rsid w:val="00594CEF"/>
    <w:rsid w:val="005957F6"/>
    <w:rsid w:val="00595D2F"/>
    <w:rsid w:val="00595D79"/>
    <w:rsid w:val="0059683F"/>
    <w:rsid w:val="00596EFB"/>
    <w:rsid w:val="005A01FF"/>
    <w:rsid w:val="005A1B85"/>
    <w:rsid w:val="005A266C"/>
    <w:rsid w:val="005A2679"/>
    <w:rsid w:val="005A3729"/>
    <w:rsid w:val="005A3D47"/>
    <w:rsid w:val="005A4133"/>
    <w:rsid w:val="005A4D8B"/>
    <w:rsid w:val="005A648D"/>
    <w:rsid w:val="005A766F"/>
    <w:rsid w:val="005A7780"/>
    <w:rsid w:val="005B1A42"/>
    <w:rsid w:val="005B28C6"/>
    <w:rsid w:val="005B3150"/>
    <w:rsid w:val="005B31AE"/>
    <w:rsid w:val="005B3277"/>
    <w:rsid w:val="005B38F0"/>
    <w:rsid w:val="005B666F"/>
    <w:rsid w:val="005B7FCD"/>
    <w:rsid w:val="005C1663"/>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2319"/>
    <w:rsid w:val="005E6860"/>
    <w:rsid w:val="005E7E91"/>
    <w:rsid w:val="005F1483"/>
    <w:rsid w:val="005F1DB0"/>
    <w:rsid w:val="005F35EB"/>
    <w:rsid w:val="005F469A"/>
    <w:rsid w:val="005F49B3"/>
    <w:rsid w:val="005F55F0"/>
    <w:rsid w:val="005F696D"/>
    <w:rsid w:val="005F6FFB"/>
    <w:rsid w:val="0060124B"/>
    <w:rsid w:val="00602198"/>
    <w:rsid w:val="006033B5"/>
    <w:rsid w:val="006047F1"/>
    <w:rsid w:val="0060491A"/>
    <w:rsid w:val="00606219"/>
    <w:rsid w:val="006073DF"/>
    <w:rsid w:val="006101C7"/>
    <w:rsid w:val="0061056B"/>
    <w:rsid w:val="006118AE"/>
    <w:rsid w:val="006118B1"/>
    <w:rsid w:val="0061430A"/>
    <w:rsid w:val="0061495B"/>
    <w:rsid w:val="0061501E"/>
    <w:rsid w:val="00616F4B"/>
    <w:rsid w:val="00620CA5"/>
    <w:rsid w:val="00621433"/>
    <w:rsid w:val="0062168C"/>
    <w:rsid w:val="00622D9B"/>
    <w:rsid w:val="00623C83"/>
    <w:rsid w:val="0062536E"/>
    <w:rsid w:val="00630546"/>
    <w:rsid w:val="006334B5"/>
    <w:rsid w:val="00636A24"/>
    <w:rsid w:val="00636A6A"/>
    <w:rsid w:val="00637AC5"/>
    <w:rsid w:val="00641E08"/>
    <w:rsid w:val="006431D6"/>
    <w:rsid w:val="00643BB1"/>
    <w:rsid w:val="006446BA"/>
    <w:rsid w:val="006446C2"/>
    <w:rsid w:val="006446C5"/>
    <w:rsid w:val="00644CFD"/>
    <w:rsid w:val="00644F4F"/>
    <w:rsid w:val="00646143"/>
    <w:rsid w:val="00653626"/>
    <w:rsid w:val="0065388B"/>
    <w:rsid w:val="0065410F"/>
    <w:rsid w:val="00654661"/>
    <w:rsid w:val="00656612"/>
    <w:rsid w:val="0065674B"/>
    <w:rsid w:val="00656B2A"/>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3832"/>
    <w:rsid w:val="006957E1"/>
    <w:rsid w:val="00695C4F"/>
    <w:rsid w:val="006A085C"/>
    <w:rsid w:val="006A09D1"/>
    <w:rsid w:val="006A0CC8"/>
    <w:rsid w:val="006A16E9"/>
    <w:rsid w:val="006A1845"/>
    <w:rsid w:val="006A21FB"/>
    <w:rsid w:val="006A252C"/>
    <w:rsid w:val="006A37C1"/>
    <w:rsid w:val="006A6940"/>
    <w:rsid w:val="006A699D"/>
    <w:rsid w:val="006A6E03"/>
    <w:rsid w:val="006A7089"/>
    <w:rsid w:val="006B0283"/>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D44"/>
    <w:rsid w:val="006D2705"/>
    <w:rsid w:val="006D2DB9"/>
    <w:rsid w:val="006D4F9D"/>
    <w:rsid w:val="006D522D"/>
    <w:rsid w:val="006D5323"/>
    <w:rsid w:val="006D6A01"/>
    <w:rsid w:val="006D6E45"/>
    <w:rsid w:val="006D7FCD"/>
    <w:rsid w:val="006E07DC"/>
    <w:rsid w:val="006E1F8C"/>
    <w:rsid w:val="006E396C"/>
    <w:rsid w:val="006E406F"/>
    <w:rsid w:val="006E40F1"/>
    <w:rsid w:val="006E4842"/>
    <w:rsid w:val="006E7316"/>
    <w:rsid w:val="006E7AF1"/>
    <w:rsid w:val="006E7C51"/>
    <w:rsid w:val="006F15C1"/>
    <w:rsid w:val="006F26B4"/>
    <w:rsid w:val="006F35C8"/>
    <w:rsid w:val="006F4830"/>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2FD1"/>
    <w:rsid w:val="0073360E"/>
    <w:rsid w:val="00733BDD"/>
    <w:rsid w:val="00735D8C"/>
    <w:rsid w:val="00735EB7"/>
    <w:rsid w:val="007414F4"/>
    <w:rsid w:val="00741579"/>
    <w:rsid w:val="00744552"/>
    <w:rsid w:val="0074538E"/>
    <w:rsid w:val="00745909"/>
    <w:rsid w:val="00745FFC"/>
    <w:rsid w:val="00750A31"/>
    <w:rsid w:val="00750B67"/>
    <w:rsid w:val="00751034"/>
    <w:rsid w:val="00752729"/>
    <w:rsid w:val="00752E45"/>
    <w:rsid w:val="007533DB"/>
    <w:rsid w:val="0075350F"/>
    <w:rsid w:val="007538A3"/>
    <w:rsid w:val="007540DC"/>
    <w:rsid w:val="0075424D"/>
    <w:rsid w:val="00755031"/>
    <w:rsid w:val="00760A62"/>
    <w:rsid w:val="00760D9C"/>
    <w:rsid w:val="00761371"/>
    <w:rsid w:val="00761CC3"/>
    <w:rsid w:val="007633E8"/>
    <w:rsid w:val="0076487A"/>
    <w:rsid w:val="00764E45"/>
    <w:rsid w:val="00765DA2"/>
    <w:rsid w:val="0076602B"/>
    <w:rsid w:val="00766F46"/>
    <w:rsid w:val="00771282"/>
    <w:rsid w:val="00772DF6"/>
    <w:rsid w:val="00774B90"/>
    <w:rsid w:val="007753D8"/>
    <w:rsid w:val="00777E95"/>
    <w:rsid w:val="007806DB"/>
    <w:rsid w:val="007822EA"/>
    <w:rsid w:val="00782940"/>
    <w:rsid w:val="00782DCD"/>
    <w:rsid w:val="007842E7"/>
    <w:rsid w:val="00784375"/>
    <w:rsid w:val="00784EE3"/>
    <w:rsid w:val="0078567C"/>
    <w:rsid w:val="00785B24"/>
    <w:rsid w:val="00785C76"/>
    <w:rsid w:val="00786E8B"/>
    <w:rsid w:val="00787218"/>
    <w:rsid w:val="00787443"/>
    <w:rsid w:val="007875E0"/>
    <w:rsid w:val="007905D4"/>
    <w:rsid w:val="0079198C"/>
    <w:rsid w:val="00791DEC"/>
    <w:rsid w:val="00792BB9"/>
    <w:rsid w:val="00792DF5"/>
    <w:rsid w:val="00792E1F"/>
    <w:rsid w:val="00792F20"/>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A7C8B"/>
    <w:rsid w:val="007B067E"/>
    <w:rsid w:val="007B10F7"/>
    <w:rsid w:val="007B11D4"/>
    <w:rsid w:val="007B1265"/>
    <w:rsid w:val="007B360D"/>
    <w:rsid w:val="007B3EC8"/>
    <w:rsid w:val="007B3F80"/>
    <w:rsid w:val="007B4E6C"/>
    <w:rsid w:val="007B7C25"/>
    <w:rsid w:val="007C0BA5"/>
    <w:rsid w:val="007C1EBC"/>
    <w:rsid w:val="007C2E69"/>
    <w:rsid w:val="007C2F6C"/>
    <w:rsid w:val="007C31AD"/>
    <w:rsid w:val="007C3B10"/>
    <w:rsid w:val="007C3C25"/>
    <w:rsid w:val="007C4ADB"/>
    <w:rsid w:val="007C4B71"/>
    <w:rsid w:val="007C5063"/>
    <w:rsid w:val="007C5605"/>
    <w:rsid w:val="007C5AA4"/>
    <w:rsid w:val="007C7475"/>
    <w:rsid w:val="007C7E86"/>
    <w:rsid w:val="007D3289"/>
    <w:rsid w:val="007D3D2A"/>
    <w:rsid w:val="007D5084"/>
    <w:rsid w:val="007D539D"/>
    <w:rsid w:val="007E1EFD"/>
    <w:rsid w:val="007E21B9"/>
    <w:rsid w:val="007E3764"/>
    <w:rsid w:val="007E5F3A"/>
    <w:rsid w:val="007E6130"/>
    <w:rsid w:val="007F0577"/>
    <w:rsid w:val="007F1534"/>
    <w:rsid w:val="007F1CA7"/>
    <w:rsid w:val="007F2E17"/>
    <w:rsid w:val="007F489F"/>
    <w:rsid w:val="007F568D"/>
    <w:rsid w:val="007F7631"/>
    <w:rsid w:val="0080025C"/>
    <w:rsid w:val="00801EB9"/>
    <w:rsid w:val="008023E0"/>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621"/>
    <w:rsid w:val="00832AAB"/>
    <w:rsid w:val="00833AE5"/>
    <w:rsid w:val="00833B3C"/>
    <w:rsid w:val="00840288"/>
    <w:rsid w:val="008403C2"/>
    <w:rsid w:val="00841546"/>
    <w:rsid w:val="008417AB"/>
    <w:rsid w:val="008418AA"/>
    <w:rsid w:val="00841FBE"/>
    <w:rsid w:val="00843FA5"/>
    <w:rsid w:val="0084484D"/>
    <w:rsid w:val="00845C98"/>
    <w:rsid w:val="0084778B"/>
    <w:rsid w:val="00847BEF"/>
    <w:rsid w:val="00847FEA"/>
    <w:rsid w:val="008511E6"/>
    <w:rsid w:val="00852404"/>
    <w:rsid w:val="00852B70"/>
    <w:rsid w:val="00852DFE"/>
    <w:rsid w:val="008531CB"/>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57E6"/>
    <w:rsid w:val="008A7642"/>
    <w:rsid w:val="008A7FF4"/>
    <w:rsid w:val="008B008E"/>
    <w:rsid w:val="008B3601"/>
    <w:rsid w:val="008B3803"/>
    <w:rsid w:val="008B3DEE"/>
    <w:rsid w:val="008B5FE3"/>
    <w:rsid w:val="008B74F1"/>
    <w:rsid w:val="008B7F5D"/>
    <w:rsid w:val="008C0495"/>
    <w:rsid w:val="008C07DE"/>
    <w:rsid w:val="008C14F6"/>
    <w:rsid w:val="008C2D98"/>
    <w:rsid w:val="008C41A8"/>
    <w:rsid w:val="008C44B4"/>
    <w:rsid w:val="008C55EB"/>
    <w:rsid w:val="008C5858"/>
    <w:rsid w:val="008C5873"/>
    <w:rsid w:val="008C6821"/>
    <w:rsid w:val="008C6DEB"/>
    <w:rsid w:val="008C70F9"/>
    <w:rsid w:val="008D001D"/>
    <w:rsid w:val="008D52B2"/>
    <w:rsid w:val="008E010A"/>
    <w:rsid w:val="008E2ADF"/>
    <w:rsid w:val="008E3591"/>
    <w:rsid w:val="008E4159"/>
    <w:rsid w:val="008F07B8"/>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89C"/>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B7E"/>
    <w:rsid w:val="00940C09"/>
    <w:rsid w:val="00941E32"/>
    <w:rsid w:val="0094550D"/>
    <w:rsid w:val="0094750B"/>
    <w:rsid w:val="009479DD"/>
    <w:rsid w:val="00947CF3"/>
    <w:rsid w:val="009501F2"/>
    <w:rsid w:val="00950241"/>
    <w:rsid w:val="0095133F"/>
    <w:rsid w:val="0095205B"/>
    <w:rsid w:val="009539AA"/>
    <w:rsid w:val="00953D0B"/>
    <w:rsid w:val="00955143"/>
    <w:rsid w:val="00956935"/>
    <w:rsid w:val="00961C71"/>
    <w:rsid w:val="00961FB1"/>
    <w:rsid w:val="00963782"/>
    <w:rsid w:val="00964430"/>
    <w:rsid w:val="00964847"/>
    <w:rsid w:val="009653B5"/>
    <w:rsid w:val="009656F1"/>
    <w:rsid w:val="00965F05"/>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5B63"/>
    <w:rsid w:val="009A73A4"/>
    <w:rsid w:val="009A73BB"/>
    <w:rsid w:val="009A7E4D"/>
    <w:rsid w:val="009B012A"/>
    <w:rsid w:val="009B0644"/>
    <w:rsid w:val="009B1109"/>
    <w:rsid w:val="009B1ADD"/>
    <w:rsid w:val="009B29AB"/>
    <w:rsid w:val="009B2CA9"/>
    <w:rsid w:val="009B31F5"/>
    <w:rsid w:val="009B3385"/>
    <w:rsid w:val="009B3C40"/>
    <w:rsid w:val="009B4CA4"/>
    <w:rsid w:val="009B5AEE"/>
    <w:rsid w:val="009C008E"/>
    <w:rsid w:val="009C0691"/>
    <w:rsid w:val="009C0AD7"/>
    <w:rsid w:val="009C0E66"/>
    <w:rsid w:val="009C1C3D"/>
    <w:rsid w:val="009C3618"/>
    <w:rsid w:val="009C51D8"/>
    <w:rsid w:val="009D05E2"/>
    <w:rsid w:val="009D162C"/>
    <w:rsid w:val="009D2F04"/>
    <w:rsid w:val="009D3529"/>
    <w:rsid w:val="009D4606"/>
    <w:rsid w:val="009D71D7"/>
    <w:rsid w:val="009E0092"/>
    <w:rsid w:val="009E136B"/>
    <w:rsid w:val="009E13CA"/>
    <w:rsid w:val="009E165E"/>
    <w:rsid w:val="009E375F"/>
    <w:rsid w:val="009E37D5"/>
    <w:rsid w:val="009E4194"/>
    <w:rsid w:val="009E5BBD"/>
    <w:rsid w:val="009E61DF"/>
    <w:rsid w:val="009E6CC7"/>
    <w:rsid w:val="009E7E9F"/>
    <w:rsid w:val="009F0742"/>
    <w:rsid w:val="009F1408"/>
    <w:rsid w:val="009F1B70"/>
    <w:rsid w:val="009F2068"/>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16A06"/>
    <w:rsid w:val="00A20BE4"/>
    <w:rsid w:val="00A20CCE"/>
    <w:rsid w:val="00A21034"/>
    <w:rsid w:val="00A22BD9"/>
    <w:rsid w:val="00A22FEA"/>
    <w:rsid w:val="00A232E3"/>
    <w:rsid w:val="00A23E64"/>
    <w:rsid w:val="00A24254"/>
    <w:rsid w:val="00A2443F"/>
    <w:rsid w:val="00A245E3"/>
    <w:rsid w:val="00A24D8D"/>
    <w:rsid w:val="00A265FA"/>
    <w:rsid w:val="00A330EA"/>
    <w:rsid w:val="00A35AC9"/>
    <w:rsid w:val="00A36115"/>
    <w:rsid w:val="00A3655A"/>
    <w:rsid w:val="00A369D3"/>
    <w:rsid w:val="00A410AA"/>
    <w:rsid w:val="00A416CD"/>
    <w:rsid w:val="00A42E17"/>
    <w:rsid w:val="00A4457B"/>
    <w:rsid w:val="00A44BB8"/>
    <w:rsid w:val="00A457E5"/>
    <w:rsid w:val="00A47E09"/>
    <w:rsid w:val="00A47F17"/>
    <w:rsid w:val="00A53455"/>
    <w:rsid w:val="00A53953"/>
    <w:rsid w:val="00A53D13"/>
    <w:rsid w:val="00A53E5A"/>
    <w:rsid w:val="00A54656"/>
    <w:rsid w:val="00A56171"/>
    <w:rsid w:val="00A6118B"/>
    <w:rsid w:val="00A621E0"/>
    <w:rsid w:val="00A62843"/>
    <w:rsid w:val="00A63284"/>
    <w:rsid w:val="00A643AE"/>
    <w:rsid w:val="00A66405"/>
    <w:rsid w:val="00A70DB9"/>
    <w:rsid w:val="00A718A3"/>
    <w:rsid w:val="00A725AA"/>
    <w:rsid w:val="00A725F0"/>
    <w:rsid w:val="00A72A44"/>
    <w:rsid w:val="00A73F45"/>
    <w:rsid w:val="00A753CC"/>
    <w:rsid w:val="00A7601B"/>
    <w:rsid w:val="00A7719F"/>
    <w:rsid w:val="00A808A7"/>
    <w:rsid w:val="00A80934"/>
    <w:rsid w:val="00A81AE1"/>
    <w:rsid w:val="00A822BE"/>
    <w:rsid w:val="00A8311C"/>
    <w:rsid w:val="00A84C3B"/>
    <w:rsid w:val="00A8585B"/>
    <w:rsid w:val="00A85ABF"/>
    <w:rsid w:val="00A85F22"/>
    <w:rsid w:val="00A909F9"/>
    <w:rsid w:val="00A90BAF"/>
    <w:rsid w:val="00A93CDD"/>
    <w:rsid w:val="00AA2B12"/>
    <w:rsid w:val="00AA2B27"/>
    <w:rsid w:val="00AA305C"/>
    <w:rsid w:val="00AA5CCF"/>
    <w:rsid w:val="00AA7625"/>
    <w:rsid w:val="00AB021D"/>
    <w:rsid w:val="00AB29BF"/>
    <w:rsid w:val="00AB2AE7"/>
    <w:rsid w:val="00AB2B1C"/>
    <w:rsid w:val="00AB59CF"/>
    <w:rsid w:val="00AB6E42"/>
    <w:rsid w:val="00AB7A3F"/>
    <w:rsid w:val="00AC0256"/>
    <w:rsid w:val="00AC11D6"/>
    <w:rsid w:val="00AC2F18"/>
    <w:rsid w:val="00AC483F"/>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9D2"/>
    <w:rsid w:val="00B10B8A"/>
    <w:rsid w:val="00B10D6F"/>
    <w:rsid w:val="00B111B6"/>
    <w:rsid w:val="00B11D9E"/>
    <w:rsid w:val="00B12605"/>
    <w:rsid w:val="00B13363"/>
    <w:rsid w:val="00B13648"/>
    <w:rsid w:val="00B163E5"/>
    <w:rsid w:val="00B20BBF"/>
    <w:rsid w:val="00B20D2E"/>
    <w:rsid w:val="00B2258F"/>
    <w:rsid w:val="00B22662"/>
    <w:rsid w:val="00B23D3C"/>
    <w:rsid w:val="00B23F7C"/>
    <w:rsid w:val="00B25155"/>
    <w:rsid w:val="00B25A01"/>
    <w:rsid w:val="00B27D30"/>
    <w:rsid w:val="00B27E43"/>
    <w:rsid w:val="00B324B8"/>
    <w:rsid w:val="00B328FB"/>
    <w:rsid w:val="00B3336E"/>
    <w:rsid w:val="00B33470"/>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57DE4"/>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35C"/>
    <w:rsid w:val="00BB4D05"/>
    <w:rsid w:val="00BB731D"/>
    <w:rsid w:val="00BB76F5"/>
    <w:rsid w:val="00BC0F2B"/>
    <w:rsid w:val="00BC108C"/>
    <w:rsid w:val="00BC14E4"/>
    <w:rsid w:val="00BC2684"/>
    <w:rsid w:val="00BC2D2A"/>
    <w:rsid w:val="00BC38FD"/>
    <w:rsid w:val="00BC398B"/>
    <w:rsid w:val="00BC53C3"/>
    <w:rsid w:val="00BC5B01"/>
    <w:rsid w:val="00BC6AC9"/>
    <w:rsid w:val="00BD0224"/>
    <w:rsid w:val="00BD11BF"/>
    <w:rsid w:val="00BD1E22"/>
    <w:rsid w:val="00BD3DB7"/>
    <w:rsid w:val="00BD4495"/>
    <w:rsid w:val="00BD5C8E"/>
    <w:rsid w:val="00BD624D"/>
    <w:rsid w:val="00BD6867"/>
    <w:rsid w:val="00BD7074"/>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3C8A"/>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1DBE"/>
    <w:rsid w:val="00C6226D"/>
    <w:rsid w:val="00C646BE"/>
    <w:rsid w:val="00C64BA1"/>
    <w:rsid w:val="00C64E73"/>
    <w:rsid w:val="00C6686D"/>
    <w:rsid w:val="00C679D5"/>
    <w:rsid w:val="00C70480"/>
    <w:rsid w:val="00C71435"/>
    <w:rsid w:val="00C73E0D"/>
    <w:rsid w:val="00C74E3E"/>
    <w:rsid w:val="00C7556F"/>
    <w:rsid w:val="00C80E62"/>
    <w:rsid w:val="00C81E91"/>
    <w:rsid w:val="00C84C32"/>
    <w:rsid w:val="00C85D81"/>
    <w:rsid w:val="00C8633A"/>
    <w:rsid w:val="00C86DC0"/>
    <w:rsid w:val="00C87388"/>
    <w:rsid w:val="00C90BF6"/>
    <w:rsid w:val="00C92FD4"/>
    <w:rsid w:val="00C9469D"/>
    <w:rsid w:val="00C95386"/>
    <w:rsid w:val="00C95DCE"/>
    <w:rsid w:val="00C95E93"/>
    <w:rsid w:val="00CA0E99"/>
    <w:rsid w:val="00CA0F2E"/>
    <w:rsid w:val="00CA131A"/>
    <w:rsid w:val="00CA1703"/>
    <w:rsid w:val="00CA2E96"/>
    <w:rsid w:val="00CA366F"/>
    <w:rsid w:val="00CA3C25"/>
    <w:rsid w:val="00CA432B"/>
    <w:rsid w:val="00CA46E8"/>
    <w:rsid w:val="00CA4F09"/>
    <w:rsid w:val="00CA5145"/>
    <w:rsid w:val="00CA51FC"/>
    <w:rsid w:val="00CA749B"/>
    <w:rsid w:val="00CA795F"/>
    <w:rsid w:val="00CA7C1E"/>
    <w:rsid w:val="00CB029F"/>
    <w:rsid w:val="00CB0593"/>
    <w:rsid w:val="00CB0626"/>
    <w:rsid w:val="00CB06F1"/>
    <w:rsid w:val="00CB26AA"/>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24"/>
    <w:rsid w:val="00CE4083"/>
    <w:rsid w:val="00CE46A7"/>
    <w:rsid w:val="00CE598C"/>
    <w:rsid w:val="00CE7334"/>
    <w:rsid w:val="00CE7468"/>
    <w:rsid w:val="00CE7658"/>
    <w:rsid w:val="00CE7D21"/>
    <w:rsid w:val="00CF0EA9"/>
    <w:rsid w:val="00CF27C8"/>
    <w:rsid w:val="00CF474C"/>
    <w:rsid w:val="00CF5CD3"/>
    <w:rsid w:val="00CF7485"/>
    <w:rsid w:val="00CF7D23"/>
    <w:rsid w:val="00D0124B"/>
    <w:rsid w:val="00D0124D"/>
    <w:rsid w:val="00D024C5"/>
    <w:rsid w:val="00D0288D"/>
    <w:rsid w:val="00D03EF1"/>
    <w:rsid w:val="00D05639"/>
    <w:rsid w:val="00D058C0"/>
    <w:rsid w:val="00D0725B"/>
    <w:rsid w:val="00D0740D"/>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01F9"/>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2AB1"/>
    <w:rsid w:val="00D644D6"/>
    <w:rsid w:val="00D65554"/>
    <w:rsid w:val="00D668E8"/>
    <w:rsid w:val="00D67BD3"/>
    <w:rsid w:val="00D67E3C"/>
    <w:rsid w:val="00D70733"/>
    <w:rsid w:val="00D707CC"/>
    <w:rsid w:val="00D725A8"/>
    <w:rsid w:val="00D73C2B"/>
    <w:rsid w:val="00D73CCA"/>
    <w:rsid w:val="00D74B3B"/>
    <w:rsid w:val="00D74CED"/>
    <w:rsid w:val="00D801A2"/>
    <w:rsid w:val="00D80C6D"/>
    <w:rsid w:val="00D81085"/>
    <w:rsid w:val="00D829D5"/>
    <w:rsid w:val="00D82AF2"/>
    <w:rsid w:val="00D82C88"/>
    <w:rsid w:val="00D83324"/>
    <w:rsid w:val="00D837C5"/>
    <w:rsid w:val="00D84A7A"/>
    <w:rsid w:val="00D8550F"/>
    <w:rsid w:val="00D8596F"/>
    <w:rsid w:val="00D85E01"/>
    <w:rsid w:val="00D8645F"/>
    <w:rsid w:val="00D868A3"/>
    <w:rsid w:val="00D86A51"/>
    <w:rsid w:val="00D86CE8"/>
    <w:rsid w:val="00D9027D"/>
    <w:rsid w:val="00D90419"/>
    <w:rsid w:val="00D90DCE"/>
    <w:rsid w:val="00D927AA"/>
    <w:rsid w:val="00D930ED"/>
    <w:rsid w:val="00D9322D"/>
    <w:rsid w:val="00D939F6"/>
    <w:rsid w:val="00D9518B"/>
    <w:rsid w:val="00D963F7"/>
    <w:rsid w:val="00D975F8"/>
    <w:rsid w:val="00DA0596"/>
    <w:rsid w:val="00DA405C"/>
    <w:rsid w:val="00DA413B"/>
    <w:rsid w:val="00DA5276"/>
    <w:rsid w:val="00DA5C57"/>
    <w:rsid w:val="00DA7FED"/>
    <w:rsid w:val="00DB058B"/>
    <w:rsid w:val="00DB0D57"/>
    <w:rsid w:val="00DB4203"/>
    <w:rsid w:val="00DB5870"/>
    <w:rsid w:val="00DB67EC"/>
    <w:rsid w:val="00DB6F12"/>
    <w:rsid w:val="00DB7125"/>
    <w:rsid w:val="00DC06E2"/>
    <w:rsid w:val="00DC1AB3"/>
    <w:rsid w:val="00DC212D"/>
    <w:rsid w:val="00DC2F1E"/>
    <w:rsid w:val="00DC38FB"/>
    <w:rsid w:val="00DC55B4"/>
    <w:rsid w:val="00DC60A5"/>
    <w:rsid w:val="00DC6412"/>
    <w:rsid w:val="00DD211A"/>
    <w:rsid w:val="00DD3536"/>
    <w:rsid w:val="00DD54D0"/>
    <w:rsid w:val="00DD798D"/>
    <w:rsid w:val="00DE0086"/>
    <w:rsid w:val="00DE03AC"/>
    <w:rsid w:val="00DE05E5"/>
    <w:rsid w:val="00DE1B67"/>
    <w:rsid w:val="00DE288E"/>
    <w:rsid w:val="00DE298C"/>
    <w:rsid w:val="00DE2C65"/>
    <w:rsid w:val="00DE3359"/>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05781"/>
    <w:rsid w:val="00E06C48"/>
    <w:rsid w:val="00E07891"/>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DED"/>
    <w:rsid w:val="00E31E98"/>
    <w:rsid w:val="00E32697"/>
    <w:rsid w:val="00E32F0A"/>
    <w:rsid w:val="00E35B9D"/>
    <w:rsid w:val="00E36277"/>
    <w:rsid w:val="00E36DCC"/>
    <w:rsid w:val="00E376C1"/>
    <w:rsid w:val="00E376F4"/>
    <w:rsid w:val="00E40E02"/>
    <w:rsid w:val="00E41A5D"/>
    <w:rsid w:val="00E458B7"/>
    <w:rsid w:val="00E47DEE"/>
    <w:rsid w:val="00E509BB"/>
    <w:rsid w:val="00E51BA6"/>
    <w:rsid w:val="00E534AD"/>
    <w:rsid w:val="00E544A0"/>
    <w:rsid w:val="00E54BEB"/>
    <w:rsid w:val="00E55371"/>
    <w:rsid w:val="00E5583B"/>
    <w:rsid w:val="00E570A6"/>
    <w:rsid w:val="00E60A11"/>
    <w:rsid w:val="00E60E11"/>
    <w:rsid w:val="00E612A0"/>
    <w:rsid w:val="00E619F4"/>
    <w:rsid w:val="00E63C11"/>
    <w:rsid w:val="00E63C20"/>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3FC"/>
    <w:rsid w:val="00EE6BBE"/>
    <w:rsid w:val="00EE7569"/>
    <w:rsid w:val="00EE7A28"/>
    <w:rsid w:val="00EF10BD"/>
    <w:rsid w:val="00EF3AE7"/>
    <w:rsid w:val="00EF3EC6"/>
    <w:rsid w:val="00EF4CC2"/>
    <w:rsid w:val="00EF5615"/>
    <w:rsid w:val="00EF5D7B"/>
    <w:rsid w:val="00F01A62"/>
    <w:rsid w:val="00F04FBB"/>
    <w:rsid w:val="00F0545F"/>
    <w:rsid w:val="00F059F6"/>
    <w:rsid w:val="00F06575"/>
    <w:rsid w:val="00F07337"/>
    <w:rsid w:val="00F0768E"/>
    <w:rsid w:val="00F076A1"/>
    <w:rsid w:val="00F11104"/>
    <w:rsid w:val="00F115B0"/>
    <w:rsid w:val="00F1175E"/>
    <w:rsid w:val="00F134A8"/>
    <w:rsid w:val="00F139DF"/>
    <w:rsid w:val="00F147B9"/>
    <w:rsid w:val="00F1486C"/>
    <w:rsid w:val="00F14DCC"/>
    <w:rsid w:val="00F14EEC"/>
    <w:rsid w:val="00F200F0"/>
    <w:rsid w:val="00F20A9D"/>
    <w:rsid w:val="00F20E32"/>
    <w:rsid w:val="00F21BC4"/>
    <w:rsid w:val="00F27372"/>
    <w:rsid w:val="00F27575"/>
    <w:rsid w:val="00F30472"/>
    <w:rsid w:val="00F30F32"/>
    <w:rsid w:val="00F328BF"/>
    <w:rsid w:val="00F35358"/>
    <w:rsid w:val="00F35C21"/>
    <w:rsid w:val="00F36033"/>
    <w:rsid w:val="00F4121A"/>
    <w:rsid w:val="00F41430"/>
    <w:rsid w:val="00F41C27"/>
    <w:rsid w:val="00F42F06"/>
    <w:rsid w:val="00F43CC6"/>
    <w:rsid w:val="00F50CE8"/>
    <w:rsid w:val="00F5182C"/>
    <w:rsid w:val="00F51B24"/>
    <w:rsid w:val="00F52FFC"/>
    <w:rsid w:val="00F5479E"/>
    <w:rsid w:val="00F54EA1"/>
    <w:rsid w:val="00F54EF3"/>
    <w:rsid w:val="00F552B2"/>
    <w:rsid w:val="00F5754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091"/>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2339"/>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559A"/>
    <w:rsid w:val="00FD747C"/>
    <w:rsid w:val="00FD7EBC"/>
    <w:rsid w:val="00FE0969"/>
    <w:rsid w:val="00FE17F0"/>
    <w:rsid w:val="00FE1D17"/>
    <w:rsid w:val="00FE3A1A"/>
    <w:rsid w:val="00FE3B91"/>
    <w:rsid w:val="00FE43A4"/>
    <w:rsid w:val="00FE46C4"/>
    <w:rsid w:val="00FE53F2"/>
    <w:rsid w:val="00FE6F1A"/>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C2AA1D6"/>
  <w15:docId w15:val="{53CE9452-1A9A-4D7B-A38B-5C8BC9C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semiHidden/>
    <w:unhideWhenUsed/>
    <w:rsid w:val="000424FA"/>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semiHidden/>
    <w:rsid w:val="000424FA"/>
    <w:rPr>
      <w:sz w:val="20"/>
      <w:szCs w:val="20"/>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semiHidden/>
    <w:unhideWhenUsed/>
    <w:qFormat/>
    <w:rsid w:val="000424FA"/>
    <w:rPr>
      <w:vertAlign w:val="superscript"/>
    </w:rPr>
  </w:style>
  <w:style w:type="character" w:customStyle="1" w:styleId="UnresolvedMention">
    <w:name w:val="Unresolved Mention"/>
    <w:basedOn w:val="Fuentedeprrafopredeter"/>
    <w:uiPriority w:val="99"/>
    <w:semiHidden/>
    <w:unhideWhenUsed/>
    <w:rsid w:val="003D4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38166694">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FDA369-313E-43FE-9EC5-9B7D0FB6F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19</Pages>
  <Words>4611</Words>
  <Characters>25363</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Pedro Razo</cp:lastModifiedBy>
  <cp:revision>8</cp:revision>
  <cp:lastPrinted>2018-07-13T15:28:00Z</cp:lastPrinted>
  <dcterms:created xsi:type="dcterms:W3CDTF">2018-11-28T15:40:00Z</dcterms:created>
  <dcterms:modified xsi:type="dcterms:W3CDTF">2018-12-08T00:27:00Z</dcterms:modified>
</cp:coreProperties>
</file>