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27923" w:rsidRPr="007C2DA2" w:rsidRDefault="00327923" w:rsidP="00A0226E">
      <w:pPr>
        <w:tabs>
          <w:tab w:val="left" w:pos="4820"/>
        </w:tabs>
        <w:spacing w:after="0" w:line="276" w:lineRule="auto"/>
        <w:ind w:left="2552"/>
        <w:jc w:val="right"/>
        <w:rPr>
          <w:rFonts w:ascii="Arial" w:eastAsia="Times New Roman" w:hAnsi="Arial" w:cs="Arial"/>
          <w:b/>
          <w:caps/>
          <w:color w:val="2E74B5" w:themeColor="accent1" w:themeShade="BF"/>
          <w:sz w:val="24"/>
          <w:szCs w:val="24"/>
          <w:lang w:eastAsia="es-MX"/>
        </w:rPr>
      </w:pPr>
      <w:r w:rsidRPr="007C2DA2">
        <w:rPr>
          <w:rFonts w:ascii="Arial" w:eastAsia="Times New Roman" w:hAnsi="Arial" w:cs="Arial"/>
          <w:b/>
          <w:caps/>
          <w:color w:val="2E74B5" w:themeColor="accent1" w:themeShade="BF"/>
          <w:sz w:val="24"/>
          <w:szCs w:val="24"/>
          <w:lang w:eastAsia="es-MX"/>
        </w:rPr>
        <w:t xml:space="preserve">RECURSO DE REVISIÓN  </w:t>
      </w:r>
      <w:r w:rsidR="00187DA7" w:rsidRPr="007C2DA2">
        <w:rPr>
          <w:rFonts w:ascii="Arial" w:eastAsia="Times New Roman" w:hAnsi="Arial" w:cs="Arial"/>
          <w:b/>
          <w:caps/>
          <w:color w:val="2E74B5" w:themeColor="accent1" w:themeShade="BF"/>
          <w:sz w:val="24"/>
          <w:szCs w:val="24"/>
          <w:lang w:eastAsia="es-MX"/>
        </w:rPr>
        <w:t>605</w:t>
      </w:r>
      <w:r w:rsidRPr="007C2DA2">
        <w:rPr>
          <w:rFonts w:ascii="Arial" w:eastAsia="Times New Roman" w:hAnsi="Arial" w:cs="Arial"/>
          <w:b/>
          <w:caps/>
          <w:color w:val="2E74B5" w:themeColor="accent1" w:themeShade="BF"/>
          <w:sz w:val="24"/>
          <w:szCs w:val="24"/>
          <w:lang w:eastAsia="es-MX"/>
        </w:rPr>
        <w:t xml:space="preserve">/2018-2   </w:t>
      </w:r>
    </w:p>
    <w:p w:rsidR="00327923" w:rsidRPr="007C2DA2" w:rsidRDefault="00327923" w:rsidP="00A0226E">
      <w:pPr>
        <w:spacing w:after="0" w:line="276" w:lineRule="auto"/>
        <w:ind w:left="2552"/>
        <w:jc w:val="right"/>
        <w:rPr>
          <w:rFonts w:ascii="Arial" w:eastAsia="Times New Roman" w:hAnsi="Arial" w:cs="Arial"/>
          <w:b/>
          <w:caps/>
          <w:color w:val="2E74B5" w:themeColor="accent1" w:themeShade="BF"/>
          <w:sz w:val="24"/>
          <w:szCs w:val="24"/>
          <w:lang w:eastAsia="es-MX"/>
        </w:rPr>
      </w:pPr>
    </w:p>
    <w:p w:rsidR="00327923" w:rsidRPr="007C2DA2" w:rsidRDefault="00327923" w:rsidP="00A0226E">
      <w:pPr>
        <w:spacing w:after="0" w:line="276" w:lineRule="auto"/>
        <w:ind w:left="2552"/>
        <w:jc w:val="right"/>
        <w:rPr>
          <w:rFonts w:ascii="Arial" w:eastAsia="Times New Roman" w:hAnsi="Arial" w:cs="Arial"/>
          <w:b/>
          <w:caps/>
          <w:color w:val="2E74B5" w:themeColor="accent1" w:themeShade="BF"/>
          <w:sz w:val="24"/>
          <w:szCs w:val="24"/>
          <w:lang w:eastAsia="es-MX"/>
        </w:rPr>
      </w:pPr>
    </w:p>
    <w:p w:rsidR="00327923" w:rsidRPr="007C2DA2" w:rsidRDefault="00327923" w:rsidP="00A0226E">
      <w:pPr>
        <w:spacing w:after="0" w:line="276" w:lineRule="auto"/>
        <w:jc w:val="right"/>
        <w:rPr>
          <w:rFonts w:ascii="Arial" w:eastAsia="Times New Roman" w:hAnsi="Arial" w:cs="Arial"/>
          <w:b/>
          <w:caps/>
          <w:color w:val="2E74B5" w:themeColor="accent1" w:themeShade="BF"/>
          <w:sz w:val="24"/>
          <w:szCs w:val="24"/>
          <w:lang w:eastAsia="es-MX"/>
        </w:rPr>
      </w:pPr>
      <w:r w:rsidRPr="007C2DA2">
        <w:rPr>
          <w:rFonts w:ascii="Arial" w:eastAsia="Times New Roman" w:hAnsi="Arial" w:cs="Arial"/>
          <w:b/>
          <w:color w:val="2E74B5" w:themeColor="accent1" w:themeShade="BF"/>
          <w:sz w:val="24"/>
          <w:szCs w:val="24"/>
          <w:lang w:eastAsia="es-MX"/>
        </w:rPr>
        <w:t xml:space="preserve">COMISIONADO PONENTE: </w:t>
      </w:r>
    </w:p>
    <w:p w:rsidR="00327923" w:rsidRPr="007C2DA2" w:rsidRDefault="00327923" w:rsidP="00A0226E">
      <w:pPr>
        <w:spacing w:after="0" w:line="276" w:lineRule="auto"/>
        <w:jc w:val="right"/>
        <w:rPr>
          <w:rFonts w:ascii="Arial" w:eastAsia="Times New Roman" w:hAnsi="Arial" w:cs="Arial"/>
          <w:b/>
          <w:caps/>
          <w:color w:val="2E74B5" w:themeColor="accent1" w:themeShade="BF"/>
          <w:sz w:val="24"/>
          <w:szCs w:val="24"/>
          <w:lang w:eastAsia="es-MX"/>
        </w:rPr>
      </w:pPr>
      <w:r w:rsidRPr="007C2DA2">
        <w:rPr>
          <w:rFonts w:ascii="Arial" w:eastAsia="Times New Roman" w:hAnsi="Arial" w:cs="Arial"/>
          <w:b/>
          <w:color w:val="2E74B5" w:themeColor="accent1" w:themeShade="BF"/>
          <w:sz w:val="24"/>
          <w:szCs w:val="24"/>
          <w:lang w:eastAsia="es-MX"/>
        </w:rPr>
        <w:t xml:space="preserve">PAULINA SÁNCHEZ PÉREZ DEL POZO </w:t>
      </w:r>
    </w:p>
    <w:p w:rsidR="00327923" w:rsidRPr="007C2DA2" w:rsidRDefault="00327923" w:rsidP="00A0226E">
      <w:pPr>
        <w:spacing w:after="0" w:line="276" w:lineRule="auto"/>
        <w:jc w:val="right"/>
        <w:rPr>
          <w:rFonts w:ascii="Arial" w:eastAsia="Times New Roman" w:hAnsi="Arial" w:cs="Arial"/>
          <w:b/>
          <w:caps/>
          <w:color w:val="2E74B5" w:themeColor="accent1" w:themeShade="BF"/>
          <w:sz w:val="24"/>
          <w:szCs w:val="24"/>
          <w:lang w:eastAsia="es-MX"/>
        </w:rPr>
      </w:pPr>
    </w:p>
    <w:p w:rsidR="00327923" w:rsidRPr="007C2DA2" w:rsidRDefault="00327923" w:rsidP="00A0226E">
      <w:pPr>
        <w:spacing w:after="0" w:line="276" w:lineRule="auto"/>
        <w:jc w:val="right"/>
        <w:rPr>
          <w:rFonts w:ascii="Arial" w:eastAsia="Times New Roman" w:hAnsi="Arial" w:cs="Arial"/>
          <w:b/>
          <w:caps/>
          <w:color w:val="2E74B5" w:themeColor="accent1" w:themeShade="BF"/>
          <w:sz w:val="24"/>
          <w:szCs w:val="24"/>
          <w:lang w:eastAsia="es-MX"/>
        </w:rPr>
      </w:pPr>
      <w:r w:rsidRPr="007C2DA2">
        <w:rPr>
          <w:rFonts w:ascii="Arial" w:eastAsia="Times New Roman" w:hAnsi="Arial" w:cs="Arial"/>
          <w:b/>
          <w:color w:val="2E74B5" w:themeColor="accent1" w:themeShade="BF"/>
          <w:sz w:val="24"/>
          <w:szCs w:val="24"/>
          <w:lang w:eastAsia="es-MX"/>
        </w:rPr>
        <w:t>MATERIA:</w:t>
      </w:r>
    </w:p>
    <w:p w:rsidR="00327923" w:rsidRPr="007C2DA2" w:rsidRDefault="00327923" w:rsidP="00A0226E">
      <w:pPr>
        <w:spacing w:after="0" w:line="276" w:lineRule="auto"/>
        <w:jc w:val="right"/>
        <w:rPr>
          <w:rFonts w:ascii="Arial" w:eastAsia="Times New Roman" w:hAnsi="Arial" w:cs="Arial"/>
          <w:b/>
          <w:caps/>
          <w:color w:val="2E74B5" w:themeColor="accent1" w:themeShade="BF"/>
          <w:sz w:val="24"/>
          <w:szCs w:val="24"/>
          <w:lang w:eastAsia="es-MX"/>
        </w:rPr>
      </w:pPr>
      <w:r w:rsidRPr="007C2DA2">
        <w:rPr>
          <w:rFonts w:ascii="Arial" w:eastAsia="Times New Roman" w:hAnsi="Arial" w:cs="Arial"/>
          <w:b/>
          <w:color w:val="2E74B5" w:themeColor="accent1" w:themeShade="BF"/>
          <w:sz w:val="24"/>
          <w:szCs w:val="24"/>
          <w:lang w:eastAsia="es-MX"/>
        </w:rPr>
        <w:t>ACCESO A LA INFORMACIÓN PÚBLICA</w:t>
      </w:r>
    </w:p>
    <w:p w:rsidR="00327923" w:rsidRPr="007C2DA2" w:rsidRDefault="00327923" w:rsidP="00A0226E">
      <w:pPr>
        <w:spacing w:after="0" w:line="276" w:lineRule="auto"/>
        <w:jc w:val="right"/>
        <w:rPr>
          <w:rFonts w:ascii="Arial" w:eastAsia="Times New Roman" w:hAnsi="Arial" w:cs="Arial"/>
          <w:b/>
          <w:caps/>
          <w:color w:val="2E74B5" w:themeColor="accent1" w:themeShade="BF"/>
          <w:sz w:val="24"/>
          <w:szCs w:val="24"/>
          <w:lang w:eastAsia="es-MX"/>
        </w:rPr>
      </w:pPr>
    </w:p>
    <w:p w:rsidR="00327923" w:rsidRPr="007C2DA2" w:rsidRDefault="00327923" w:rsidP="00A0226E">
      <w:pPr>
        <w:spacing w:after="0" w:line="276" w:lineRule="auto"/>
        <w:jc w:val="right"/>
        <w:rPr>
          <w:rFonts w:ascii="Arial" w:eastAsia="Times New Roman" w:hAnsi="Arial" w:cs="Arial"/>
          <w:b/>
          <w:caps/>
          <w:color w:val="2E74B5" w:themeColor="accent1" w:themeShade="BF"/>
          <w:sz w:val="24"/>
          <w:szCs w:val="24"/>
          <w:lang w:eastAsia="es-MX"/>
        </w:rPr>
      </w:pPr>
      <w:r w:rsidRPr="007C2DA2">
        <w:rPr>
          <w:rFonts w:ascii="Arial" w:eastAsia="Times New Roman" w:hAnsi="Arial" w:cs="Arial"/>
          <w:b/>
          <w:caps/>
          <w:color w:val="2E74B5" w:themeColor="accent1" w:themeShade="BF"/>
          <w:sz w:val="24"/>
          <w:szCs w:val="24"/>
          <w:lang w:eastAsia="es-MX"/>
        </w:rPr>
        <w:t>SUJETO OBLIGADO:</w:t>
      </w:r>
    </w:p>
    <w:p w:rsidR="00AF2CE6" w:rsidRPr="007C2DA2" w:rsidRDefault="007D12BF" w:rsidP="00A0226E">
      <w:pPr>
        <w:spacing w:after="0" w:line="276" w:lineRule="auto"/>
        <w:jc w:val="right"/>
        <w:rPr>
          <w:rFonts w:ascii="Arial" w:eastAsia="Times New Roman" w:hAnsi="Arial" w:cs="Arial"/>
          <w:b/>
          <w:caps/>
          <w:color w:val="2E74B5" w:themeColor="accent1" w:themeShade="BF"/>
          <w:sz w:val="24"/>
          <w:szCs w:val="24"/>
          <w:lang w:eastAsia="es-MX"/>
        </w:rPr>
      </w:pPr>
      <w:r w:rsidRPr="007C2DA2">
        <w:rPr>
          <w:rFonts w:ascii="Arial" w:eastAsia="Times New Roman" w:hAnsi="Arial" w:cs="Arial"/>
          <w:b/>
          <w:color w:val="2E74B5" w:themeColor="accent1" w:themeShade="BF"/>
          <w:sz w:val="24"/>
          <w:szCs w:val="24"/>
          <w:lang w:eastAsia="es-MX"/>
        </w:rPr>
        <w:t>CONSEJO ESTATAL ELECTORAL Y DE PARTICIPACIÓN CIUDADANA DE SAN LUIS POTOSÍ.</w:t>
      </w:r>
    </w:p>
    <w:p w:rsidR="005568F8" w:rsidRPr="007C2DA2" w:rsidRDefault="005568F8" w:rsidP="00A0226E">
      <w:pPr>
        <w:spacing w:after="0" w:line="276" w:lineRule="auto"/>
        <w:jc w:val="right"/>
        <w:rPr>
          <w:rFonts w:ascii="Arial" w:eastAsia="Times New Roman" w:hAnsi="Arial" w:cs="Arial"/>
          <w:b/>
          <w:caps/>
          <w:color w:val="2E74B5" w:themeColor="accent1" w:themeShade="BF"/>
          <w:sz w:val="24"/>
          <w:szCs w:val="24"/>
          <w:lang w:eastAsia="es-MX"/>
        </w:rPr>
      </w:pPr>
    </w:p>
    <w:p w:rsidR="00327923" w:rsidRPr="007C2DA2" w:rsidRDefault="00327923" w:rsidP="00A0226E">
      <w:pPr>
        <w:spacing w:after="0" w:line="276" w:lineRule="auto"/>
        <w:jc w:val="both"/>
        <w:rPr>
          <w:rFonts w:ascii="Arial" w:eastAsia="Times New Roman" w:hAnsi="Arial" w:cs="Arial"/>
          <w:b/>
          <w:color w:val="2E74B5" w:themeColor="accent1" w:themeShade="BF"/>
          <w:sz w:val="24"/>
          <w:szCs w:val="24"/>
          <w:vertAlign w:val="subscript"/>
          <w:lang w:eastAsia="es-MX"/>
        </w:rPr>
      </w:pPr>
      <w:r w:rsidRPr="007C2DA2">
        <w:rPr>
          <w:rFonts w:ascii="Arial" w:eastAsia="Times New Roman" w:hAnsi="Arial" w:cs="Arial"/>
          <w:color w:val="2E74B5" w:themeColor="accent1" w:themeShade="BF"/>
          <w:sz w:val="24"/>
          <w:szCs w:val="24"/>
          <w:lang w:eastAsia="es-MX"/>
        </w:rPr>
        <w:tab/>
        <w:t>San Luis Potosí, San Luis Potosí. Acuerdo del Pleno de la Comisión Estatal de Garantía de Acceso a la Información Pública, correspondiente a la sesión del</w:t>
      </w:r>
      <w:r w:rsidR="005568F8" w:rsidRPr="007C2DA2">
        <w:rPr>
          <w:rFonts w:ascii="Arial" w:eastAsia="Times New Roman" w:hAnsi="Arial" w:cs="Arial"/>
          <w:color w:val="2E74B5" w:themeColor="accent1" w:themeShade="BF"/>
          <w:sz w:val="24"/>
          <w:szCs w:val="24"/>
          <w:lang w:eastAsia="es-MX"/>
        </w:rPr>
        <w:t xml:space="preserve"> </w:t>
      </w:r>
      <w:r w:rsidRPr="007C2DA2">
        <w:rPr>
          <w:rFonts w:ascii="Arial" w:eastAsia="Times New Roman" w:hAnsi="Arial" w:cs="Arial"/>
          <w:color w:val="2E74B5" w:themeColor="accent1" w:themeShade="BF"/>
          <w:sz w:val="24"/>
          <w:szCs w:val="24"/>
          <w:lang w:eastAsia="es-MX"/>
        </w:rPr>
        <w:t xml:space="preserve">10 diez de </w:t>
      </w:r>
      <w:r w:rsidR="005568F8" w:rsidRPr="007C2DA2">
        <w:rPr>
          <w:rFonts w:ascii="Arial" w:eastAsia="Times New Roman" w:hAnsi="Arial" w:cs="Arial"/>
          <w:color w:val="2E74B5" w:themeColor="accent1" w:themeShade="BF"/>
          <w:sz w:val="24"/>
          <w:szCs w:val="24"/>
          <w:lang w:eastAsia="es-MX"/>
        </w:rPr>
        <w:t>octubre de</w:t>
      </w:r>
      <w:r w:rsidRPr="007C2DA2">
        <w:rPr>
          <w:rFonts w:ascii="Arial" w:eastAsia="Times New Roman" w:hAnsi="Arial" w:cs="Arial"/>
          <w:color w:val="2E74B5" w:themeColor="accent1" w:themeShade="BF"/>
          <w:sz w:val="24"/>
          <w:szCs w:val="24"/>
          <w:lang w:eastAsia="es-MX"/>
        </w:rPr>
        <w:t xml:space="preserve"> 2018 dos mil dieciocho.</w:t>
      </w:r>
      <w:r w:rsidRPr="007C2DA2">
        <w:rPr>
          <w:rFonts w:ascii="Arial" w:eastAsia="Times New Roman" w:hAnsi="Arial" w:cs="Arial"/>
          <w:b/>
          <w:color w:val="2E74B5" w:themeColor="accent1" w:themeShade="BF"/>
          <w:sz w:val="24"/>
          <w:szCs w:val="24"/>
          <w:vertAlign w:val="subscript"/>
          <w:lang w:eastAsia="es-MX"/>
        </w:rPr>
        <w:t xml:space="preserve"> </w:t>
      </w:r>
    </w:p>
    <w:p w:rsidR="00327923" w:rsidRPr="007C2DA2" w:rsidRDefault="00327923" w:rsidP="00A0226E">
      <w:pPr>
        <w:spacing w:after="0" w:line="276" w:lineRule="auto"/>
        <w:jc w:val="both"/>
        <w:rPr>
          <w:rFonts w:ascii="Arial" w:eastAsia="Times New Roman" w:hAnsi="Arial" w:cs="Arial"/>
          <w:b/>
          <w:color w:val="2E74B5" w:themeColor="accent1" w:themeShade="BF"/>
          <w:sz w:val="24"/>
          <w:szCs w:val="24"/>
          <w:lang w:eastAsia="es-MX"/>
        </w:rPr>
      </w:pPr>
    </w:p>
    <w:p w:rsidR="00327923" w:rsidRPr="007C2DA2" w:rsidRDefault="00327923" w:rsidP="00A0226E">
      <w:pPr>
        <w:spacing w:after="0" w:line="276" w:lineRule="auto"/>
        <w:ind w:firstLine="709"/>
        <w:jc w:val="both"/>
        <w:rPr>
          <w:rFonts w:ascii="Arial" w:eastAsia="Times New Roman" w:hAnsi="Arial" w:cs="Arial"/>
          <w:color w:val="2E74B5" w:themeColor="accent1" w:themeShade="BF"/>
          <w:sz w:val="24"/>
          <w:szCs w:val="24"/>
          <w:lang w:eastAsia="es-MX"/>
        </w:rPr>
      </w:pPr>
      <w:r w:rsidRPr="007C2DA2">
        <w:rPr>
          <w:rFonts w:ascii="Arial" w:eastAsia="Times New Roman" w:hAnsi="Arial" w:cs="Arial"/>
          <w:b/>
          <w:color w:val="2E74B5" w:themeColor="accent1" w:themeShade="BF"/>
          <w:sz w:val="24"/>
          <w:szCs w:val="24"/>
          <w:lang w:eastAsia="es-MX"/>
        </w:rPr>
        <w:t>VISTOS</w:t>
      </w:r>
      <w:r w:rsidRPr="007C2DA2">
        <w:rPr>
          <w:rFonts w:ascii="Arial" w:eastAsia="Times New Roman" w:hAnsi="Arial" w:cs="Arial"/>
          <w:color w:val="2E74B5" w:themeColor="accent1" w:themeShade="BF"/>
          <w:sz w:val="24"/>
          <w:szCs w:val="24"/>
          <w:lang w:eastAsia="es-MX"/>
        </w:rPr>
        <w:t>, para resolver, los autos del recurso de revisión identificado al rubro; y</w:t>
      </w:r>
    </w:p>
    <w:p w:rsidR="00327923" w:rsidRPr="007C2DA2" w:rsidRDefault="00327923" w:rsidP="00A0226E">
      <w:pPr>
        <w:spacing w:after="0" w:line="276" w:lineRule="auto"/>
        <w:ind w:firstLine="709"/>
        <w:jc w:val="both"/>
        <w:rPr>
          <w:rFonts w:ascii="Arial" w:eastAsia="Times New Roman" w:hAnsi="Arial" w:cs="Arial"/>
          <w:color w:val="2E74B5" w:themeColor="accent1" w:themeShade="BF"/>
          <w:sz w:val="24"/>
          <w:szCs w:val="24"/>
          <w:lang w:eastAsia="es-MX"/>
        </w:rPr>
      </w:pPr>
    </w:p>
    <w:p w:rsidR="00327923" w:rsidRPr="007C2DA2" w:rsidRDefault="00327923" w:rsidP="00A0226E">
      <w:pPr>
        <w:spacing w:after="0" w:line="276" w:lineRule="auto"/>
        <w:ind w:firstLine="709"/>
        <w:jc w:val="center"/>
        <w:rPr>
          <w:rFonts w:ascii="Arial" w:eastAsia="Times New Roman" w:hAnsi="Arial" w:cs="Arial"/>
          <w:color w:val="2E74B5" w:themeColor="accent1" w:themeShade="BF"/>
          <w:sz w:val="24"/>
          <w:szCs w:val="24"/>
          <w:lang w:eastAsia="es-MX"/>
        </w:rPr>
      </w:pPr>
      <w:r w:rsidRPr="007C2DA2">
        <w:rPr>
          <w:rFonts w:ascii="Arial" w:eastAsia="Times New Roman" w:hAnsi="Arial" w:cs="Arial"/>
          <w:b/>
          <w:color w:val="2E74B5" w:themeColor="accent1" w:themeShade="BF"/>
          <w:sz w:val="24"/>
          <w:szCs w:val="24"/>
          <w:lang w:eastAsia="es-MX"/>
        </w:rPr>
        <w:t>RESULTANDO</w:t>
      </w:r>
      <w:r w:rsidRPr="007C2DA2">
        <w:rPr>
          <w:rFonts w:ascii="Arial" w:eastAsia="Times New Roman" w:hAnsi="Arial" w:cs="Arial"/>
          <w:color w:val="2E74B5" w:themeColor="accent1" w:themeShade="BF"/>
          <w:sz w:val="24"/>
          <w:szCs w:val="24"/>
          <w:lang w:eastAsia="es-MX"/>
        </w:rPr>
        <w:t>:</w:t>
      </w:r>
    </w:p>
    <w:p w:rsidR="00327923" w:rsidRPr="007C2DA2" w:rsidRDefault="00327923" w:rsidP="00A0226E">
      <w:pPr>
        <w:spacing w:after="0" w:line="276" w:lineRule="auto"/>
        <w:ind w:firstLine="709"/>
        <w:jc w:val="center"/>
        <w:rPr>
          <w:rFonts w:ascii="Arial" w:eastAsia="Times New Roman" w:hAnsi="Arial" w:cs="Arial"/>
          <w:color w:val="2E74B5" w:themeColor="accent1" w:themeShade="BF"/>
          <w:sz w:val="24"/>
          <w:szCs w:val="24"/>
          <w:lang w:eastAsia="es-MX"/>
        </w:rPr>
      </w:pPr>
    </w:p>
    <w:p w:rsidR="00327923" w:rsidRPr="007C2DA2" w:rsidRDefault="00327923" w:rsidP="00A0226E">
      <w:pPr>
        <w:spacing w:after="0" w:line="276" w:lineRule="auto"/>
        <w:ind w:firstLine="709"/>
        <w:jc w:val="both"/>
        <w:rPr>
          <w:rFonts w:ascii="Arial" w:eastAsia="Times New Roman" w:hAnsi="Arial" w:cs="Arial"/>
          <w:color w:val="2E74B5" w:themeColor="accent1" w:themeShade="BF"/>
          <w:sz w:val="24"/>
          <w:szCs w:val="24"/>
          <w:lang w:eastAsia="es-MX"/>
        </w:rPr>
      </w:pPr>
      <w:r w:rsidRPr="007C2DA2">
        <w:rPr>
          <w:rFonts w:ascii="Arial" w:eastAsia="Times New Roman" w:hAnsi="Arial" w:cs="Arial"/>
          <w:b/>
          <w:color w:val="2E74B5" w:themeColor="accent1" w:themeShade="BF"/>
          <w:sz w:val="24"/>
          <w:szCs w:val="24"/>
          <w:lang w:eastAsia="es-MX"/>
        </w:rPr>
        <w:t xml:space="preserve">PRIMERO. Solicitud de acceso a la información pública. </w:t>
      </w:r>
      <w:r w:rsidRPr="007C2DA2">
        <w:rPr>
          <w:rFonts w:ascii="Arial" w:eastAsia="Times New Roman" w:hAnsi="Arial" w:cs="Arial"/>
          <w:color w:val="2E74B5" w:themeColor="accent1" w:themeShade="BF"/>
          <w:sz w:val="24"/>
          <w:szCs w:val="24"/>
          <w:lang w:eastAsia="es-MX"/>
        </w:rPr>
        <w:t xml:space="preserve">Según consta en la Plataforma Nacional de Transparencia en el folio </w:t>
      </w:r>
      <w:r w:rsidRPr="007C2DA2">
        <w:rPr>
          <w:rFonts w:ascii="Arial" w:eastAsia="Times New Roman" w:hAnsi="Arial" w:cs="Arial"/>
          <w:b/>
          <w:color w:val="2E74B5" w:themeColor="accent1" w:themeShade="BF"/>
          <w:sz w:val="24"/>
          <w:szCs w:val="24"/>
          <w:lang w:eastAsia="es-MX"/>
        </w:rPr>
        <w:t>00521018</w:t>
      </w:r>
      <w:r w:rsidRPr="007C2DA2">
        <w:rPr>
          <w:rFonts w:ascii="Arial" w:eastAsia="Times New Roman" w:hAnsi="Arial" w:cs="Arial"/>
          <w:color w:val="2E74B5" w:themeColor="accent1" w:themeShade="BF"/>
          <w:sz w:val="24"/>
          <w:szCs w:val="24"/>
          <w:lang w:eastAsia="es-MX"/>
        </w:rPr>
        <w:t xml:space="preserve"> cero, cero, quinientos veintiún mil dieciocho, el 17 diecisiete de julio de 2018 dos mil dieciocho</w:t>
      </w:r>
      <w:r w:rsidRPr="007C2DA2">
        <w:rPr>
          <w:rFonts w:ascii="Arial" w:eastAsia="Times New Roman" w:hAnsi="Arial" w:cs="Arial"/>
          <w:b/>
          <w:color w:val="2E74B5" w:themeColor="accent1" w:themeShade="BF"/>
          <w:sz w:val="24"/>
          <w:szCs w:val="24"/>
          <w:lang w:eastAsia="es-MX"/>
        </w:rPr>
        <w:t xml:space="preserve"> </w:t>
      </w:r>
      <w:r w:rsidR="00AF2CE6" w:rsidRPr="007C2DA2">
        <w:rPr>
          <w:rFonts w:ascii="Arial" w:eastAsia="Times New Roman" w:hAnsi="Arial" w:cs="Arial"/>
          <w:b/>
          <w:color w:val="2E74B5" w:themeColor="accent1" w:themeShade="BF"/>
          <w:sz w:val="24"/>
          <w:szCs w:val="24"/>
          <w:lang w:eastAsia="es-MX"/>
        </w:rPr>
        <w:t xml:space="preserve">el </w:t>
      </w:r>
      <w:r w:rsidR="007D12BF" w:rsidRPr="007C2DA2">
        <w:rPr>
          <w:rFonts w:ascii="Arial" w:eastAsia="Times New Roman" w:hAnsi="Arial" w:cs="Arial"/>
          <w:b/>
          <w:color w:val="2E74B5" w:themeColor="accent1" w:themeShade="BF"/>
          <w:sz w:val="24"/>
          <w:szCs w:val="24"/>
          <w:lang w:eastAsia="es-MX"/>
        </w:rPr>
        <w:t>CONSEJO ESTATAL ELECTORAL Y DE PARTICIPACIÓN CIUDADANA DE SAN LUIS POTOSÍ</w:t>
      </w:r>
      <w:r w:rsidR="007D12BF" w:rsidRPr="007C2DA2">
        <w:rPr>
          <w:rFonts w:ascii="Arial" w:eastAsia="Times New Roman" w:hAnsi="Arial" w:cs="Arial"/>
          <w:color w:val="2E74B5" w:themeColor="accent1" w:themeShade="BF"/>
          <w:sz w:val="24"/>
          <w:szCs w:val="24"/>
          <w:lang w:eastAsia="es-MX"/>
        </w:rPr>
        <w:t xml:space="preserve"> </w:t>
      </w:r>
      <w:r w:rsidRPr="007C2DA2">
        <w:rPr>
          <w:rFonts w:ascii="Arial" w:eastAsia="Times New Roman" w:hAnsi="Arial" w:cs="Arial"/>
          <w:color w:val="2E74B5" w:themeColor="accent1" w:themeShade="BF"/>
          <w:sz w:val="24"/>
          <w:szCs w:val="24"/>
          <w:lang w:eastAsia="es-MX"/>
        </w:rPr>
        <w:t>recibió una solicitud de acceso a la información pública en donde se le pidió la información siguiente</w:t>
      </w:r>
      <w:r w:rsidRPr="007C2DA2">
        <w:rPr>
          <w:rFonts w:ascii="Arial" w:eastAsia="Times New Roman" w:hAnsi="Arial" w:cs="Arial"/>
          <w:color w:val="2E74B5" w:themeColor="accent1" w:themeShade="BF"/>
          <w:sz w:val="24"/>
          <w:szCs w:val="24"/>
          <w:vertAlign w:val="superscript"/>
          <w:lang w:eastAsia="es-MX"/>
        </w:rPr>
        <w:footnoteReference w:id="1"/>
      </w:r>
      <w:r w:rsidRPr="007C2DA2">
        <w:rPr>
          <w:rFonts w:ascii="Arial" w:eastAsia="Times New Roman" w:hAnsi="Arial" w:cs="Arial"/>
          <w:color w:val="2E74B5" w:themeColor="accent1" w:themeShade="BF"/>
          <w:sz w:val="24"/>
          <w:szCs w:val="24"/>
          <w:lang w:eastAsia="es-MX"/>
        </w:rPr>
        <w:t xml:space="preserve">: </w:t>
      </w:r>
    </w:p>
    <w:p w:rsidR="00AF2CE6" w:rsidRPr="007C2DA2" w:rsidRDefault="00AF2CE6" w:rsidP="00A0226E">
      <w:pPr>
        <w:spacing w:after="0" w:line="276" w:lineRule="auto"/>
        <w:ind w:firstLine="709"/>
        <w:jc w:val="both"/>
        <w:rPr>
          <w:rFonts w:ascii="Arial" w:eastAsia="Times New Roman" w:hAnsi="Arial" w:cs="Arial"/>
          <w:color w:val="2E74B5" w:themeColor="accent1" w:themeShade="BF"/>
          <w:sz w:val="24"/>
          <w:szCs w:val="24"/>
          <w:lang w:eastAsia="es-MX"/>
        </w:rPr>
      </w:pPr>
    </w:p>
    <w:p w:rsidR="00327923" w:rsidRPr="007C2DA2" w:rsidRDefault="00AF2CE6" w:rsidP="00A0226E">
      <w:pPr>
        <w:spacing w:after="0" w:line="276" w:lineRule="auto"/>
        <w:jc w:val="both"/>
        <w:rPr>
          <w:rFonts w:ascii="Arial" w:eastAsia="Times New Roman" w:hAnsi="Arial" w:cs="Arial"/>
          <w:color w:val="2E74B5" w:themeColor="accent1" w:themeShade="BF"/>
          <w:sz w:val="24"/>
          <w:szCs w:val="24"/>
          <w:lang w:eastAsia="es-MX"/>
        </w:rPr>
      </w:pPr>
      <w:r w:rsidRPr="007C2DA2">
        <w:rPr>
          <w:rFonts w:ascii="Arial" w:eastAsia="Times New Roman" w:hAnsi="Arial" w:cs="Arial"/>
          <w:noProof/>
          <w:color w:val="2E74B5" w:themeColor="accent1" w:themeShade="BF"/>
          <w:sz w:val="24"/>
          <w:szCs w:val="24"/>
          <w:lang w:eastAsia="es-MX"/>
        </w:rPr>
        <w:drawing>
          <wp:inline distT="0" distB="0" distL="0" distR="0" wp14:anchorId="170240B3" wp14:editId="4C78DD0E">
            <wp:extent cx="5602605" cy="1746885"/>
            <wp:effectExtent l="0" t="0" r="0" b="5715"/>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602605" cy="1746885"/>
                    </a:xfrm>
                    <a:prstGeom prst="rect">
                      <a:avLst/>
                    </a:prstGeom>
                    <a:noFill/>
                    <a:ln>
                      <a:noFill/>
                    </a:ln>
                  </pic:spPr>
                </pic:pic>
              </a:graphicData>
            </a:graphic>
          </wp:inline>
        </w:drawing>
      </w:r>
    </w:p>
    <w:p w:rsidR="00327923" w:rsidRPr="007C2DA2" w:rsidRDefault="00327923" w:rsidP="00A0226E">
      <w:pPr>
        <w:spacing w:after="0" w:line="276" w:lineRule="auto"/>
        <w:jc w:val="center"/>
        <w:rPr>
          <w:rFonts w:ascii="Arial" w:eastAsia="Times New Roman" w:hAnsi="Arial" w:cs="Arial"/>
          <w:color w:val="2E74B5" w:themeColor="accent1" w:themeShade="BF"/>
          <w:sz w:val="24"/>
          <w:szCs w:val="24"/>
          <w:lang w:eastAsia="es-MX"/>
        </w:rPr>
      </w:pPr>
    </w:p>
    <w:p w:rsidR="00327923" w:rsidRPr="007C2DA2" w:rsidRDefault="00327923" w:rsidP="00A0226E">
      <w:pPr>
        <w:tabs>
          <w:tab w:val="left" w:pos="4678"/>
        </w:tabs>
        <w:spacing w:after="0" w:line="276" w:lineRule="auto"/>
        <w:ind w:firstLine="709"/>
        <w:jc w:val="both"/>
        <w:rPr>
          <w:rFonts w:ascii="Arial" w:eastAsia="Times New Roman" w:hAnsi="Arial" w:cs="Arial"/>
          <w:i/>
          <w:color w:val="2E74B5" w:themeColor="accent1" w:themeShade="BF"/>
          <w:sz w:val="20"/>
          <w:szCs w:val="20"/>
          <w:lang w:eastAsia="es-MX"/>
        </w:rPr>
      </w:pPr>
      <w:r w:rsidRPr="007C2DA2">
        <w:rPr>
          <w:rFonts w:ascii="Arial" w:eastAsia="Times New Roman" w:hAnsi="Arial" w:cs="Arial"/>
          <w:i/>
          <w:color w:val="2E74B5" w:themeColor="accent1" w:themeShade="BF"/>
          <w:sz w:val="20"/>
          <w:szCs w:val="20"/>
          <w:lang w:eastAsia="es-MX"/>
        </w:rPr>
        <w:t>“…</w:t>
      </w:r>
      <w:r w:rsidR="00AF2CE6" w:rsidRPr="007C2DA2">
        <w:rPr>
          <w:rFonts w:ascii="Arial" w:eastAsia="Times New Roman" w:hAnsi="Arial" w:cs="Arial"/>
          <w:i/>
          <w:color w:val="2E74B5" w:themeColor="accent1" w:themeShade="BF"/>
          <w:sz w:val="20"/>
          <w:szCs w:val="20"/>
          <w:lang w:eastAsia="es-MX"/>
        </w:rPr>
        <w:t>quiero saber que colonias integran los distritos electorales locales 2,5,6,7, y 8</w:t>
      </w:r>
      <w:r w:rsidRPr="007C2DA2">
        <w:rPr>
          <w:rFonts w:ascii="Arial" w:eastAsia="Times New Roman" w:hAnsi="Arial" w:cs="Arial"/>
          <w:i/>
          <w:color w:val="2E74B5" w:themeColor="accent1" w:themeShade="BF"/>
          <w:sz w:val="20"/>
          <w:szCs w:val="20"/>
          <w:lang w:eastAsia="es-MX"/>
        </w:rPr>
        <w:t xml:space="preserve">…” </w:t>
      </w:r>
      <w:r w:rsidRPr="007C2DA2">
        <w:rPr>
          <w:rFonts w:ascii="Arial" w:hAnsi="Arial" w:cs="Arial"/>
          <w:i/>
          <w:color w:val="2E74B5" w:themeColor="accent1" w:themeShade="BF"/>
          <w:sz w:val="20"/>
          <w:szCs w:val="20"/>
        </w:rPr>
        <w:t>(sic).</w:t>
      </w:r>
    </w:p>
    <w:p w:rsidR="00327923" w:rsidRPr="007C2DA2" w:rsidRDefault="00327923" w:rsidP="00A0226E">
      <w:pPr>
        <w:spacing w:after="0" w:line="276" w:lineRule="auto"/>
        <w:ind w:firstLine="709"/>
        <w:jc w:val="both"/>
        <w:rPr>
          <w:rFonts w:ascii="Arial" w:eastAsia="Times New Roman" w:hAnsi="Arial" w:cs="Arial"/>
          <w:i/>
          <w:color w:val="2E74B5" w:themeColor="accent1" w:themeShade="BF"/>
          <w:sz w:val="20"/>
          <w:szCs w:val="20"/>
          <w:lang w:eastAsia="es-MX"/>
        </w:rPr>
      </w:pPr>
    </w:p>
    <w:p w:rsidR="00327923" w:rsidRDefault="00327923" w:rsidP="00A0226E">
      <w:pPr>
        <w:spacing w:after="0" w:line="276" w:lineRule="auto"/>
        <w:ind w:firstLine="709"/>
        <w:jc w:val="both"/>
        <w:rPr>
          <w:rFonts w:ascii="Arial" w:eastAsia="Times New Roman" w:hAnsi="Arial" w:cs="Arial"/>
          <w:color w:val="2E74B5" w:themeColor="accent1" w:themeShade="BF"/>
          <w:sz w:val="24"/>
          <w:szCs w:val="24"/>
          <w:lang w:eastAsia="es-MX"/>
        </w:rPr>
      </w:pPr>
      <w:r w:rsidRPr="007C2DA2">
        <w:rPr>
          <w:rFonts w:ascii="Arial" w:eastAsia="Times New Roman" w:hAnsi="Arial" w:cs="Arial"/>
          <w:b/>
          <w:color w:val="2E74B5" w:themeColor="accent1" w:themeShade="BF"/>
          <w:sz w:val="24"/>
          <w:szCs w:val="24"/>
          <w:lang w:eastAsia="es-MX"/>
        </w:rPr>
        <w:t xml:space="preserve">SEGUNDO. Respuesta a la solicitud de acceso a la información pública. </w:t>
      </w:r>
      <w:r w:rsidRPr="007C2DA2">
        <w:rPr>
          <w:rFonts w:ascii="Arial" w:eastAsia="Times New Roman" w:hAnsi="Arial" w:cs="Arial"/>
          <w:color w:val="2E74B5" w:themeColor="accent1" w:themeShade="BF"/>
          <w:sz w:val="24"/>
          <w:szCs w:val="24"/>
          <w:lang w:eastAsia="es-MX"/>
        </w:rPr>
        <w:t xml:space="preserve">El </w:t>
      </w:r>
      <w:r w:rsidR="00AF2CE6" w:rsidRPr="007C2DA2">
        <w:rPr>
          <w:rFonts w:ascii="Arial" w:eastAsia="Times New Roman" w:hAnsi="Arial" w:cs="Arial"/>
          <w:color w:val="2E74B5" w:themeColor="accent1" w:themeShade="BF"/>
          <w:sz w:val="24"/>
          <w:szCs w:val="24"/>
          <w:lang w:eastAsia="es-MX"/>
        </w:rPr>
        <w:t xml:space="preserve">19 diecinueve de julio </w:t>
      </w:r>
      <w:r w:rsidRPr="007C2DA2">
        <w:rPr>
          <w:rFonts w:ascii="Arial" w:eastAsia="Times New Roman" w:hAnsi="Arial" w:cs="Arial"/>
          <w:color w:val="2E74B5" w:themeColor="accent1" w:themeShade="BF"/>
          <w:sz w:val="24"/>
          <w:szCs w:val="24"/>
          <w:lang w:eastAsia="es-MX"/>
        </w:rPr>
        <w:t>de 2018 dos mil dieciocho el sujeto obligado</w:t>
      </w:r>
      <w:r w:rsidRPr="007C2DA2">
        <w:rPr>
          <w:rFonts w:ascii="Arial" w:eastAsia="Times New Roman" w:hAnsi="Arial" w:cs="Arial"/>
          <w:b/>
          <w:color w:val="2E74B5" w:themeColor="accent1" w:themeShade="BF"/>
          <w:sz w:val="24"/>
          <w:szCs w:val="24"/>
          <w:lang w:eastAsia="es-MX"/>
        </w:rPr>
        <w:t xml:space="preserve"> </w:t>
      </w:r>
      <w:r w:rsidRPr="007C2DA2">
        <w:rPr>
          <w:rFonts w:ascii="Arial" w:eastAsia="Times New Roman" w:hAnsi="Arial" w:cs="Arial"/>
          <w:color w:val="2E74B5" w:themeColor="accent1" w:themeShade="BF"/>
          <w:sz w:val="24"/>
          <w:szCs w:val="24"/>
          <w:lang w:eastAsia="es-MX"/>
        </w:rPr>
        <w:t xml:space="preserve">notificó al </w:t>
      </w:r>
      <w:r w:rsidRPr="007C2DA2">
        <w:rPr>
          <w:rFonts w:ascii="Arial" w:eastAsia="Times New Roman" w:hAnsi="Arial" w:cs="Arial"/>
          <w:color w:val="2E74B5" w:themeColor="accent1" w:themeShade="BF"/>
          <w:sz w:val="24"/>
          <w:szCs w:val="24"/>
          <w:lang w:eastAsia="es-MX"/>
        </w:rPr>
        <w:lastRenderedPageBreak/>
        <w:t>solicitante, por el mismo medio electrónico, la respuesta a la solicitud de acceso a la información pública, misma que es como sigue</w:t>
      </w:r>
      <w:r w:rsidRPr="007C2DA2">
        <w:rPr>
          <w:rFonts w:ascii="Arial" w:eastAsia="Times New Roman" w:hAnsi="Arial" w:cs="Arial"/>
          <w:color w:val="2E74B5" w:themeColor="accent1" w:themeShade="BF"/>
          <w:sz w:val="24"/>
          <w:szCs w:val="24"/>
          <w:vertAlign w:val="superscript"/>
          <w:lang w:eastAsia="es-MX"/>
        </w:rPr>
        <w:footnoteReference w:id="2"/>
      </w:r>
      <w:r w:rsidRPr="007C2DA2">
        <w:rPr>
          <w:rFonts w:ascii="Arial" w:eastAsia="Times New Roman" w:hAnsi="Arial" w:cs="Arial"/>
          <w:color w:val="2E74B5" w:themeColor="accent1" w:themeShade="BF"/>
          <w:sz w:val="24"/>
          <w:szCs w:val="24"/>
          <w:lang w:eastAsia="es-MX"/>
        </w:rPr>
        <w:t>:</w:t>
      </w:r>
    </w:p>
    <w:p w:rsidR="007D12BF" w:rsidRPr="007C2DA2" w:rsidRDefault="007D12BF" w:rsidP="00A0226E">
      <w:pPr>
        <w:spacing w:after="0" w:line="276" w:lineRule="auto"/>
        <w:ind w:firstLine="709"/>
        <w:jc w:val="both"/>
        <w:rPr>
          <w:rFonts w:ascii="Arial" w:eastAsia="Times New Roman" w:hAnsi="Arial" w:cs="Arial"/>
          <w:color w:val="2E74B5" w:themeColor="accent1" w:themeShade="BF"/>
          <w:sz w:val="24"/>
          <w:szCs w:val="24"/>
          <w:lang w:eastAsia="es-MX"/>
        </w:rPr>
      </w:pPr>
    </w:p>
    <w:p w:rsidR="00AF2CE6" w:rsidRPr="007C2DA2" w:rsidRDefault="00AF2CE6" w:rsidP="00A0226E">
      <w:pPr>
        <w:spacing w:after="0" w:line="276" w:lineRule="auto"/>
        <w:jc w:val="both"/>
        <w:rPr>
          <w:rFonts w:ascii="Arial" w:eastAsia="Times New Roman" w:hAnsi="Arial" w:cs="Arial"/>
          <w:color w:val="2E74B5" w:themeColor="accent1" w:themeShade="BF"/>
          <w:sz w:val="24"/>
          <w:szCs w:val="24"/>
          <w:lang w:eastAsia="es-MX"/>
        </w:rPr>
      </w:pPr>
      <w:r w:rsidRPr="007C2DA2">
        <w:rPr>
          <w:rFonts w:ascii="Arial" w:eastAsia="Times New Roman" w:hAnsi="Arial" w:cs="Arial"/>
          <w:noProof/>
          <w:color w:val="2E74B5" w:themeColor="accent1" w:themeShade="BF"/>
          <w:sz w:val="24"/>
          <w:szCs w:val="24"/>
          <w:lang w:eastAsia="es-MX"/>
        </w:rPr>
        <w:drawing>
          <wp:inline distT="0" distB="0" distL="0" distR="0" wp14:anchorId="53C54D9B" wp14:editId="533F263F">
            <wp:extent cx="5608955" cy="1617345"/>
            <wp:effectExtent l="0" t="0" r="0" b="1905"/>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608955" cy="1617345"/>
                    </a:xfrm>
                    <a:prstGeom prst="rect">
                      <a:avLst/>
                    </a:prstGeom>
                    <a:noFill/>
                    <a:ln>
                      <a:noFill/>
                    </a:ln>
                  </pic:spPr>
                </pic:pic>
              </a:graphicData>
            </a:graphic>
          </wp:inline>
        </w:drawing>
      </w:r>
    </w:p>
    <w:p w:rsidR="00327923" w:rsidRPr="007C2DA2" w:rsidRDefault="00327923" w:rsidP="00A0226E">
      <w:pPr>
        <w:spacing w:after="0" w:line="276" w:lineRule="auto"/>
        <w:jc w:val="both"/>
        <w:rPr>
          <w:rFonts w:ascii="Arial" w:eastAsia="Times New Roman" w:hAnsi="Arial" w:cs="Arial"/>
          <w:color w:val="2E74B5" w:themeColor="accent1" w:themeShade="BF"/>
          <w:sz w:val="24"/>
          <w:szCs w:val="24"/>
          <w:lang w:eastAsia="es-MX"/>
        </w:rPr>
      </w:pPr>
    </w:p>
    <w:p w:rsidR="00327923" w:rsidRPr="007C2DA2" w:rsidRDefault="00327923" w:rsidP="00A0226E">
      <w:pPr>
        <w:spacing w:after="0" w:line="276" w:lineRule="auto"/>
        <w:ind w:firstLine="709"/>
        <w:jc w:val="both"/>
        <w:rPr>
          <w:rFonts w:ascii="Arial" w:eastAsia="Times New Roman" w:hAnsi="Arial" w:cs="Arial"/>
          <w:color w:val="2E74B5" w:themeColor="accent1" w:themeShade="BF"/>
          <w:sz w:val="24"/>
          <w:szCs w:val="24"/>
          <w:lang w:eastAsia="es-MX"/>
        </w:rPr>
      </w:pPr>
      <w:r w:rsidRPr="007C2DA2">
        <w:rPr>
          <w:rFonts w:ascii="Arial" w:eastAsia="Times New Roman" w:hAnsi="Arial" w:cs="Arial"/>
          <w:b/>
          <w:color w:val="2E74B5" w:themeColor="accent1" w:themeShade="BF"/>
          <w:sz w:val="24"/>
          <w:szCs w:val="24"/>
          <w:lang w:eastAsia="es-MX"/>
        </w:rPr>
        <w:t xml:space="preserve">TERCERO. Interposición del recurso. </w:t>
      </w:r>
      <w:r w:rsidRPr="007C2DA2">
        <w:rPr>
          <w:rFonts w:ascii="Arial" w:eastAsia="Times New Roman" w:hAnsi="Arial" w:cs="Arial"/>
          <w:color w:val="2E74B5" w:themeColor="accent1" w:themeShade="BF"/>
          <w:sz w:val="24"/>
          <w:szCs w:val="24"/>
          <w:lang w:eastAsia="es-MX"/>
        </w:rPr>
        <w:t xml:space="preserve">El </w:t>
      </w:r>
      <w:r w:rsidR="00B305C5" w:rsidRPr="007C2DA2">
        <w:rPr>
          <w:rFonts w:ascii="Arial" w:eastAsia="Times New Roman" w:hAnsi="Arial" w:cs="Arial"/>
          <w:color w:val="2E74B5" w:themeColor="accent1" w:themeShade="BF"/>
          <w:sz w:val="24"/>
          <w:szCs w:val="24"/>
          <w:lang w:eastAsia="es-MX"/>
        </w:rPr>
        <w:t xml:space="preserve">20 veinte de julio </w:t>
      </w:r>
      <w:r w:rsidRPr="007C2DA2">
        <w:rPr>
          <w:rFonts w:ascii="Arial" w:eastAsia="Times New Roman" w:hAnsi="Arial" w:cs="Arial"/>
          <w:color w:val="2E74B5" w:themeColor="accent1" w:themeShade="BF"/>
          <w:sz w:val="24"/>
          <w:szCs w:val="24"/>
          <w:lang w:eastAsia="es-MX"/>
        </w:rPr>
        <w:t>de 2018 dos mil dieciocho, mediante registro RR000</w:t>
      </w:r>
      <w:r w:rsidR="00B305C5" w:rsidRPr="007C2DA2">
        <w:rPr>
          <w:rFonts w:ascii="Arial" w:eastAsia="Times New Roman" w:hAnsi="Arial" w:cs="Arial"/>
          <w:color w:val="2E74B5" w:themeColor="accent1" w:themeShade="BF"/>
          <w:sz w:val="24"/>
          <w:szCs w:val="24"/>
          <w:lang w:eastAsia="es-MX"/>
        </w:rPr>
        <w:t>28</w:t>
      </w:r>
      <w:r w:rsidRPr="007C2DA2">
        <w:rPr>
          <w:rFonts w:ascii="Arial" w:eastAsia="Times New Roman" w:hAnsi="Arial" w:cs="Arial"/>
          <w:color w:val="2E74B5" w:themeColor="accent1" w:themeShade="BF"/>
          <w:sz w:val="24"/>
          <w:szCs w:val="24"/>
          <w:lang w:eastAsia="es-MX"/>
        </w:rPr>
        <w:t xml:space="preserve">218 en la Plataforma Nacional de Transparencia, el solicitante de la información interpuso recurso de revisión en contra de la respuesta mencionada en el punto anterior, mismo que </w:t>
      </w:r>
      <w:r w:rsidR="007D12BF">
        <w:rPr>
          <w:rFonts w:ascii="Arial" w:eastAsia="Times New Roman" w:hAnsi="Arial" w:cs="Arial"/>
          <w:color w:val="2E74B5" w:themeColor="accent1" w:themeShade="BF"/>
          <w:sz w:val="24"/>
          <w:szCs w:val="24"/>
          <w:lang w:eastAsia="es-MX"/>
        </w:rPr>
        <w:t xml:space="preserve">ese día </w:t>
      </w:r>
      <w:r w:rsidRPr="007C2DA2">
        <w:rPr>
          <w:rFonts w:ascii="Arial" w:eastAsia="Times New Roman" w:hAnsi="Arial" w:cs="Arial"/>
          <w:color w:val="2E74B5" w:themeColor="accent1" w:themeShade="BF"/>
          <w:sz w:val="24"/>
          <w:szCs w:val="24"/>
          <w:lang w:eastAsia="es-MX"/>
        </w:rPr>
        <w:t xml:space="preserve">quedó presentado ante la Oficialía de Partes de esta Comisión Estatal de Garantía de Acceso a la Información Pública. </w:t>
      </w:r>
    </w:p>
    <w:p w:rsidR="00327923" w:rsidRPr="007C2DA2" w:rsidRDefault="00327923" w:rsidP="00A0226E">
      <w:pPr>
        <w:spacing w:after="0" w:line="276" w:lineRule="auto"/>
        <w:ind w:firstLine="709"/>
        <w:jc w:val="both"/>
        <w:rPr>
          <w:rFonts w:ascii="Arial" w:eastAsia="Times New Roman" w:hAnsi="Arial" w:cs="Arial"/>
          <w:color w:val="2E74B5" w:themeColor="accent1" w:themeShade="BF"/>
          <w:sz w:val="24"/>
          <w:szCs w:val="24"/>
          <w:lang w:eastAsia="es-MX"/>
        </w:rPr>
      </w:pPr>
    </w:p>
    <w:p w:rsidR="00327923" w:rsidRPr="007C2DA2" w:rsidRDefault="00327923" w:rsidP="00A0226E">
      <w:pPr>
        <w:spacing w:after="0" w:line="276" w:lineRule="auto"/>
        <w:ind w:firstLine="709"/>
        <w:jc w:val="both"/>
        <w:rPr>
          <w:rFonts w:ascii="Arial" w:eastAsia="Times New Roman" w:hAnsi="Arial" w:cs="Arial"/>
          <w:color w:val="2E74B5" w:themeColor="accent1" w:themeShade="BF"/>
          <w:sz w:val="24"/>
          <w:szCs w:val="24"/>
          <w:lang w:eastAsia="es-MX"/>
        </w:rPr>
      </w:pPr>
      <w:r w:rsidRPr="007C2DA2">
        <w:rPr>
          <w:rFonts w:ascii="Arial" w:eastAsia="Times New Roman" w:hAnsi="Arial" w:cs="Arial"/>
          <w:b/>
          <w:color w:val="2E74B5" w:themeColor="accent1" w:themeShade="BF"/>
          <w:sz w:val="24"/>
          <w:szCs w:val="24"/>
          <w:lang w:eastAsia="es-MX"/>
        </w:rPr>
        <w:t xml:space="preserve">CUARTO. Trámite del recurso de revisión ante esta Comisión Estatal de Garantía de Acceso a la Información Pública. </w:t>
      </w:r>
      <w:r w:rsidRPr="007C2DA2">
        <w:rPr>
          <w:rFonts w:ascii="Arial" w:eastAsia="Times New Roman" w:hAnsi="Arial" w:cs="Arial"/>
          <w:color w:val="2E74B5" w:themeColor="accent1" w:themeShade="BF"/>
          <w:sz w:val="24"/>
          <w:szCs w:val="24"/>
          <w:lang w:eastAsia="es-MX"/>
        </w:rPr>
        <w:t xml:space="preserve">Mediante auto del </w:t>
      </w:r>
      <w:r w:rsidR="00B305C5" w:rsidRPr="007C2DA2">
        <w:rPr>
          <w:rFonts w:ascii="Arial" w:eastAsia="Times New Roman" w:hAnsi="Arial" w:cs="Arial"/>
          <w:color w:val="2E74B5" w:themeColor="accent1" w:themeShade="BF"/>
          <w:sz w:val="24"/>
          <w:szCs w:val="24"/>
          <w:lang w:eastAsia="es-MX"/>
        </w:rPr>
        <w:t xml:space="preserve">07 siete de agosto </w:t>
      </w:r>
      <w:r w:rsidRPr="007C2DA2">
        <w:rPr>
          <w:rFonts w:ascii="Arial" w:eastAsia="Times New Roman" w:hAnsi="Arial" w:cs="Arial"/>
          <w:color w:val="2E74B5" w:themeColor="accent1" w:themeShade="BF"/>
          <w:sz w:val="24"/>
          <w:szCs w:val="24"/>
          <w:lang w:eastAsia="es-MX"/>
        </w:rPr>
        <w:t>de 2018 dos mil dieciocho, la presidencia de esta Comisión de Transparencia tuvo por recibido el recurso de revisión, por lo que, por razón de turno, tocó conocer a la ponencia de la Licenciada Paulina Sánchez Pérez del Pozo por lo que se le turnó dicho expediente para que procediera, previo su análisis, a su admisión o desechamiento según fuera el caso.</w:t>
      </w:r>
    </w:p>
    <w:p w:rsidR="00327923" w:rsidRPr="007C2DA2" w:rsidRDefault="00327923" w:rsidP="00A0226E">
      <w:pPr>
        <w:spacing w:after="0" w:line="276" w:lineRule="auto"/>
        <w:ind w:firstLine="709"/>
        <w:jc w:val="both"/>
        <w:rPr>
          <w:rFonts w:ascii="Arial" w:eastAsia="Times New Roman" w:hAnsi="Arial" w:cs="Arial"/>
          <w:color w:val="2E74B5" w:themeColor="accent1" w:themeShade="BF"/>
          <w:sz w:val="24"/>
          <w:szCs w:val="24"/>
          <w:lang w:eastAsia="es-MX"/>
        </w:rPr>
      </w:pPr>
    </w:p>
    <w:p w:rsidR="00327923" w:rsidRPr="007C2DA2" w:rsidRDefault="00327923" w:rsidP="00A0226E">
      <w:pPr>
        <w:spacing w:after="0" w:line="276" w:lineRule="auto"/>
        <w:ind w:firstLine="709"/>
        <w:jc w:val="both"/>
        <w:rPr>
          <w:rFonts w:ascii="Arial" w:eastAsia="Times New Roman" w:hAnsi="Arial" w:cs="Arial"/>
          <w:color w:val="2E74B5" w:themeColor="accent1" w:themeShade="BF"/>
          <w:sz w:val="24"/>
          <w:szCs w:val="24"/>
          <w:lang w:eastAsia="es-MX"/>
        </w:rPr>
      </w:pPr>
      <w:r w:rsidRPr="007C2DA2">
        <w:rPr>
          <w:rFonts w:ascii="Arial" w:eastAsia="Times New Roman" w:hAnsi="Arial" w:cs="Arial"/>
          <w:b/>
          <w:color w:val="2E74B5" w:themeColor="accent1" w:themeShade="BF"/>
          <w:sz w:val="24"/>
          <w:szCs w:val="24"/>
          <w:lang w:eastAsia="es-MX"/>
        </w:rPr>
        <w:t xml:space="preserve">QUINTO. Auto de admisión y trámite. </w:t>
      </w:r>
      <w:r w:rsidRPr="007C2DA2">
        <w:rPr>
          <w:rFonts w:ascii="Arial" w:eastAsia="Times New Roman" w:hAnsi="Arial" w:cs="Arial"/>
          <w:color w:val="2E74B5" w:themeColor="accent1" w:themeShade="BF"/>
          <w:sz w:val="24"/>
          <w:szCs w:val="24"/>
          <w:lang w:eastAsia="es-MX"/>
        </w:rPr>
        <w:t>Por proveído del</w:t>
      </w:r>
      <w:r w:rsidR="00B305C5" w:rsidRPr="007C2DA2">
        <w:rPr>
          <w:rFonts w:ascii="Arial" w:eastAsia="Times New Roman" w:hAnsi="Arial" w:cs="Arial"/>
          <w:color w:val="2E74B5" w:themeColor="accent1" w:themeShade="BF"/>
          <w:sz w:val="24"/>
          <w:szCs w:val="24"/>
          <w:lang w:eastAsia="es-MX"/>
        </w:rPr>
        <w:t xml:space="preserve"> 09 nueve de agosto</w:t>
      </w:r>
      <w:r w:rsidRPr="007C2DA2">
        <w:rPr>
          <w:rFonts w:ascii="Arial" w:eastAsia="Times New Roman" w:hAnsi="Arial" w:cs="Arial"/>
          <w:color w:val="2E74B5" w:themeColor="accent1" w:themeShade="BF"/>
          <w:sz w:val="24"/>
          <w:szCs w:val="24"/>
          <w:lang w:eastAsia="es-MX"/>
        </w:rPr>
        <w:t xml:space="preserve"> de 2018 dos mil dieciocho la Comisionado Ponente:</w:t>
      </w:r>
    </w:p>
    <w:p w:rsidR="00327923" w:rsidRPr="007C2DA2" w:rsidRDefault="00327923" w:rsidP="00A0226E">
      <w:pPr>
        <w:spacing w:after="0" w:line="276" w:lineRule="auto"/>
        <w:ind w:firstLine="709"/>
        <w:jc w:val="both"/>
        <w:rPr>
          <w:rFonts w:ascii="Arial" w:eastAsia="Times New Roman" w:hAnsi="Arial" w:cs="Arial"/>
          <w:color w:val="2E74B5" w:themeColor="accent1" w:themeShade="BF"/>
          <w:sz w:val="24"/>
          <w:szCs w:val="24"/>
          <w:lang w:eastAsia="es-MX"/>
        </w:rPr>
      </w:pPr>
    </w:p>
    <w:p w:rsidR="00327923" w:rsidRPr="007C2DA2" w:rsidRDefault="00327923" w:rsidP="00A0226E">
      <w:pPr>
        <w:numPr>
          <w:ilvl w:val="0"/>
          <w:numId w:val="2"/>
        </w:numPr>
        <w:spacing w:after="0" w:line="276" w:lineRule="auto"/>
        <w:jc w:val="both"/>
        <w:rPr>
          <w:rFonts w:ascii="Arial" w:eastAsia="Times New Roman" w:hAnsi="Arial" w:cs="Arial"/>
          <w:color w:val="2E74B5" w:themeColor="accent1" w:themeShade="BF"/>
          <w:sz w:val="24"/>
          <w:szCs w:val="24"/>
          <w:lang w:eastAsia="es-MX"/>
        </w:rPr>
      </w:pPr>
      <w:r w:rsidRPr="007C2DA2">
        <w:rPr>
          <w:rFonts w:ascii="Arial" w:eastAsia="Times New Roman" w:hAnsi="Arial" w:cs="Arial"/>
          <w:color w:val="2E74B5" w:themeColor="accent1" w:themeShade="BF"/>
          <w:sz w:val="24"/>
          <w:szCs w:val="24"/>
          <w:lang w:eastAsia="es-MX"/>
        </w:rPr>
        <w:t>Registró en el Libro de Gobierno el</w:t>
      </w:r>
      <w:r w:rsidR="00B305C5" w:rsidRPr="007C2DA2">
        <w:rPr>
          <w:rFonts w:ascii="Arial" w:eastAsia="Times New Roman" w:hAnsi="Arial" w:cs="Arial"/>
          <w:color w:val="2E74B5" w:themeColor="accent1" w:themeShade="BF"/>
          <w:sz w:val="24"/>
          <w:szCs w:val="24"/>
          <w:lang w:eastAsia="es-MX"/>
        </w:rPr>
        <w:t xml:space="preserve"> presente expediente como RR-605</w:t>
      </w:r>
      <w:r w:rsidRPr="007C2DA2">
        <w:rPr>
          <w:rFonts w:ascii="Arial" w:eastAsia="Times New Roman" w:hAnsi="Arial" w:cs="Arial"/>
          <w:color w:val="2E74B5" w:themeColor="accent1" w:themeShade="BF"/>
          <w:sz w:val="24"/>
          <w:szCs w:val="24"/>
          <w:lang w:eastAsia="es-MX"/>
        </w:rPr>
        <w:t>/2018-2 PLATAFORMA.</w:t>
      </w:r>
    </w:p>
    <w:p w:rsidR="00327923" w:rsidRPr="007C2DA2" w:rsidRDefault="00327923" w:rsidP="00A0226E">
      <w:pPr>
        <w:numPr>
          <w:ilvl w:val="0"/>
          <w:numId w:val="2"/>
        </w:numPr>
        <w:spacing w:after="0" w:line="276" w:lineRule="auto"/>
        <w:jc w:val="both"/>
        <w:rPr>
          <w:rFonts w:ascii="Arial" w:eastAsia="Times New Roman" w:hAnsi="Arial" w:cs="Arial"/>
          <w:color w:val="2E74B5" w:themeColor="accent1" w:themeShade="BF"/>
          <w:sz w:val="24"/>
          <w:szCs w:val="24"/>
          <w:lang w:eastAsia="es-MX"/>
        </w:rPr>
      </w:pPr>
      <w:r w:rsidRPr="007C2DA2">
        <w:rPr>
          <w:rFonts w:ascii="Arial" w:eastAsia="Times New Roman" w:hAnsi="Arial" w:cs="Arial"/>
          <w:color w:val="2E74B5" w:themeColor="accent1" w:themeShade="BF"/>
          <w:sz w:val="24"/>
          <w:szCs w:val="24"/>
          <w:lang w:eastAsia="es-MX"/>
        </w:rPr>
        <w:t>Admitió a trámite el presente recurso de revisión.</w:t>
      </w:r>
    </w:p>
    <w:p w:rsidR="00327923" w:rsidRPr="007C2DA2" w:rsidRDefault="00327923" w:rsidP="00A0226E">
      <w:pPr>
        <w:numPr>
          <w:ilvl w:val="0"/>
          <w:numId w:val="2"/>
        </w:numPr>
        <w:spacing w:after="0" w:line="276" w:lineRule="auto"/>
        <w:jc w:val="both"/>
        <w:rPr>
          <w:rFonts w:ascii="Arial" w:eastAsia="Times New Roman" w:hAnsi="Arial" w:cs="Arial"/>
          <w:b/>
          <w:color w:val="2E74B5" w:themeColor="accent1" w:themeShade="BF"/>
          <w:sz w:val="24"/>
          <w:szCs w:val="24"/>
          <w:lang w:eastAsia="es-MX"/>
        </w:rPr>
      </w:pPr>
      <w:r w:rsidRPr="007C2DA2">
        <w:rPr>
          <w:rFonts w:ascii="Arial" w:eastAsia="Times New Roman" w:hAnsi="Arial" w:cs="Arial"/>
          <w:color w:val="2E74B5" w:themeColor="accent1" w:themeShade="BF"/>
          <w:sz w:val="24"/>
          <w:szCs w:val="24"/>
          <w:lang w:eastAsia="es-MX"/>
        </w:rPr>
        <w:t xml:space="preserve">Tuvo como sujeto obligado </w:t>
      </w:r>
      <w:r w:rsidR="004D20C2" w:rsidRPr="007C2DA2">
        <w:rPr>
          <w:rFonts w:ascii="Arial" w:eastAsia="Times New Roman" w:hAnsi="Arial" w:cs="Arial"/>
          <w:b/>
          <w:color w:val="2E74B5" w:themeColor="accent1" w:themeShade="BF"/>
          <w:sz w:val="24"/>
          <w:szCs w:val="24"/>
          <w:lang w:eastAsia="es-MX"/>
        </w:rPr>
        <w:t>al CONSEJO ESTATAL ELECTORAL Y DE PARTICIPACIÓN CIUDADANA DE SAN LUIS POTOSÍ POR CONDUCTO DE SU TITULAR Y DEL TITULAR DE LA UNIDAD DE TRANSPARENCIA.</w:t>
      </w:r>
    </w:p>
    <w:p w:rsidR="00327923" w:rsidRPr="007C2DA2" w:rsidRDefault="00327923" w:rsidP="00A0226E">
      <w:pPr>
        <w:numPr>
          <w:ilvl w:val="0"/>
          <w:numId w:val="2"/>
        </w:numPr>
        <w:spacing w:after="0" w:line="276" w:lineRule="auto"/>
        <w:jc w:val="both"/>
        <w:rPr>
          <w:rFonts w:ascii="Arial" w:eastAsia="Times New Roman" w:hAnsi="Arial" w:cs="Arial"/>
          <w:color w:val="2E74B5" w:themeColor="accent1" w:themeShade="BF"/>
          <w:sz w:val="24"/>
          <w:szCs w:val="24"/>
          <w:lang w:eastAsia="es-MX"/>
        </w:rPr>
      </w:pPr>
      <w:r w:rsidRPr="007C2DA2">
        <w:rPr>
          <w:rFonts w:ascii="Arial" w:eastAsia="Times New Roman" w:hAnsi="Arial" w:cs="Arial"/>
          <w:color w:val="2E74B5" w:themeColor="accent1" w:themeShade="BF"/>
          <w:sz w:val="24"/>
          <w:szCs w:val="24"/>
          <w:lang w:eastAsia="es-MX"/>
        </w:rPr>
        <w:t>Se le tuvo al recurrente por señalada dirección electrónica para oír notificaciones.</w:t>
      </w:r>
    </w:p>
    <w:p w:rsidR="00327923" w:rsidRPr="007C2DA2" w:rsidRDefault="00327923" w:rsidP="00A0226E">
      <w:pPr>
        <w:numPr>
          <w:ilvl w:val="0"/>
          <w:numId w:val="2"/>
        </w:numPr>
        <w:spacing w:after="0" w:line="276" w:lineRule="auto"/>
        <w:jc w:val="both"/>
        <w:rPr>
          <w:rFonts w:ascii="Arial" w:eastAsia="Times New Roman" w:hAnsi="Arial" w:cs="Arial"/>
          <w:color w:val="2E74B5" w:themeColor="accent1" w:themeShade="BF"/>
          <w:sz w:val="24"/>
          <w:szCs w:val="24"/>
          <w:lang w:eastAsia="es-MX"/>
        </w:rPr>
      </w:pPr>
      <w:r w:rsidRPr="007C2DA2">
        <w:rPr>
          <w:rFonts w:ascii="Arial" w:eastAsia="Times New Roman" w:hAnsi="Arial" w:cs="Arial"/>
          <w:color w:val="2E74B5" w:themeColor="accent1" w:themeShade="BF"/>
          <w:sz w:val="24"/>
          <w:szCs w:val="24"/>
          <w:lang w:eastAsia="es-MX"/>
        </w:rPr>
        <w:t xml:space="preserve">Se puso a disposición de las partes el expediente para que en un plazo máximo de 7 siete días manifestaran lo que a su derecho conviniera –ofrecer pruebas y alegar–.  </w:t>
      </w:r>
    </w:p>
    <w:p w:rsidR="00327923" w:rsidRPr="007C2DA2" w:rsidRDefault="00327923" w:rsidP="00A0226E">
      <w:pPr>
        <w:spacing w:after="0" w:line="276" w:lineRule="auto"/>
        <w:ind w:firstLine="709"/>
        <w:jc w:val="both"/>
        <w:rPr>
          <w:rFonts w:ascii="Arial" w:eastAsia="Times New Roman" w:hAnsi="Arial" w:cs="Arial"/>
          <w:color w:val="2E74B5" w:themeColor="accent1" w:themeShade="BF"/>
          <w:sz w:val="24"/>
          <w:szCs w:val="24"/>
          <w:lang w:eastAsia="es-MX"/>
        </w:rPr>
      </w:pPr>
    </w:p>
    <w:p w:rsidR="00327923" w:rsidRPr="007C2DA2" w:rsidRDefault="00327923" w:rsidP="00A0226E">
      <w:pPr>
        <w:spacing w:after="0" w:line="276" w:lineRule="auto"/>
        <w:ind w:firstLine="709"/>
        <w:jc w:val="both"/>
        <w:rPr>
          <w:rFonts w:ascii="Arial" w:eastAsia="Times New Roman" w:hAnsi="Arial" w:cs="Arial"/>
          <w:color w:val="2E74B5" w:themeColor="accent1" w:themeShade="BF"/>
          <w:sz w:val="24"/>
          <w:szCs w:val="24"/>
          <w:lang w:eastAsia="es-MX"/>
        </w:rPr>
      </w:pPr>
      <w:r w:rsidRPr="007C2DA2">
        <w:rPr>
          <w:rFonts w:ascii="Arial" w:eastAsia="Times New Roman" w:hAnsi="Arial" w:cs="Arial"/>
          <w:color w:val="2E74B5" w:themeColor="accent1" w:themeShade="BF"/>
          <w:sz w:val="24"/>
          <w:szCs w:val="24"/>
          <w:lang w:eastAsia="es-MX"/>
        </w:rPr>
        <w:lastRenderedPageBreak/>
        <w:t>Asimismo, en ese auto la ponente expresó que el sujeto obligado debería informar a esta Comisión de Transparencia si la información que le fue solicitada:</w:t>
      </w:r>
    </w:p>
    <w:p w:rsidR="00327923" w:rsidRPr="007C2DA2" w:rsidRDefault="00327923" w:rsidP="00A0226E">
      <w:pPr>
        <w:spacing w:after="0" w:line="276" w:lineRule="auto"/>
        <w:ind w:firstLine="709"/>
        <w:jc w:val="both"/>
        <w:rPr>
          <w:rFonts w:ascii="Arial" w:eastAsia="Times New Roman" w:hAnsi="Arial" w:cs="Arial"/>
          <w:color w:val="2E74B5" w:themeColor="accent1" w:themeShade="BF"/>
          <w:sz w:val="24"/>
          <w:szCs w:val="24"/>
          <w:lang w:eastAsia="es-MX"/>
        </w:rPr>
      </w:pPr>
    </w:p>
    <w:p w:rsidR="00327923" w:rsidRPr="007C2DA2" w:rsidRDefault="00327923" w:rsidP="00A0226E">
      <w:pPr>
        <w:numPr>
          <w:ilvl w:val="0"/>
          <w:numId w:val="1"/>
        </w:numPr>
        <w:spacing w:after="0" w:line="276" w:lineRule="auto"/>
        <w:jc w:val="both"/>
        <w:rPr>
          <w:rFonts w:ascii="Arial" w:eastAsia="Times New Roman" w:hAnsi="Arial" w:cs="Arial"/>
          <w:color w:val="2E74B5" w:themeColor="accent1" w:themeShade="BF"/>
          <w:sz w:val="24"/>
          <w:szCs w:val="24"/>
          <w:lang w:eastAsia="es-MX"/>
        </w:rPr>
      </w:pPr>
      <w:r w:rsidRPr="007C2DA2">
        <w:rPr>
          <w:rFonts w:ascii="Arial" w:eastAsia="Times New Roman" w:hAnsi="Arial" w:cs="Arial"/>
          <w:color w:val="2E74B5" w:themeColor="accent1" w:themeShade="BF"/>
          <w:sz w:val="24"/>
          <w:szCs w:val="24"/>
          <w:lang w:eastAsia="es-MX"/>
        </w:rPr>
        <w:t>Se encontraba en sus archivos.</w:t>
      </w:r>
    </w:p>
    <w:p w:rsidR="00327923" w:rsidRPr="007C2DA2" w:rsidRDefault="00327923" w:rsidP="00A0226E">
      <w:pPr>
        <w:numPr>
          <w:ilvl w:val="0"/>
          <w:numId w:val="1"/>
        </w:numPr>
        <w:spacing w:after="0" w:line="276" w:lineRule="auto"/>
        <w:jc w:val="both"/>
        <w:rPr>
          <w:rFonts w:ascii="Arial" w:eastAsia="Times New Roman" w:hAnsi="Arial" w:cs="Arial"/>
          <w:color w:val="2E74B5" w:themeColor="accent1" w:themeShade="BF"/>
          <w:sz w:val="24"/>
          <w:szCs w:val="24"/>
          <w:lang w:eastAsia="es-MX"/>
        </w:rPr>
      </w:pPr>
      <w:r w:rsidRPr="007C2DA2">
        <w:rPr>
          <w:rFonts w:ascii="Arial" w:eastAsia="Times New Roman" w:hAnsi="Arial" w:cs="Arial"/>
          <w:color w:val="2E74B5" w:themeColor="accent1" w:themeShade="BF"/>
          <w:sz w:val="24"/>
          <w:szCs w:val="24"/>
          <w:lang w:eastAsia="es-MX"/>
        </w:rPr>
        <w:t>Si estaba obligado a documentar esa información de acuerdo a sus facultades, competencias o funciones en el formato que el solicitante pidió –conforme a las características físicas de la información o del lugar en donde se encuentre y si la información se encuentra en una base de datos–.</w:t>
      </w:r>
    </w:p>
    <w:p w:rsidR="00327923" w:rsidRPr="007C2DA2" w:rsidRDefault="00327923" w:rsidP="00A0226E">
      <w:pPr>
        <w:numPr>
          <w:ilvl w:val="0"/>
          <w:numId w:val="1"/>
        </w:numPr>
        <w:spacing w:after="0" w:line="276" w:lineRule="auto"/>
        <w:jc w:val="both"/>
        <w:rPr>
          <w:rFonts w:ascii="Arial" w:eastAsia="Times New Roman" w:hAnsi="Arial" w:cs="Arial"/>
          <w:color w:val="2E74B5" w:themeColor="accent1" w:themeShade="BF"/>
          <w:sz w:val="24"/>
          <w:szCs w:val="24"/>
          <w:lang w:eastAsia="es-MX"/>
        </w:rPr>
      </w:pPr>
      <w:r w:rsidRPr="007C2DA2">
        <w:rPr>
          <w:rFonts w:ascii="Arial" w:eastAsia="Times New Roman" w:hAnsi="Arial" w:cs="Arial"/>
          <w:color w:val="2E74B5" w:themeColor="accent1" w:themeShade="BF"/>
          <w:sz w:val="24"/>
          <w:szCs w:val="24"/>
          <w:lang w:eastAsia="es-MX"/>
        </w:rPr>
        <w:t xml:space="preserve">Se encontraba en una de las excepciones del derecho de acceso a la información como impedimento legal para su entrega –cuando se trate de información reservada o confidencial–. </w:t>
      </w:r>
    </w:p>
    <w:p w:rsidR="00327923" w:rsidRPr="007C2DA2" w:rsidRDefault="00327923" w:rsidP="00A0226E">
      <w:pPr>
        <w:spacing w:after="0" w:line="276" w:lineRule="auto"/>
        <w:ind w:firstLine="709"/>
        <w:jc w:val="both"/>
        <w:rPr>
          <w:rFonts w:ascii="Arial" w:eastAsia="Times New Roman" w:hAnsi="Arial" w:cs="Arial"/>
          <w:color w:val="2E74B5" w:themeColor="accent1" w:themeShade="BF"/>
          <w:sz w:val="24"/>
          <w:szCs w:val="24"/>
          <w:lang w:eastAsia="es-MX"/>
        </w:rPr>
      </w:pPr>
    </w:p>
    <w:p w:rsidR="00327923" w:rsidRPr="007C2DA2" w:rsidRDefault="00327923" w:rsidP="00A0226E">
      <w:pPr>
        <w:spacing w:after="0" w:line="276" w:lineRule="auto"/>
        <w:ind w:firstLine="709"/>
        <w:jc w:val="both"/>
        <w:rPr>
          <w:rFonts w:ascii="Arial" w:eastAsia="Times New Roman" w:hAnsi="Arial" w:cs="Arial"/>
          <w:color w:val="2E74B5" w:themeColor="accent1" w:themeShade="BF"/>
          <w:sz w:val="24"/>
          <w:szCs w:val="24"/>
          <w:lang w:eastAsia="es-MX"/>
        </w:rPr>
      </w:pPr>
      <w:r w:rsidRPr="007C2DA2">
        <w:rPr>
          <w:rFonts w:ascii="Arial" w:eastAsia="Times New Roman" w:hAnsi="Arial" w:cs="Arial"/>
          <w:color w:val="2E74B5" w:themeColor="accent1" w:themeShade="BF"/>
          <w:sz w:val="24"/>
          <w:szCs w:val="24"/>
          <w:lang w:eastAsia="es-MX"/>
        </w:rPr>
        <w:t>Por otra parte, la ponente ordenó el traslado a las autoridades con la copia simple del recurso de revisión; se les requirió a éstas para remitieran copia certificada del nombramiento que los acreditara como tales; para que señalaran personas y domicilio para oír y recibir notificaciones en esta ciudad; y que una vez, que sea decretado el cierre de instrucción no se atendería la información que fuese enviada.</w:t>
      </w:r>
    </w:p>
    <w:p w:rsidR="00327923" w:rsidRPr="007C2DA2" w:rsidRDefault="00327923" w:rsidP="00A0226E">
      <w:pPr>
        <w:pStyle w:val="corte4fondo"/>
        <w:spacing w:line="276" w:lineRule="auto"/>
        <w:ind w:firstLine="0"/>
        <w:rPr>
          <w:rFonts w:cs="Arial"/>
          <w:color w:val="2E74B5" w:themeColor="accent1" w:themeShade="BF"/>
          <w:sz w:val="24"/>
          <w:szCs w:val="24"/>
        </w:rPr>
      </w:pPr>
      <w:r w:rsidRPr="007C2DA2">
        <w:rPr>
          <w:rFonts w:cs="Arial"/>
          <w:color w:val="2E74B5" w:themeColor="accent1" w:themeShade="BF"/>
          <w:sz w:val="24"/>
          <w:szCs w:val="24"/>
        </w:rPr>
        <w:tab/>
      </w:r>
    </w:p>
    <w:p w:rsidR="00327923" w:rsidRPr="007C2DA2" w:rsidRDefault="00327923" w:rsidP="00A0226E">
      <w:pPr>
        <w:pStyle w:val="corte4fondo"/>
        <w:spacing w:line="276" w:lineRule="auto"/>
        <w:ind w:firstLine="708"/>
        <w:rPr>
          <w:rFonts w:cs="Arial"/>
          <w:color w:val="2E74B5" w:themeColor="accent1" w:themeShade="BF"/>
          <w:sz w:val="24"/>
          <w:szCs w:val="24"/>
        </w:rPr>
      </w:pPr>
      <w:r w:rsidRPr="007C2DA2">
        <w:rPr>
          <w:rFonts w:cs="Arial"/>
          <w:color w:val="2E74B5" w:themeColor="accent1" w:themeShade="BF"/>
          <w:sz w:val="24"/>
          <w:szCs w:val="24"/>
          <w:lang w:val="es-MX"/>
        </w:rPr>
        <w:t>Finalmente</w:t>
      </w:r>
      <w:r w:rsidRPr="007C2DA2">
        <w:rPr>
          <w:rFonts w:cs="Arial"/>
          <w:color w:val="2E74B5" w:themeColor="accent1" w:themeShade="BF"/>
          <w:sz w:val="24"/>
          <w:szCs w:val="24"/>
        </w:rPr>
        <w:t>, en virtud de que</w:t>
      </w:r>
      <w:r w:rsidR="004D20C2" w:rsidRPr="007C2DA2">
        <w:rPr>
          <w:rFonts w:cs="Arial"/>
          <w:color w:val="2E74B5" w:themeColor="accent1" w:themeShade="BF"/>
          <w:sz w:val="24"/>
          <w:szCs w:val="24"/>
          <w:lang w:val="es-MX"/>
        </w:rPr>
        <w:t xml:space="preserve"> el sujeto obligado señaló a través de su respuesta diversas direcciones electrónicos mediante las cuales puede ser consultada la información solicitada por el recurrente</w:t>
      </w:r>
      <w:r w:rsidRPr="007C2DA2">
        <w:rPr>
          <w:rFonts w:cs="Arial"/>
          <w:color w:val="2E74B5" w:themeColor="accent1" w:themeShade="BF"/>
          <w:sz w:val="24"/>
          <w:szCs w:val="24"/>
          <w:lang w:val="es-MX"/>
        </w:rPr>
        <w:t xml:space="preserve">, </w:t>
      </w:r>
      <w:r w:rsidRPr="007C2DA2">
        <w:rPr>
          <w:rFonts w:cs="Arial"/>
          <w:color w:val="2E74B5" w:themeColor="accent1" w:themeShade="BF"/>
          <w:sz w:val="24"/>
          <w:szCs w:val="24"/>
        </w:rPr>
        <w:t>la Comisionada ordenó que se remitiera el expediente al Sistema Estatal de Documentación y Archivo –en adelante el SEDA– para que en un plazo de tres días emitiera un dictamen en el que</w:t>
      </w:r>
      <w:r w:rsidRPr="007C2DA2">
        <w:rPr>
          <w:rFonts w:cs="Arial"/>
          <w:color w:val="2E74B5" w:themeColor="accent1" w:themeShade="BF"/>
          <w:sz w:val="24"/>
          <w:szCs w:val="24"/>
          <w:lang w:val="es-MX"/>
        </w:rPr>
        <w:t xml:space="preserve"> determinara si las direcciones electrónicas señaladas por el sujeto obligado en su respuesta se encuentran en un formato accesible para el solicitante, y de ser así, describiera cual es la información que se desprende de estas, y en su caso señale si la misma es o no susceptible de impresión</w:t>
      </w:r>
      <w:r w:rsidRPr="007C2DA2">
        <w:rPr>
          <w:rFonts w:cs="Arial"/>
          <w:color w:val="2E74B5" w:themeColor="accent1" w:themeShade="BF"/>
          <w:sz w:val="24"/>
          <w:szCs w:val="24"/>
        </w:rPr>
        <w:t>.</w:t>
      </w:r>
    </w:p>
    <w:p w:rsidR="00327923" w:rsidRPr="007C2DA2" w:rsidRDefault="00327923" w:rsidP="00A0226E">
      <w:pPr>
        <w:spacing w:after="0" w:line="276" w:lineRule="auto"/>
        <w:ind w:firstLine="567"/>
        <w:jc w:val="both"/>
        <w:rPr>
          <w:rFonts w:ascii="Arial" w:eastAsia="Times New Roman" w:hAnsi="Arial" w:cs="Arial"/>
          <w:b/>
          <w:color w:val="2E74B5" w:themeColor="accent1" w:themeShade="BF"/>
          <w:sz w:val="24"/>
          <w:szCs w:val="24"/>
          <w:lang w:eastAsia="es-MX"/>
        </w:rPr>
      </w:pPr>
    </w:p>
    <w:p w:rsidR="00327923" w:rsidRPr="007C2DA2" w:rsidRDefault="00327923" w:rsidP="00A0226E">
      <w:pPr>
        <w:pStyle w:val="corte4fondo"/>
        <w:tabs>
          <w:tab w:val="left" w:pos="0"/>
        </w:tabs>
        <w:spacing w:line="276" w:lineRule="auto"/>
        <w:ind w:firstLine="0"/>
        <w:rPr>
          <w:rFonts w:cs="Arial"/>
          <w:b/>
          <w:color w:val="2E74B5" w:themeColor="accent1" w:themeShade="BF"/>
          <w:sz w:val="24"/>
          <w:szCs w:val="24"/>
        </w:rPr>
      </w:pPr>
      <w:r w:rsidRPr="007C2DA2">
        <w:rPr>
          <w:rFonts w:cs="Arial"/>
          <w:b/>
          <w:color w:val="2E74B5" w:themeColor="accent1" w:themeShade="BF"/>
          <w:sz w:val="24"/>
          <w:szCs w:val="24"/>
        </w:rPr>
        <w:tab/>
      </w:r>
      <w:r w:rsidR="00827EC8">
        <w:rPr>
          <w:rFonts w:cs="Arial"/>
          <w:b/>
          <w:color w:val="2E74B5" w:themeColor="accent1" w:themeShade="BF"/>
          <w:sz w:val="24"/>
          <w:szCs w:val="24"/>
          <w:lang w:val="es-MX"/>
        </w:rPr>
        <w:t>SEXTO</w:t>
      </w:r>
      <w:r w:rsidRPr="007C2DA2">
        <w:rPr>
          <w:rFonts w:cs="Arial"/>
          <w:b/>
          <w:color w:val="2E74B5" w:themeColor="accent1" w:themeShade="BF"/>
          <w:sz w:val="24"/>
          <w:szCs w:val="24"/>
        </w:rPr>
        <w:t>. Informe de los sujetos obligados</w:t>
      </w:r>
      <w:r w:rsidR="00E47FAA" w:rsidRPr="007C2DA2">
        <w:rPr>
          <w:rFonts w:cs="Arial"/>
          <w:b/>
          <w:color w:val="2E74B5" w:themeColor="accent1" w:themeShade="BF"/>
          <w:sz w:val="24"/>
          <w:szCs w:val="24"/>
        </w:rPr>
        <w:t xml:space="preserve"> y del S</w:t>
      </w:r>
      <w:r w:rsidR="00E47FAA" w:rsidRPr="007C2DA2">
        <w:rPr>
          <w:rFonts w:cs="Arial"/>
          <w:b/>
          <w:color w:val="2E74B5" w:themeColor="accent1" w:themeShade="BF"/>
          <w:sz w:val="24"/>
          <w:szCs w:val="24"/>
          <w:lang w:val="es-MX"/>
        </w:rPr>
        <w:t xml:space="preserve">istema </w:t>
      </w:r>
      <w:r w:rsidR="00E47FAA" w:rsidRPr="007C2DA2">
        <w:rPr>
          <w:rFonts w:cs="Arial"/>
          <w:b/>
          <w:color w:val="2E74B5" w:themeColor="accent1" w:themeShade="BF"/>
          <w:sz w:val="24"/>
          <w:szCs w:val="24"/>
        </w:rPr>
        <w:t>E</w:t>
      </w:r>
      <w:r w:rsidR="00E47FAA" w:rsidRPr="007C2DA2">
        <w:rPr>
          <w:rFonts w:cs="Arial"/>
          <w:b/>
          <w:color w:val="2E74B5" w:themeColor="accent1" w:themeShade="BF"/>
          <w:sz w:val="24"/>
          <w:szCs w:val="24"/>
          <w:lang w:val="es-MX"/>
        </w:rPr>
        <w:t xml:space="preserve">statal de </w:t>
      </w:r>
      <w:r w:rsidR="00E47FAA" w:rsidRPr="007C2DA2">
        <w:rPr>
          <w:rFonts w:cs="Arial"/>
          <w:b/>
          <w:color w:val="2E74B5" w:themeColor="accent1" w:themeShade="BF"/>
          <w:sz w:val="24"/>
          <w:szCs w:val="24"/>
        </w:rPr>
        <w:t>D</w:t>
      </w:r>
      <w:r w:rsidR="00E47FAA" w:rsidRPr="007C2DA2">
        <w:rPr>
          <w:rFonts w:cs="Arial"/>
          <w:b/>
          <w:color w:val="2E74B5" w:themeColor="accent1" w:themeShade="BF"/>
          <w:sz w:val="24"/>
          <w:szCs w:val="24"/>
          <w:lang w:val="es-MX"/>
        </w:rPr>
        <w:t xml:space="preserve">ocumentación y </w:t>
      </w:r>
      <w:r w:rsidR="00E47FAA" w:rsidRPr="007C2DA2">
        <w:rPr>
          <w:rFonts w:cs="Arial"/>
          <w:b/>
          <w:color w:val="2E74B5" w:themeColor="accent1" w:themeShade="BF"/>
          <w:sz w:val="24"/>
          <w:szCs w:val="24"/>
        </w:rPr>
        <w:t>A</w:t>
      </w:r>
      <w:r w:rsidR="00E47FAA" w:rsidRPr="007C2DA2">
        <w:rPr>
          <w:rFonts w:cs="Arial"/>
          <w:b/>
          <w:color w:val="2E74B5" w:themeColor="accent1" w:themeShade="BF"/>
          <w:sz w:val="24"/>
          <w:szCs w:val="24"/>
          <w:lang w:val="es-MX"/>
        </w:rPr>
        <w:t>rchivo</w:t>
      </w:r>
      <w:r w:rsidRPr="007C2DA2">
        <w:rPr>
          <w:rFonts w:cs="Arial"/>
          <w:color w:val="2E74B5" w:themeColor="accent1" w:themeShade="BF"/>
          <w:sz w:val="24"/>
          <w:szCs w:val="24"/>
        </w:rPr>
        <w:t xml:space="preserve">. Por proveído del </w:t>
      </w:r>
      <w:r w:rsidR="004E1DED" w:rsidRPr="007C2DA2">
        <w:rPr>
          <w:rFonts w:cs="Arial"/>
          <w:color w:val="2E74B5" w:themeColor="accent1" w:themeShade="BF"/>
          <w:sz w:val="24"/>
          <w:szCs w:val="24"/>
        </w:rPr>
        <w:t xml:space="preserve">28 veintiocho de agosto </w:t>
      </w:r>
      <w:r w:rsidRPr="007C2DA2">
        <w:rPr>
          <w:rFonts w:cs="Arial"/>
          <w:color w:val="2E74B5" w:themeColor="accent1" w:themeShade="BF"/>
          <w:sz w:val="24"/>
          <w:szCs w:val="24"/>
        </w:rPr>
        <w:t>de 2018 dos mil dieciocho la ponente del presente asunto tuvo:</w:t>
      </w:r>
    </w:p>
    <w:p w:rsidR="00327923" w:rsidRPr="007C2DA2" w:rsidRDefault="00327923" w:rsidP="00A0226E">
      <w:pPr>
        <w:spacing w:after="0" w:line="276" w:lineRule="auto"/>
        <w:ind w:left="1510"/>
        <w:jc w:val="both"/>
        <w:rPr>
          <w:rFonts w:ascii="Arial" w:eastAsia="Times New Roman" w:hAnsi="Arial" w:cs="Arial"/>
          <w:color w:val="2E74B5" w:themeColor="accent1" w:themeShade="BF"/>
          <w:sz w:val="24"/>
          <w:szCs w:val="24"/>
          <w:lang w:eastAsia="es-MX"/>
        </w:rPr>
      </w:pPr>
      <w:r w:rsidRPr="007C2DA2">
        <w:rPr>
          <w:rFonts w:ascii="Arial" w:eastAsia="Times New Roman" w:hAnsi="Arial" w:cs="Arial"/>
          <w:color w:val="2E74B5" w:themeColor="accent1" w:themeShade="BF"/>
          <w:sz w:val="24"/>
          <w:szCs w:val="24"/>
          <w:lang w:eastAsia="es-MX"/>
        </w:rPr>
        <w:t xml:space="preserve"> </w:t>
      </w:r>
    </w:p>
    <w:p w:rsidR="004E1DED" w:rsidRPr="007C2DA2" w:rsidRDefault="00327923" w:rsidP="00A0226E">
      <w:pPr>
        <w:pStyle w:val="corte4fondo"/>
        <w:numPr>
          <w:ilvl w:val="0"/>
          <w:numId w:val="4"/>
        </w:numPr>
        <w:spacing w:line="276" w:lineRule="auto"/>
        <w:rPr>
          <w:rFonts w:cs="Arial"/>
          <w:color w:val="2E74B5" w:themeColor="accent1" w:themeShade="BF"/>
          <w:sz w:val="24"/>
          <w:szCs w:val="24"/>
          <w:lang w:val="es-MX"/>
        </w:rPr>
      </w:pPr>
      <w:r w:rsidRPr="007C2DA2">
        <w:rPr>
          <w:rFonts w:cs="Arial"/>
          <w:color w:val="2E74B5" w:themeColor="accent1" w:themeShade="BF"/>
          <w:sz w:val="24"/>
          <w:szCs w:val="24"/>
          <w:lang w:val="es-MX"/>
        </w:rPr>
        <w:t xml:space="preserve">Por recibido el oficio </w:t>
      </w:r>
      <w:r w:rsidR="004E1DED" w:rsidRPr="007C2DA2">
        <w:rPr>
          <w:rFonts w:cs="Arial"/>
          <w:color w:val="2E74B5" w:themeColor="accent1" w:themeShade="BF"/>
          <w:sz w:val="24"/>
          <w:szCs w:val="24"/>
        </w:rPr>
        <w:t>el oficio SEDA-DG-</w:t>
      </w:r>
      <w:r w:rsidR="004E1DED" w:rsidRPr="007C2DA2">
        <w:rPr>
          <w:rFonts w:cs="Arial"/>
          <w:color w:val="2E74B5" w:themeColor="accent1" w:themeShade="BF"/>
          <w:sz w:val="24"/>
          <w:szCs w:val="24"/>
          <w:lang w:val="es-MX"/>
        </w:rPr>
        <w:t>347</w:t>
      </w:r>
      <w:r w:rsidR="004E1DED" w:rsidRPr="007C2DA2">
        <w:rPr>
          <w:rFonts w:cs="Arial"/>
          <w:color w:val="2E74B5" w:themeColor="accent1" w:themeShade="BF"/>
          <w:sz w:val="24"/>
          <w:szCs w:val="24"/>
        </w:rPr>
        <w:t xml:space="preserve">/2017 firmado por el Director de Archivos y </w:t>
      </w:r>
      <w:r w:rsidR="004E1DED" w:rsidRPr="007C2DA2">
        <w:rPr>
          <w:rFonts w:cs="Arial"/>
          <w:color w:val="2E74B5" w:themeColor="accent1" w:themeShade="BF"/>
          <w:sz w:val="24"/>
          <w:szCs w:val="24"/>
          <w:lang w:val="es-MX"/>
        </w:rPr>
        <w:t>E</w:t>
      </w:r>
      <w:r w:rsidR="004E1DED" w:rsidRPr="007C2DA2">
        <w:rPr>
          <w:rFonts w:cs="Arial"/>
          <w:color w:val="2E74B5" w:themeColor="accent1" w:themeShade="BF"/>
          <w:sz w:val="24"/>
          <w:szCs w:val="24"/>
        </w:rPr>
        <w:t>encargado de</w:t>
      </w:r>
      <w:r w:rsidR="004E1DED" w:rsidRPr="007C2DA2">
        <w:rPr>
          <w:rFonts w:cs="Arial"/>
          <w:color w:val="2E74B5" w:themeColor="accent1" w:themeShade="BF"/>
          <w:sz w:val="24"/>
          <w:szCs w:val="24"/>
          <w:lang w:val="es-MX"/>
        </w:rPr>
        <w:t>l</w:t>
      </w:r>
      <w:r w:rsidR="004E1DED" w:rsidRPr="007C2DA2">
        <w:rPr>
          <w:rFonts w:cs="Arial"/>
          <w:color w:val="2E74B5" w:themeColor="accent1" w:themeShade="BF"/>
          <w:sz w:val="24"/>
          <w:szCs w:val="24"/>
        </w:rPr>
        <w:t xml:space="preserve"> Despacho del </w:t>
      </w:r>
      <w:r w:rsidR="004E1DED" w:rsidRPr="007C2DA2">
        <w:rPr>
          <w:rFonts w:cs="Arial"/>
          <w:color w:val="2E74B5" w:themeColor="accent1" w:themeShade="BF"/>
          <w:sz w:val="24"/>
          <w:szCs w:val="24"/>
          <w:lang w:val="es-MX"/>
        </w:rPr>
        <w:t>Sistema Estatal de Documentación y Archivo.</w:t>
      </w:r>
    </w:p>
    <w:p w:rsidR="00327923" w:rsidRPr="007C2DA2" w:rsidRDefault="004E1DED" w:rsidP="00A0226E">
      <w:pPr>
        <w:pStyle w:val="corte4fondo"/>
        <w:numPr>
          <w:ilvl w:val="0"/>
          <w:numId w:val="4"/>
        </w:numPr>
        <w:spacing w:line="276" w:lineRule="auto"/>
        <w:rPr>
          <w:rFonts w:cs="Arial"/>
          <w:color w:val="2E74B5" w:themeColor="accent1" w:themeShade="BF"/>
          <w:sz w:val="24"/>
          <w:szCs w:val="24"/>
          <w:lang w:val="es-MX"/>
        </w:rPr>
      </w:pPr>
      <w:r w:rsidRPr="007C2DA2">
        <w:rPr>
          <w:rFonts w:cs="Arial"/>
          <w:color w:val="2E74B5" w:themeColor="accent1" w:themeShade="BF"/>
          <w:sz w:val="24"/>
          <w:szCs w:val="24"/>
          <w:lang w:val="es-MX"/>
        </w:rPr>
        <w:t>Por recibido el oficio CEEPC/PRE/UIP/3766</w:t>
      </w:r>
      <w:r w:rsidR="00327923" w:rsidRPr="007C2DA2">
        <w:rPr>
          <w:rFonts w:cs="Arial"/>
          <w:color w:val="2E74B5" w:themeColor="accent1" w:themeShade="BF"/>
          <w:sz w:val="24"/>
          <w:szCs w:val="24"/>
          <w:lang w:val="es-MX"/>
        </w:rPr>
        <w:t xml:space="preserve">/2018, firmado por </w:t>
      </w:r>
      <w:r w:rsidR="00F576EA" w:rsidRPr="007C2DA2">
        <w:rPr>
          <w:rFonts w:cs="Arial"/>
          <w:color w:val="2E74B5" w:themeColor="accent1" w:themeShade="BF"/>
          <w:sz w:val="24"/>
          <w:szCs w:val="24"/>
          <w:lang w:val="es-MX"/>
        </w:rPr>
        <w:t>el</w:t>
      </w:r>
      <w:r w:rsidRPr="007C2DA2">
        <w:rPr>
          <w:rFonts w:cs="Arial"/>
          <w:color w:val="2E74B5" w:themeColor="accent1" w:themeShade="BF"/>
          <w:sz w:val="24"/>
          <w:szCs w:val="24"/>
          <w:lang w:val="es-MX"/>
        </w:rPr>
        <w:t xml:space="preserve"> </w:t>
      </w:r>
      <w:r w:rsidR="00F576EA" w:rsidRPr="007C2DA2">
        <w:rPr>
          <w:rFonts w:cs="Arial"/>
          <w:b/>
          <w:color w:val="2E74B5" w:themeColor="accent1" w:themeShade="BF"/>
          <w:sz w:val="24"/>
          <w:szCs w:val="24"/>
          <w:lang w:val="es-MX"/>
        </w:rPr>
        <w:t xml:space="preserve">CONSEJERO PRESIDENTE Y POR EL DIRECTOR DE LA UNIDAD DE INFORMACIÓN PÚBLICA </w:t>
      </w:r>
      <w:r w:rsidR="00327923" w:rsidRPr="007C2DA2">
        <w:rPr>
          <w:rFonts w:cs="Arial"/>
          <w:color w:val="2E74B5" w:themeColor="accent1" w:themeShade="BF"/>
          <w:sz w:val="24"/>
          <w:szCs w:val="24"/>
          <w:lang w:val="es-MX"/>
        </w:rPr>
        <w:t xml:space="preserve">del sujeto obligado, junto con </w:t>
      </w:r>
      <w:r w:rsidR="00F576EA" w:rsidRPr="007C2DA2">
        <w:rPr>
          <w:rFonts w:cs="Arial"/>
          <w:color w:val="2E74B5" w:themeColor="accent1" w:themeShade="BF"/>
          <w:sz w:val="24"/>
          <w:szCs w:val="24"/>
          <w:lang w:val="es-MX"/>
        </w:rPr>
        <w:t>cuatro</w:t>
      </w:r>
      <w:r w:rsidR="00327923" w:rsidRPr="007C2DA2">
        <w:rPr>
          <w:rFonts w:cs="Arial"/>
          <w:color w:val="2E74B5" w:themeColor="accent1" w:themeShade="BF"/>
          <w:sz w:val="24"/>
          <w:szCs w:val="24"/>
          <w:lang w:val="es-MX"/>
        </w:rPr>
        <w:t xml:space="preserve"> anexos.</w:t>
      </w:r>
    </w:p>
    <w:p w:rsidR="00327923" w:rsidRPr="007C2DA2" w:rsidRDefault="00327923" w:rsidP="00A0226E">
      <w:pPr>
        <w:pStyle w:val="corte4fondo"/>
        <w:numPr>
          <w:ilvl w:val="0"/>
          <w:numId w:val="4"/>
        </w:numPr>
        <w:spacing w:line="276" w:lineRule="auto"/>
        <w:rPr>
          <w:rFonts w:cs="Arial"/>
          <w:color w:val="2E74B5" w:themeColor="accent1" w:themeShade="BF"/>
          <w:sz w:val="24"/>
          <w:szCs w:val="24"/>
          <w:lang w:val="es-MX"/>
        </w:rPr>
      </w:pPr>
      <w:r w:rsidRPr="007C2DA2">
        <w:rPr>
          <w:rFonts w:cs="Arial"/>
          <w:color w:val="2E74B5" w:themeColor="accent1" w:themeShade="BF"/>
          <w:sz w:val="24"/>
          <w:szCs w:val="24"/>
          <w:lang w:val="es-MX"/>
        </w:rPr>
        <w:t xml:space="preserve">Por reconocida su personalidad. </w:t>
      </w:r>
    </w:p>
    <w:p w:rsidR="00327923" w:rsidRPr="007C2DA2" w:rsidRDefault="00327923" w:rsidP="00A0226E">
      <w:pPr>
        <w:pStyle w:val="corte4fondo"/>
        <w:numPr>
          <w:ilvl w:val="0"/>
          <w:numId w:val="4"/>
        </w:numPr>
        <w:spacing w:line="276" w:lineRule="auto"/>
        <w:rPr>
          <w:rFonts w:cs="Arial"/>
          <w:color w:val="2E74B5" w:themeColor="accent1" w:themeShade="BF"/>
          <w:sz w:val="24"/>
          <w:szCs w:val="24"/>
          <w:lang w:val="es-MX"/>
        </w:rPr>
      </w:pPr>
      <w:r w:rsidRPr="007C2DA2">
        <w:rPr>
          <w:rFonts w:cs="Arial"/>
          <w:color w:val="2E74B5" w:themeColor="accent1" w:themeShade="BF"/>
          <w:sz w:val="24"/>
          <w:szCs w:val="24"/>
          <w:lang w:val="es-MX"/>
        </w:rPr>
        <w:t>Por rendido en tiempo y forma el informe solicitado.</w:t>
      </w:r>
    </w:p>
    <w:p w:rsidR="00327923" w:rsidRDefault="00327923" w:rsidP="00A0226E">
      <w:pPr>
        <w:pStyle w:val="corte4fondo"/>
        <w:numPr>
          <w:ilvl w:val="0"/>
          <w:numId w:val="4"/>
        </w:numPr>
        <w:spacing w:line="276" w:lineRule="auto"/>
        <w:rPr>
          <w:rFonts w:cs="Arial"/>
          <w:color w:val="2E74B5" w:themeColor="accent1" w:themeShade="BF"/>
          <w:sz w:val="24"/>
          <w:szCs w:val="24"/>
          <w:lang w:val="es-MX"/>
        </w:rPr>
      </w:pPr>
      <w:r w:rsidRPr="007C2DA2">
        <w:rPr>
          <w:rFonts w:cs="Arial"/>
          <w:color w:val="2E74B5" w:themeColor="accent1" w:themeShade="BF"/>
          <w:sz w:val="24"/>
          <w:szCs w:val="24"/>
          <w:lang w:val="es-MX"/>
        </w:rPr>
        <w:t>Por expresados los argumentos relacionados con el presente asunto.</w:t>
      </w:r>
    </w:p>
    <w:p w:rsidR="001D55A2" w:rsidRPr="007C2DA2" w:rsidRDefault="001D55A2" w:rsidP="00A0226E">
      <w:pPr>
        <w:pStyle w:val="corte4fondo"/>
        <w:numPr>
          <w:ilvl w:val="0"/>
          <w:numId w:val="4"/>
        </w:numPr>
        <w:spacing w:line="276" w:lineRule="auto"/>
        <w:rPr>
          <w:rFonts w:cs="Arial"/>
          <w:color w:val="2E74B5" w:themeColor="accent1" w:themeShade="BF"/>
          <w:sz w:val="24"/>
          <w:szCs w:val="24"/>
          <w:lang w:val="es-MX"/>
        </w:rPr>
      </w:pPr>
      <w:r>
        <w:rPr>
          <w:rFonts w:cs="Arial"/>
          <w:color w:val="2E74B5" w:themeColor="accent1" w:themeShade="BF"/>
          <w:sz w:val="24"/>
          <w:szCs w:val="24"/>
          <w:lang w:val="es-MX"/>
        </w:rPr>
        <w:t>Por ofreciendo las pruebas documentales que adjunta al oficio de cuenta.</w:t>
      </w:r>
    </w:p>
    <w:p w:rsidR="00327923" w:rsidRPr="007C2DA2" w:rsidRDefault="00327923" w:rsidP="00A0226E">
      <w:pPr>
        <w:spacing w:after="0" w:line="276" w:lineRule="auto"/>
        <w:ind w:left="1510"/>
        <w:jc w:val="both"/>
        <w:rPr>
          <w:rFonts w:ascii="Arial" w:eastAsia="Times New Roman" w:hAnsi="Arial" w:cs="Arial"/>
          <w:color w:val="2E74B5" w:themeColor="accent1" w:themeShade="BF"/>
          <w:sz w:val="24"/>
          <w:szCs w:val="24"/>
          <w:lang w:eastAsia="es-MX"/>
        </w:rPr>
      </w:pPr>
    </w:p>
    <w:p w:rsidR="00327923" w:rsidRPr="007C2DA2" w:rsidRDefault="00327923" w:rsidP="00A0226E">
      <w:pPr>
        <w:spacing w:after="0" w:line="276" w:lineRule="auto"/>
        <w:jc w:val="both"/>
        <w:rPr>
          <w:rFonts w:ascii="Arial" w:eastAsia="Times New Roman" w:hAnsi="Arial" w:cs="Arial"/>
          <w:color w:val="2E74B5" w:themeColor="accent1" w:themeShade="BF"/>
          <w:sz w:val="24"/>
          <w:szCs w:val="24"/>
          <w:lang w:eastAsia="es-MX"/>
        </w:rPr>
      </w:pPr>
      <w:r w:rsidRPr="007C2DA2">
        <w:rPr>
          <w:rFonts w:ascii="Arial" w:eastAsia="Times New Roman" w:hAnsi="Arial" w:cs="Arial"/>
          <w:color w:val="2E74B5" w:themeColor="accent1" w:themeShade="BF"/>
          <w:sz w:val="24"/>
          <w:szCs w:val="24"/>
          <w:lang w:eastAsia="es-MX"/>
        </w:rPr>
        <w:tab/>
        <w:t>Respecto de la parte recurrente, esta Comisión advirtió que no compareció a realizar las manifestaciones que a su derecho conviniera - ofrecer pruebas y alegar.</w:t>
      </w:r>
    </w:p>
    <w:p w:rsidR="00327923" w:rsidRPr="007C2DA2" w:rsidRDefault="00327923" w:rsidP="00A0226E">
      <w:pPr>
        <w:spacing w:after="0" w:line="276" w:lineRule="auto"/>
        <w:jc w:val="both"/>
        <w:rPr>
          <w:rFonts w:ascii="Arial" w:eastAsia="Times New Roman" w:hAnsi="Arial" w:cs="Arial"/>
          <w:color w:val="2E74B5" w:themeColor="accent1" w:themeShade="BF"/>
          <w:sz w:val="24"/>
          <w:szCs w:val="24"/>
          <w:lang w:eastAsia="es-MX"/>
        </w:rPr>
      </w:pPr>
    </w:p>
    <w:p w:rsidR="000C2098" w:rsidRPr="007C2DA2" w:rsidRDefault="000C2098" w:rsidP="00A0226E">
      <w:pPr>
        <w:pStyle w:val="corte4fondo"/>
        <w:tabs>
          <w:tab w:val="left" w:pos="0"/>
        </w:tabs>
        <w:spacing w:line="276" w:lineRule="auto"/>
        <w:ind w:firstLine="0"/>
        <w:rPr>
          <w:rFonts w:cs="Arial"/>
          <w:color w:val="2E74B5" w:themeColor="accent1" w:themeShade="BF"/>
          <w:sz w:val="24"/>
          <w:szCs w:val="24"/>
          <w:lang w:val="es-ES"/>
        </w:rPr>
      </w:pPr>
      <w:r w:rsidRPr="007C2DA2">
        <w:rPr>
          <w:rFonts w:cs="Arial"/>
          <w:b/>
          <w:color w:val="2E74B5" w:themeColor="accent1" w:themeShade="BF"/>
          <w:sz w:val="24"/>
          <w:szCs w:val="24"/>
        </w:rPr>
        <w:tab/>
      </w:r>
      <w:r w:rsidR="00827EC8" w:rsidRPr="007C2DA2">
        <w:rPr>
          <w:rFonts w:cs="Arial"/>
          <w:b/>
          <w:color w:val="2E74B5" w:themeColor="accent1" w:themeShade="BF"/>
          <w:sz w:val="24"/>
          <w:szCs w:val="24"/>
        </w:rPr>
        <w:t>SÉPTIMO</w:t>
      </w:r>
      <w:r w:rsidRPr="007C2DA2">
        <w:rPr>
          <w:rFonts w:cs="Arial"/>
          <w:b/>
          <w:color w:val="2E74B5" w:themeColor="accent1" w:themeShade="BF"/>
          <w:sz w:val="24"/>
          <w:szCs w:val="24"/>
        </w:rPr>
        <w:t xml:space="preserve">. Ampliación del plazo para resolver. </w:t>
      </w:r>
      <w:r w:rsidRPr="007C2DA2">
        <w:rPr>
          <w:rFonts w:cs="Arial"/>
          <w:color w:val="2E74B5" w:themeColor="accent1" w:themeShade="BF"/>
          <w:sz w:val="24"/>
          <w:szCs w:val="24"/>
        </w:rPr>
        <w:t xml:space="preserve">Por auto de </w:t>
      </w:r>
      <w:r w:rsidRPr="007C2DA2">
        <w:rPr>
          <w:rFonts w:cs="Arial"/>
          <w:color w:val="2E74B5" w:themeColor="accent1" w:themeShade="BF"/>
          <w:sz w:val="24"/>
          <w:szCs w:val="24"/>
          <w:lang w:val="es-MX"/>
        </w:rPr>
        <w:t xml:space="preserve">17 diecisiete de septiembre </w:t>
      </w:r>
      <w:r w:rsidRPr="007C2DA2">
        <w:rPr>
          <w:rFonts w:cs="Arial"/>
          <w:color w:val="2E74B5" w:themeColor="accent1" w:themeShade="BF"/>
          <w:sz w:val="24"/>
          <w:szCs w:val="24"/>
        </w:rPr>
        <w:t>de 2018 dos mil dieciocho a ponente decretó la ampliación del plazo para resolver el presente asunto</w:t>
      </w:r>
      <w:r w:rsidRPr="007C2DA2">
        <w:rPr>
          <w:rFonts w:cs="Arial"/>
          <w:color w:val="2E74B5" w:themeColor="accent1" w:themeShade="BF"/>
          <w:sz w:val="24"/>
          <w:szCs w:val="24"/>
          <w:lang w:val="es-ES"/>
        </w:rPr>
        <w:t xml:space="preserve">, ello </w:t>
      </w:r>
      <w:r w:rsidRPr="007C2DA2">
        <w:rPr>
          <w:rFonts w:cs="Arial"/>
          <w:color w:val="2E74B5" w:themeColor="accent1" w:themeShade="BF"/>
          <w:sz w:val="24"/>
          <w:szCs w:val="24"/>
        </w:rPr>
        <w:t>de conformidad con el Lineamiento Décimo Noveno de los Lineamientos para la Recepción, Sustanciación, Resolución</w:t>
      </w:r>
      <w:r w:rsidRPr="007C2DA2">
        <w:rPr>
          <w:rFonts w:cs="Arial"/>
          <w:color w:val="2E74B5" w:themeColor="accent1" w:themeShade="BF"/>
          <w:spacing w:val="2"/>
          <w:sz w:val="24"/>
          <w:szCs w:val="24"/>
        </w:rPr>
        <w:t xml:space="preserve"> y Cumplimiento de los Recursos de Revisión promovidos ante la CEGAIP, emitidos en la Sesión de Pleno Ordinaria de Consejo celebrada el 07 siete de noviembre de 2017 dos mil diecisiete, y publicados en el Periódico Oficial del Gobierno del Estado el 15 de febrero de 2018 dos mil dieciocho. </w:t>
      </w:r>
      <w:r w:rsidRPr="007C2DA2">
        <w:rPr>
          <w:rFonts w:cs="Arial"/>
          <w:color w:val="2E74B5" w:themeColor="accent1" w:themeShade="BF"/>
          <w:sz w:val="24"/>
          <w:szCs w:val="24"/>
        </w:rPr>
        <w:t xml:space="preserve"> </w:t>
      </w:r>
    </w:p>
    <w:p w:rsidR="000C2098" w:rsidRPr="007C2DA2" w:rsidRDefault="000C2098" w:rsidP="00A0226E">
      <w:pPr>
        <w:spacing w:after="0" w:line="276" w:lineRule="auto"/>
        <w:jc w:val="both"/>
        <w:rPr>
          <w:rFonts w:ascii="Arial" w:eastAsia="Times New Roman" w:hAnsi="Arial" w:cs="Arial"/>
          <w:color w:val="2E74B5" w:themeColor="accent1" w:themeShade="BF"/>
          <w:sz w:val="24"/>
          <w:szCs w:val="24"/>
          <w:lang w:eastAsia="es-MX"/>
        </w:rPr>
      </w:pPr>
    </w:p>
    <w:p w:rsidR="00327923" w:rsidRPr="007C2DA2" w:rsidRDefault="00327923" w:rsidP="00A0226E">
      <w:pPr>
        <w:pStyle w:val="corte4fondo"/>
        <w:spacing w:line="276" w:lineRule="auto"/>
        <w:rPr>
          <w:rFonts w:cs="Arial"/>
          <w:color w:val="2E74B5" w:themeColor="accent1" w:themeShade="BF"/>
          <w:sz w:val="24"/>
          <w:szCs w:val="24"/>
        </w:rPr>
      </w:pPr>
      <w:r w:rsidRPr="007C2DA2">
        <w:rPr>
          <w:rFonts w:cs="Arial"/>
          <w:color w:val="2E74B5" w:themeColor="accent1" w:themeShade="BF"/>
          <w:sz w:val="24"/>
          <w:szCs w:val="24"/>
        </w:rPr>
        <w:t>Para concluir, la ponente declaró cerrado el periodo de instrucción y procedió a elaborar el proyecto de resolución respectivo.</w:t>
      </w:r>
    </w:p>
    <w:p w:rsidR="00327923" w:rsidRPr="007C2DA2" w:rsidRDefault="00327923" w:rsidP="00A0226E">
      <w:pPr>
        <w:spacing w:after="0" w:line="276" w:lineRule="auto"/>
        <w:jc w:val="both"/>
        <w:rPr>
          <w:rFonts w:ascii="Arial" w:eastAsia="Times New Roman" w:hAnsi="Arial" w:cs="Arial"/>
          <w:color w:val="2E74B5" w:themeColor="accent1" w:themeShade="BF"/>
          <w:sz w:val="24"/>
          <w:szCs w:val="24"/>
          <w:lang w:eastAsia="es-MX"/>
        </w:rPr>
      </w:pPr>
    </w:p>
    <w:p w:rsidR="00327923" w:rsidRPr="007C2DA2" w:rsidRDefault="00327923" w:rsidP="00A0226E">
      <w:pPr>
        <w:spacing w:after="0" w:line="276" w:lineRule="auto"/>
        <w:ind w:firstLine="709"/>
        <w:jc w:val="center"/>
        <w:rPr>
          <w:rFonts w:ascii="Arial" w:eastAsia="Times New Roman" w:hAnsi="Arial" w:cs="Arial"/>
          <w:b/>
          <w:color w:val="2E74B5" w:themeColor="accent1" w:themeShade="BF"/>
          <w:sz w:val="24"/>
          <w:szCs w:val="24"/>
          <w:lang w:eastAsia="es-MX"/>
        </w:rPr>
      </w:pPr>
      <w:r w:rsidRPr="007C2DA2">
        <w:rPr>
          <w:rFonts w:ascii="Arial" w:eastAsia="Times New Roman" w:hAnsi="Arial" w:cs="Arial"/>
          <w:b/>
          <w:color w:val="2E74B5" w:themeColor="accent1" w:themeShade="BF"/>
          <w:sz w:val="24"/>
          <w:szCs w:val="24"/>
          <w:lang w:eastAsia="es-MX"/>
        </w:rPr>
        <w:t>CONSIDERANDO</w:t>
      </w:r>
    </w:p>
    <w:p w:rsidR="00327923" w:rsidRPr="007C2DA2" w:rsidRDefault="00327923" w:rsidP="00A0226E">
      <w:pPr>
        <w:spacing w:after="0" w:line="276" w:lineRule="auto"/>
        <w:ind w:firstLine="709"/>
        <w:jc w:val="center"/>
        <w:rPr>
          <w:rFonts w:ascii="Arial" w:eastAsia="Times New Roman" w:hAnsi="Arial" w:cs="Arial"/>
          <w:b/>
          <w:color w:val="2E74B5" w:themeColor="accent1" w:themeShade="BF"/>
          <w:sz w:val="24"/>
          <w:szCs w:val="24"/>
          <w:lang w:eastAsia="es-MX"/>
        </w:rPr>
      </w:pPr>
    </w:p>
    <w:p w:rsidR="00327923" w:rsidRPr="007C2DA2" w:rsidRDefault="00327923" w:rsidP="00A0226E">
      <w:pPr>
        <w:spacing w:after="0" w:line="276" w:lineRule="auto"/>
        <w:ind w:firstLine="709"/>
        <w:jc w:val="both"/>
        <w:rPr>
          <w:rFonts w:ascii="Arial" w:eastAsia="Times New Roman" w:hAnsi="Arial" w:cs="Arial"/>
          <w:color w:val="2E74B5" w:themeColor="accent1" w:themeShade="BF"/>
          <w:sz w:val="24"/>
          <w:szCs w:val="24"/>
          <w:lang w:eastAsia="es-MX"/>
        </w:rPr>
      </w:pPr>
      <w:r w:rsidRPr="007C2DA2">
        <w:rPr>
          <w:rFonts w:ascii="Arial" w:eastAsia="Times New Roman" w:hAnsi="Arial" w:cs="Arial"/>
          <w:b/>
          <w:color w:val="2E74B5" w:themeColor="accent1" w:themeShade="BF"/>
          <w:sz w:val="24"/>
          <w:szCs w:val="24"/>
          <w:lang w:eastAsia="es-MX"/>
        </w:rPr>
        <w:t xml:space="preserve">PRIMERO. Competencia. </w:t>
      </w:r>
      <w:r w:rsidRPr="007C2DA2">
        <w:rPr>
          <w:rFonts w:ascii="Arial" w:eastAsia="Times New Roman" w:hAnsi="Arial" w:cs="Arial"/>
          <w:color w:val="2E74B5" w:themeColor="accent1" w:themeShade="BF"/>
          <w:sz w:val="24"/>
          <w:szCs w:val="24"/>
          <w:lang w:eastAsia="es-MX"/>
        </w:rPr>
        <w:t xml:space="preserve">Esta Comisión Estatal de Garantía de Acceso a la Información Pública es competente para conocer del presente asunto, de acuerdo con los artículos 6, párrafo cuarto, apartado A, fracción IV, de la Constitución Política de los Estados Unidos Mexicanos; 17, fracción III, párrafo tercero, de la Constitución Política del Estado Libre y Soberano de San Luis Potosí; 27, primer párrafo, 34, fracciones I y II, 35, fracción I, y 175 de la Ley de Transparencia y Acceso a la Información Pública de este Estado. </w:t>
      </w:r>
    </w:p>
    <w:p w:rsidR="00327923" w:rsidRPr="007C2DA2" w:rsidRDefault="00327923" w:rsidP="00A0226E">
      <w:pPr>
        <w:spacing w:after="0" w:line="276" w:lineRule="auto"/>
        <w:ind w:firstLine="709"/>
        <w:jc w:val="both"/>
        <w:rPr>
          <w:rFonts w:ascii="Arial" w:eastAsia="Times New Roman" w:hAnsi="Arial" w:cs="Arial"/>
          <w:color w:val="2E74B5" w:themeColor="accent1" w:themeShade="BF"/>
          <w:sz w:val="24"/>
          <w:szCs w:val="24"/>
          <w:lang w:eastAsia="es-MX"/>
        </w:rPr>
      </w:pPr>
    </w:p>
    <w:p w:rsidR="00327923" w:rsidRPr="007C2DA2" w:rsidRDefault="00327923" w:rsidP="00A0226E">
      <w:pPr>
        <w:spacing w:after="0" w:line="276" w:lineRule="auto"/>
        <w:ind w:firstLine="709"/>
        <w:jc w:val="both"/>
        <w:rPr>
          <w:rFonts w:ascii="Arial" w:eastAsia="Times New Roman" w:hAnsi="Arial" w:cs="Arial"/>
          <w:color w:val="2E74B5" w:themeColor="accent1" w:themeShade="BF"/>
          <w:sz w:val="24"/>
          <w:szCs w:val="24"/>
          <w:lang w:eastAsia="es-MX"/>
        </w:rPr>
      </w:pPr>
      <w:r w:rsidRPr="007C2DA2">
        <w:rPr>
          <w:rFonts w:ascii="Arial" w:eastAsia="Times New Roman" w:hAnsi="Arial" w:cs="Arial"/>
          <w:b/>
          <w:color w:val="2E74B5" w:themeColor="accent1" w:themeShade="BF"/>
          <w:sz w:val="24"/>
          <w:szCs w:val="24"/>
          <w:lang w:eastAsia="es-MX"/>
        </w:rPr>
        <w:t xml:space="preserve">SEGUNDO. Procedencia. </w:t>
      </w:r>
      <w:r w:rsidRPr="007C2DA2">
        <w:rPr>
          <w:rFonts w:ascii="Arial" w:eastAsia="Times New Roman" w:hAnsi="Arial" w:cs="Arial"/>
          <w:color w:val="2E74B5" w:themeColor="accent1" w:themeShade="BF"/>
          <w:sz w:val="24"/>
          <w:szCs w:val="24"/>
          <w:lang w:eastAsia="es-MX"/>
        </w:rPr>
        <w:t xml:space="preserve">El presente recurso de revisión es procedente en términos del artículo 166 de la Ley de Transparencia y Acceso a la Información Pública del Estado ya que el recurrente se inconforma por la respuesta a su solicitud de acceso a la información pública por parte del sujeto obligado. </w:t>
      </w:r>
    </w:p>
    <w:p w:rsidR="00327923" w:rsidRPr="007C2DA2" w:rsidRDefault="00327923" w:rsidP="00A0226E">
      <w:pPr>
        <w:spacing w:after="0" w:line="276" w:lineRule="auto"/>
        <w:ind w:firstLine="709"/>
        <w:jc w:val="both"/>
        <w:rPr>
          <w:rFonts w:ascii="Arial" w:eastAsia="Times New Roman" w:hAnsi="Arial" w:cs="Arial"/>
          <w:color w:val="2E74B5" w:themeColor="accent1" w:themeShade="BF"/>
          <w:sz w:val="24"/>
          <w:szCs w:val="24"/>
          <w:lang w:eastAsia="es-MX"/>
        </w:rPr>
      </w:pPr>
    </w:p>
    <w:p w:rsidR="00327923" w:rsidRPr="007C2DA2" w:rsidRDefault="00327923" w:rsidP="00A0226E">
      <w:pPr>
        <w:spacing w:after="0" w:line="276" w:lineRule="auto"/>
        <w:ind w:firstLine="709"/>
        <w:jc w:val="both"/>
        <w:rPr>
          <w:rFonts w:ascii="Arial" w:eastAsia="Times New Roman" w:hAnsi="Arial" w:cs="Arial"/>
          <w:color w:val="2E74B5" w:themeColor="accent1" w:themeShade="BF"/>
          <w:sz w:val="24"/>
          <w:szCs w:val="24"/>
          <w:lang w:eastAsia="es-MX"/>
        </w:rPr>
      </w:pPr>
      <w:r w:rsidRPr="007C2DA2">
        <w:rPr>
          <w:rFonts w:ascii="Arial" w:eastAsia="Times New Roman" w:hAnsi="Arial" w:cs="Arial"/>
          <w:b/>
          <w:color w:val="2E74B5" w:themeColor="accent1" w:themeShade="BF"/>
          <w:sz w:val="24"/>
          <w:szCs w:val="24"/>
          <w:lang w:eastAsia="es-MX"/>
        </w:rPr>
        <w:t>TERCERO. Oportunidad del recurso</w:t>
      </w:r>
      <w:r w:rsidRPr="007C2DA2">
        <w:rPr>
          <w:rFonts w:ascii="Arial" w:eastAsia="Times New Roman" w:hAnsi="Arial" w:cs="Arial"/>
          <w:color w:val="2E74B5" w:themeColor="accent1" w:themeShade="BF"/>
          <w:sz w:val="24"/>
          <w:szCs w:val="24"/>
          <w:lang w:eastAsia="es-MX"/>
        </w:rPr>
        <w:t>. La interposición del escrito inicial del recurso de revisión fue oportuna al presentarse dentro del plazo de quince días a que se refiere el artículo 166 de la Ley de Transparencia y Acceso a la Información Pública del Estado, como se expone a continuación:</w:t>
      </w:r>
    </w:p>
    <w:p w:rsidR="00327923" w:rsidRPr="007C2DA2" w:rsidRDefault="00327923" w:rsidP="00A0226E">
      <w:pPr>
        <w:spacing w:after="0" w:line="276" w:lineRule="auto"/>
        <w:ind w:firstLine="709"/>
        <w:jc w:val="both"/>
        <w:rPr>
          <w:rFonts w:ascii="Arial" w:eastAsia="Times New Roman" w:hAnsi="Arial" w:cs="Arial"/>
          <w:color w:val="2E74B5" w:themeColor="accent1" w:themeShade="BF"/>
          <w:sz w:val="24"/>
          <w:szCs w:val="24"/>
          <w:lang w:eastAsia="es-MX"/>
        </w:rPr>
      </w:pPr>
    </w:p>
    <w:p w:rsidR="00327923" w:rsidRPr="007C2DA2" w:rsidRDefault="00327923" w:rsidP="00A0226E">
      <w:pPr>
        <w:numPr>
          <w:ilvl w:val="0"/>
          <w:numId w:val="3"/>
        </w:numPr>
        <w:spacing w:after="0" w:line="276" w:lineRule="auto"/>
        <w:jc w:val="both"/>
        <w:rPr>
          <w:rFonts w:ascii="Arial" w:eastAsia="Times New Roman" w:hAnsi="Arial" w:cs="Arial"/>
          <w:color w:val="2E74B5" w:themeColor="accent1" w:themeShade="BF"/>
          <w:sz w:val="24"/>
          <w:szCs w:val="24"/>
          <w:lang w:eastAsia="es-MX"/>
        </w:rPr>
      </w:pPr>
      <w:r w:rsidRPr="007C2DA2">
        <w:rPr>
          <w:rFonts w:ascii="Arial" w:eastAsia="Times New Roman" w:hAnsi="Arial" w:cs="Arial"/>
          <w:color w:val="2E74B5" w:themeColor="accent1" w:themeShade="BF"/>
          <w:sz w:val="24"/>
          <w:szCs w:val="24"/>
          <w:lang w:eastAsia="es-MX"/>
        </w:rPr>
        <w:t xml:space="preserve">El </w:t>
      </w:r>
      <w:r w:rsidR="000C2098" w:rsidRPr="007C2DA2">
        <w:rPr>
          <w:rFonts w:ascii="Arial" w:eastAsia="Times New Roman" w:hAnsi="Arial" w:cs="Arial"/>
          <w:color w:val="2E74B5" w:themeColor="accent1" w:themeShade="BF"/>
          <w:sz w:val="24"/>
          <w:szCs w:val="24"/>
          <w:lang w:eastAsia="es-MX"/>
        </w:rPr>
        <w:t xml:space="preserve">19 diecinueve de julio </w:t>
      </w:r>
      <w:r w:rsidRPr="007C2DA2">
        <w:rPr>
          <w:rFonts w:ascii="Arial" w:eastAsia="Times New Roman" w:hAnsi="Arial" w:cs="Arial"/>
          <w:color w:val="2E74B5" w:themeColor="accent1" w:themeShade="BF"/>
          <w:sz w:val="24"/>
          <w:szCs w:val="24"/>
          <w:lang w:eastAsia="es-MX"/>
        </w:rPr>
        <w:t>de 2018 dos mil dieciocho el solicitante de la información fue notificado de la respuesta a su solicitud.</w:t>
      </w:r>
    </w:p>
    <w:p w:rsidR="00327923" w:rsidRPr="007C2DA2" w:rsidRDefault="00327923" w:rsidP="00A0226E">
      <w:pPr>
        <w:numPr>
          <w:ilvl w:val="0"/>
          <w:numId w:val="3"/>
        </w:numPr>
        <w:spacing w:after="0" w:line="276" w:lineRule="auto"/>
        <w:jc w:val="both"/>
        <w:rPr>
          <w:rFonts w:ascii="Arial" w:eastAsia="Times New Roman" w:hAnsi="Arial" w:cs="Arial"/>
          <w:color w:val="2E74B5" w:themeColor="accent1" w:themeShade="BF"/>
          <w:sz w:val="24"/>
          <w:szCs w:val="24"/>
          <w:lang w:eastAsia="es-MX"/>
        </w:rPr>
      </w:pPr>
      <w:r w:rsidRPr="007C2DA2">
        <w:rPr>
          <w:rFonts w:ascii="Arial" w:eastAsia="Times New Roman" w:hAnsi="Arial" w:cs="Arial"/>
          <w:color w:val="2E74B5" w:themeColor="accent1" w:themeShade="BF"/>
          <w:sz w:val="24"/>
          <w:szCs w:val="24"/>
          <w:lang w:eastAsia="es-MX"/>
        </w:rPr>
        <w:t xml:space="preserve">Por lo tanto, el plazo de los quince días hábiles para interponer el recurso de revisión transcurrió del día </w:t>
      </w:r>
      <w:r w:rsidR="000C2098" w:rsidRPr="007C2DA2">
        <w:rPr>
          <w:rFonts w:ascii="Arial" w:eastAsia="Times New Roman" w:hAnsi="Arial" w:cs="Arial"/>
          <w:color w:val="2E74B5" w:themeColor="accent1" w:themeShade="BF"/>
          <w:sz w:val="24"/>
          <w:szCs w:val="24"/>
          <w:lang w:eastAsia="es-MX"/>
        </w:rPr>
        <w:t xml:space="preserve">20 veinte de julio al 23 veintitrés de agosto </w:t>
      </w:r>
      <w:r w:rsidRPr="007C2DA2">
        <w:rPr>
          <w:rFonts w:ascii="Arial" w:eastAsia="Times New Roman" w:hAnsi="Arial" w:cs="Arial"/>
          <w:color w:val="2E74B5" w:themeColor="accent1" w:themeShade="BF"/>
          <w:sz w:val="24"/>
          <w:szCs w:val="24"/>
          <w:lang w:eastAsia="es-MX"/>
        </w:rPr>
        <w:t xml:space="preserve">de este año. </w:t>
      </w:r>
    </w:p>
    <w:p w:rsidR="005A6E75" w:rsidRPr="007C2DA2" w:rsidRDefault="00327923" w:rsidP="00A0226E">
      <w:pPr>
        <w:numPr>
          <w:ilvl w:val="0"/>
          <w:numId w:val="3"/>
        </w:numPr>
        <w:spacing w:after="0" w:line="276" w:lineRule="auto"/>
        <w:jc w:val="both"/>
        <w:rPr>
          <w:rFonts w:ascii="Arial" w:hAnsi="Arial" w:cs="Arial"/>
          <w:color w:val="2E74B5" w:themeColor="accent1" w:themeShade="BF"/>
          <w:sz w:val="24"/>
          <w:szCs w:val="24"/>
        </w:rPr>
      </w:pPr>
      <w:r w:rsidRPr="007C2DA2">
        <w:rPr>
          <w:rFonts w:ascii="Arial" w:eastAsia="Times New Roman" w:hAnsi="Arial" w:cs="Arial"/>
          <w:color w:val="2E74B5" w:themeColor="accent1" w:themeShade="BF"/>
          <w:sz w:val="24"/>
          <w:szCs w:val="24"/>
          <w:lang w:eastAsia="es-MX"/>
        </w:rPr>
        <w:t>Se deben de descontar de dicho cómputo por ser inhábiles los días</w:t>
      </w:r>
      <w:r w:rsidR="000C2098" w:rsidRPr="007C2DA2">
        <w:rPr>
          <w:rFonts w:ascii="Arial" w:eastAsia="Times New Roman" w:hAnsi="Arial" w:cs="Arial"/>
          <w:color w:val="2E74B5" w:themeColor="accent1" w:themeShade="BF"/>
          <w:sz w:val="24"/>
          <w:szCs w:val="24"/>
          <w:lang w:eastAsia="es-MX"/>
        </w:rPr>
        <w:t xml:space="preserve"> 21 veintiuno y 22 veintidós de julio y del 23 del referido mes al 05 cinco de agosto</w:t>
      </w:r>
      <w:r w:rsidR="005A6E75" w:rsidRPr="007C2DA2">
        <w:rPr>
          <w:rFonts w:ascii="Arial" w:eastAsia="Times New Roman" w:hAnsi="Arial" w:cs="Arial"/>
          <w:color w:val="2E74B5" w:themeColor="accent1" w:themeShade="BF"/>
          <w:sz w:val="24"/>
          <w:szCs w:val="24"/>
          <w:lang w:eastAsia="es-MX"/>
        </w:rPr>
        <w:t xml:space="preserve"> de 2018 dos mil dieciocho </w:t>
      </w:r>
      <w:r w:rsidR="005A6E75" w:rsidRPr="007C2DA2">
        <w:rPr>
          <w:rFonts w:ascii="Arial" w:hAnsi="Arial" w:cs="Arial"/>
          <w:color w:val="2E74B5" w:themeColor="accent1" w:themeShade="BF"/>
          <w:sz w:val="24"/>
          <w:szCs w:val="24"/>
        </w:rPr>
        <w:t xml:space="preserve">por haber transcurrido el primer periodo vacacional </w:t>
      </w:r>
      <w:r w:rsidR="005A6E75" w:rsidRPr="007C2DA2">
        <w:rPr>
          <w:rFonts w:ascii="Arial" w:eastAsia="Times New Roman" w:hAnsi="Arial" w:cs="Arial"/>
          <w:color w:val="2E74B5" w:themeColor="accent1" w:themeShade="BF"/>
          <w:sz w:val="24"/>
          <w:szCs w:val="24"/>
          <w:lang w:eastAsia="es-MX"/>
        </w:rPr>
        <w:t xml:space="preserve">de esta Comisión, ello de conformidad con el acuerdo CEGAIP-10/2018 mediante el cual se aprobó el calendario de </w:t>
      </w:r>
      <w:bookmarkStart w:id="0" w:name="_GoBack"/>
      <w:bookmarkEnd w:id="0"/>
      <w:r w:rsidR="005A6E75" w:rsidRPr="007C2DA2">
        <w:rPr>
          <w:rFonts w:ascii="Arial" w:eastAsia="Times New Roman" w:hAnsi="Arial" w:cs="Arial"/>
          <w:color w:val="2E74B5" w:themeColor="accent1" w:themeShade="BF"/>
          <w:sz w:val="24"/>
          <w:szCs w:val="24"/>
          <w:lang w:eastAsia="es-MX"/>
        </w:rPr>
        <w:lastRenderedPageBreak/>
        <w:t>actividades para este Órgano Colegiado, emitido en sesió</w:t>
      </w:r>
      <w:r w:rsidR="009075BE">
        <w:rPr>
          <w:rFonts w:ascii="Arial" w:eastAsia="Times New Roman" w:hAnsi="Arial" w:cs="Arial"/>
          <w:color w:val="2E74B5" w:themeColor="accent1" w:themeShade="BF"/>
          <w:sz w:val="24"/>
          <w:szCs w:val="24"/>
          <w:lang w:eastAsia="es-MX"/>
        </w:rPr>
        <w:t>n ordinaria de 15 quince de enero</w:t>
      </w:r>
      <w:r w:rsidR="005A6E75" w:rsidRPr="007C2DA2">
        <w:rPr>
          <w:rFonts w:ascii="Arial" w:eastAsia="Times New Roman" w:hAnsi="Arial" w:cs="Arial"/>
          <w:color w:val="2E74B5" w:themeColor="accent1" w:themeShade="BF"/>
          <w:sz w:val="24"/>
          <w:szCs w:val="24"/>
          <w:lang w:eastAsia="es-MX"/>
        </w:rPr>
        <w:t xml:space="preserve"> de 2018 dos mil dieciocho.</w:t>
      </w:r>
    </w:p>
    <w:p w:rsidR="00327923" w:rsidRPr="007C2DA2" w:rsidRDefault="00327923" w:rsidP="00A0226E">
      <w:pPr>
        <w:numPr>
          <w:ilvl w:val="0"/>
          <w:numId w:val="3"/>
        </w:numPr>
        <w:spacing w:after="0" w:line="276" w:lineRule="auto"/>
        <w:jc w:val="both"/>
        <w:rPr>
          <w:rFonts w:ascii="Arial" w:eastAsia="Times New Roman" w:hAnsi="Arial" w:cs="Arial"/>
          <w:color w:val="2E74B5" w:themeColor="accent1" w:themeShade="BF"/>
          <w:sz w:val="24"/>
          <w:szCs w:val="24"/>
          <w:lang w:eastAsia="es-MX"/>
        </w:rPr>
      </w:pPr>
      <w:r w:rsidRPr="007C2DA2">
        <w:rPr>
          <w:rFonts w:ascii="Arial" w:eastAsia="Times New Roman" w:hAnsi="Arial" w:cs="Arial"/>
          <w:color w:val="2E74B5" w:themeColor="accent1" w:themeShade="BF"/>
          <w:sz w:val="24"/>
          <w:szCs w:val="24"/>
          <w:lang w:eastAsia="es-MX"/>
        </w:rPr>
        <w:t xml:space="preserve">Consecuentemente si el </w:t>
      </w:r>
      <w:r w:rsidR="005A6E75" w:rsidRPr="007C2DA2">
        <w:rPr>
          <w:rFonts w:ascii="Arial" w:eastAsia="Times New Roman" w:hAnsi="Arial" w:cs="Arial"/>
          <w:color w:val="2E74B5" w:themeColor="accent1" w:themeShade="BF"/>
          <w:sz w:val="24"/>
          <w:szCs w:val="24"/>
          <w:lang w:eastAsia="es-MX"/>
        </w:rPr>
        <w:t xml:space="preserve">20 veinte de julio </w:t>
      </w:r>
      <w:r w:rsidRPr="007C2DA2">
        <w:rPr>
          <w:rFonts w:ascii="Arial" w:eastAsia="Times New Roman" w:hAnsi="Arial" w:cs="Arial"/>
          <w:color w:val="2E74B5" w:themeColor="accent1" w:themeShade="BF"/>
          <w:sz w:val="24"/>
          <w:szCs w:val="24"/>
          <w:lang w:eastAsia="es-MX"/>
        </w:rPr>
        <w:t xml:space="preserve">de </w:t>
      </w:r>
      <w:r w:rsidR="005A6E75" w:rsidRPr="007C2DA2">
        <w:rPr>
          <w:rFonts w:ascii="Arial" w:eastAsia="Times New Roman" w:hAnsi="Arial" w:cs="Arial"/>
          <w:color w:val="2E74B5" w:themeColor="accent1" w:themeShade="BF"/>
          <w:sz w:val="24"/>
          <w:szCs w:val="24"/>
          <w:lang w:eastAsia="es-MX"/>
        </w:rPr>
        <w:t xml:space="preserve">del presente año </w:t>
      </w:r>
      <w:r w:rsidRPr="007C2DA2">
        <w:rPr>
          <w:rFonts w:ascii="Arial" w:eastAsia="Times New Roman" w:hAnsi="Arial" w:cs="Arial"/>
          <w:color w:val="2E74B5" w:themeColor="accent1" w:themeShade="BF"/>
          <w:sz w:val="24"/>
          <w:szCs w:val="24"/>
          <w:lang w:eastAsia="es-MX"/>
        </w:rPr>
        <w:t xml:space="preserve">el recurrente interpuso el citado medio de impugnación ante esta Comisión de Transparencia, resulta claro que es oportuna su presentación.  </w:t>
      </w:r>
    </w:p>
    <w:p w:rsidR="00327923" w:rsidRPr="007C2DA2" w:rsidRDefault="00327923" w:rsidP="00A0226E">
      <w:pPr>
        <w:pStyle w:val="corte4fondo"/>
        <w:spacing w:line="276" w:lineRule="auto"/>
        <w:ind w:left="1429" w:firstLine="0"/>
        <w:rPr>
          <w:rFonts w:cs="Arial"/>
          <w:color w:val="2E74B5" w:themeColor="accent1" w:themeShade="BF"/>
          <w:sz w:val="24"/>
          <w:szCs w:val="24"/>
          <w:lang w:val="es-MX"/>
        </w:rPr>
      </w:pPr>
    </w:p>
    <w:p w:rsidR="00010CB0" w:rsidRPr="007C2DA2" w:rsidRDefault="000C2098" w:rsidP="00827EC8">
      <w:pPr>
        <w:pStyle w:val="corte4fondo"/>
        <w:spacing w:line="276" w:lineRule="auto"/>
        <w:ind w:firstLine="708"/>
        <w:rPr>
          <w:rFonts w:cs="Arial"/>
          <w:color w:val="2E74B5" w:themeColor="accent1" w:themeShade="BF"/>
          <w:sz w:val="24"/>
          <w:szCs w:val="24"/>
          <w:lang w:val="es-MX"/>
        </w:rPr>
      </w:pPr>
      <w:r w:rsidRPr="007C2DA2">
        <w:rPr>
          <w:rFonts w:cs="Arial"/>
          <w:b/>
          <w:color w:val="2E74B5" w:themeColor="accent1" w:themeShade="BF"/>
          <w:sz w:val="24"/>
          <w:szCs w:val="24"/>
        </w:rPr>
        <w:t xml:space="preserve">CUARTO. </w:t>
      </w:r>
      <w:r w:rsidR="00327923" w:rsidRPr="007C2DA2">
        <w:rPr>
          <w:rFonts w:cs="Arial"/>
          <w:b/>
          <w:color w:val="2E74B5" w:themeColor="accent1" w:themeShade="BF"/>
          <w:sz w:val="24"/>
          <w:szCs w:val="24"/>
          <w:lang w:val="es-MX"/>
        </w:rPr>
        <w:t>Certeza del acto reclamado</w:t>
      </w:r>
      <w:r w:rsidR="00327923" w:rsidRPr="007C2DA2">
        <w:rPr>
          <w:rFonts w:cs="Arial"/>
          <w:color w:val="2E74B5" w:themeColor="accent1" w:themeShade="BF"/>
          <w:sz w:val="24"/>
          <w:szCs w:val="24"/>
          <w:lang w:val="es-MX"/>
        </w:rPr>
        <w:t xml:space="preserve">. </w:t>
      </w:r>
      <w:r w:rsidR="00010CB0" w:rsidRPr="007C2DA2">
        <w:rPr>
          <w:rFonts w:cs="Arial"/>
          <w:color w:val="2E74B5" w:themeColor="accent1" w:themeShade="BF"/>
          <w:sz w:val="24"/>
          <w:szCs w:val="24"/>
          <w:lang w:val="es-MX"/>
        </w:rPr>
        <w:t xml:space="preserve">Es cierto lo que se </w:t>
      </w:r>
      <w:proofErr w:type="gramStart"/>
      <w:r w:rsidR="00010CB0" w:rsidRPr="007C2DA2">
        <w:rPr>
          <w:rFonts w:cs="Arial"/>
          <w:color w:val="2E74B5" w:themeColor="accent1" w:themeShade="BF"/>
          <w:sz w:val="24"/>
          <w:szCs w:val="24"/>
          <w:lang w:val="es-MX"/>
        </w:rPr>
        <w:t>le</w:t>
      </w:r>
      <w:proofErr w:type="gramEnd"/>
      <w:r w:rsidR="00010CB0" w:rsidRPr="007C2DA2">
        <w:rPr>
          <w:rFonts w:cs="Arial"/>
          <w:color w:val="2E74B5" w:themeColor="accent1" w:themeShade="BF"/>
          <w:sz w:val="24"/>
          <w:szCs w:val="24"/>
          <w:lang w:val="es-MX"/>
        </w:rPr>
        <w:t xml:space="preserve"> reclama a los sujetos obligados en virtud de que, así lo reconocieron al momento de rendir el informe que le fue solicitado, así se desprende de autos ya que la solicitud de acceso a la información pública que nos ocupa fue dirigida precisamente a la aquí autoridad.</w:t>
      </w:r>
    </w:p>
    <w:p w:rsidR="00327923" w:rsidRPr="007C2DA2" w:rsidRDefault="00327923" w:rsidP="00A0226E">
      <w:pPr>
        <w:pStyle w:val="corte4fondo"/>
        <w:spacing w:line="276" w:lineRule="auto"/>
        <w:rPr>
          <w:rFonts w:cs="Arial"/>
          <w:color w:val="2E74B5" w:themeColor="accent1" w:themeShade="BF"/>
          <w:sz w:val="24"/>
          <w:szCs w:val="24"/>
          <w:lang w:val="es-MX"/>
        </w:rPr>
      </w:pPr>
    </w:p>
    <w:p w:rsidR="00327923" w:rsidRPr="007C2DA2" w:rsidRDefault="00327923" w:rsidP="00A0226E">
      <w:pPr>
        <w:pStyle w:val="corte4fondo"/>
        <w:spacing w:line="276" w:lineRule="auto"/>
        <w:ind w:firstLine="0"/>
        <w:rPr>
          <w:rFonts w:cs="Arial"/>
          <w:color w:val="2E74B5" w:themeColor="accent1" w:themeShade="BF"/>
          <w:sz w:val="24"/>
          <w:szCs w:val="24"/>
        </w:rPr>
      </w:pPr>
      <w:r w:rsidRPr="007C2DA2">
        <w:rPr>
          <w:rFonts w:cs="Arial"/>
          <w:b/>
          <w:color w:val="2E74B5" w:themeColor="accent1" w:themeShade="BF"/>
          <w:sz w:val="24"/>
          <w:szCs w:val="24"/>
          <w:lang w:val="es-MX"/>
        </w:rPr>
        <w:tab/>
      </w:r>
      <w:r w:rsidR="000C2098" w:rsidRPr="007C2DA2">
        <w:rPr>
          <w:rFonts w:cs="Arial"/>
          <w:b/>
          <w:color w:val="2E74B5" w:themeColor="accent1" w:themeShade="BF"/>
          <w:sz w:val="24"/>
          <w:szCs w:val="24"/>
          <w:lang w:val="es-MX"/>
        </w:rPr>
        <w:t>QUINTO</w:t>
      </w:r>
      <w:r w:rsidRPr="007C2DA2">
        <w:rPr>
          <w:rFonts w:cs="Arial"/>
          <w:color w:val="2E74B5" w:themeColor="accent1" w:themeShade="BF"/>
          <w:sz w:val="24"/>
          <w:szCs w:val="24"/>
          <w:lang w:val="es-MX"/>
        </w:rPr>
        <w:t xml:space="preserve">. </w:t>
      </w:r>
      <w:r w:rsidRPr="007C2DA2">
        <w:rPr>
          <w:rFonts w:cs="Arial"/>
          <w:b/>
          <w:color w:val="2E74B5" w:themeColor="accent1" w:themeShade="BF"/>
          <w:sz w:val="24"/>
          <w:szCs w:val="24"/>
        </w:rPr>
        <w:t xml:space="preserve">Causales de improcedencia. </w:t>
      </w:r>
      <w:r w:rsidRPr="007C2DA2">
        <w:rPr>
          <w:rFonts w:cs="Arial"/>
          <w:color w:val="2E74B5" w:themeColor="accent1" w:themeShade="BF"/>
          <w:sz w:val="24"/>
          <w:szCs w:val="24"/>
        </w:rPr>
        <w:t>Las causales de improcedencia previstas en el artículo 179 de la Ley de Transparencia son de estudio oficioso y preferente a cualquier otra cuestión planteada, por lo tanto, al no haber causal de improcedencia invocada por las partes o advertida por este órgano colegiado,  se analiza el fondo de la cuestión planteada.</w:t>
      </w:r>
    </w:p>
    <w:p w:rsidR="00327923" w:rsidRPr="007C2DA2" w:rsidRDefault="00327923" w:rsidP="00A0226E">
      <w:pPr>
        <w:pStyle w:val="corte4fondo"/>
        <w:spacing w:line="276" w:lineRule="auto"/>
        <w:rPr>
          <w:rFonts w:cs="Arial"/>
          <w:color w:val="2E74B5" w:themeColor="accent1" w:themeShade="BF"/>
          <w:sz w:val="24"/>
          <w:szCs w:val="24"/>
          <w:lang w:val="es-MX"/>
        </w:rPr>
      </w:pPr>
    </w:p>
    <w:p w:rsidR="00327923" w:rsidRPr="007C2DA2" w:rsidRDefault="000C2098" w:rsidP="00A0226E">
      <w:pPr>
        <w:pStyle w:val="corte4fondo"/>
        <w:spacing w:line="276" w:lineRule="auto"/>
        <w:rPr>
          <w:rFonts w:cs="Arial"/>
          <w:color w:val="2E74B5" w:themeColor="accent1" w:themeShade="BF"/>
          <w:sz w:val="24"/>
          <w:szCs w:val="24"/>
        </w:rPr>
      </w:pPr>
      <w:r w:rsidRPr="007C2DA2">
        <w:rPr>
          <w:rFonts w:cs="Arial"/>
          <w:b/>
          <w:color w:val="2E74B5" w:themeColor="accent1" w:themeShade="BF"/>
          <w:sz w:val="24"/>
          <w:szCs w:val="24"/>
          <w:lang w:val="es-MX"/>
        </w:rPr>
        <w:t>SEXTO</w:t>
      </w:r>
      <w:r w:rsidR="00327923" w:rsidRPr="007C2DA2">
        <w:rPr>
          <w:rFonts w:cs="Arial"/>
          <w:b/>
          <w:color w:val="2E74B5" w:themeColor="accent1" w:themeShade="BF"/>
          <w:sz w:val="24"/>
          <w:szCs w:val="24"/>
        </w:rPr>
        <w:t>. Estudio de los agravios</w:t>
      </w:r>
      <w:r w:rsidR="00327923" w:rsidRPr="007C2DA2">
        <w:rPr>
          <w:rFonts w:cs="Arial"/>
          <w:color w:val="2E74B5" w:themeColor="accent1" w:themeShade="BF"/>
          <w:sz w:val="24"/>
          <w:szCs w:val="24"/>
        </w:rPr>
        <w:t xml:space="preserve">.  </w:t>
      </w:r>
    </w:p>
    <w:p w:rsidR="00327923" w:rsidRPr="007C2DA2" w:rsidRDefault="00327923" w:rsidP="00A0226E">
      <w:pPr>
        <w:pStyle w:val="corte4fondo"/>
        <w:spacing w:line="276" w:lineRule="auto"/>
        <w:ind w:firstLine="0"/>
        <w:rPr>
          <w:rFonts w:cs="Arial"/>
          <w:color w:val="2E74B5" w:themeColor="accent1" w:themeShade="BF"/>
          <w:sz w:val="24"/>
          <w:szCs w:val="24"/>
        </w:rPr>
      </w:pPr>
    </w:p>
    <w:p w:rsidR="00327923" w:rsidRPr="007C2DA2" w:rsidRDefault="00327923" w:rsidP="00A0226E">
      <w:pPr>
        <w:pStyle w:val="corte4fondo"/>
        <w:spacing w:line="276" w:lineRule="auto"/>
        <w:ind w:firstLine="0"/>
        <w:rPr>
          <w:rFonts w:cs="Arial"/>
          <w:b/>
          <w:color w:val="2E74B5" w:themeColor="accent1" w:themeShade="BF"/>
          <w:sz w:val="24"/>
          <w:szCs w:val="24"/>
          <w:lang w:val="es-MX"/>
        </w:rPr>
      </w:pPr>
      <w:r w:rsidRPr="007C2DA2">
        <w:rPr>
          <w:rFonts w:cs="Arial"/>
          <w:color w:val="2E74B5" w:themeColor="accent1" w:themeShade="BF"/>
          <w:sz w:val="24"/>
          <w:szCs w:val="24"/>
          <w:lang w:val="es-MX"/>
        </w:rPr>
        <w:tab/>
      </w:r>
      <w:r w:rsidR="00010CB0" w:rsidRPr="007C2DA2">
        <w:rPr>
          <w:rFonts w:cs="Arial"/>
          <w:b/>
          <w:color w:val="2E74B5" w:themeColor="accent1" w:themeShade="BF"/>
          <w:sz w:val="24"/>
          <w:szCs w:val="24"/>
          <w:lang w:val="es-MX"/>
        </w:rPr>
        <w:t>6</w:t>
      </w:r>
      <w:r w:rsidRPr="007C2DA2">
        <w:rPr>
          <w:rFonts w:cs="Arial"/>
          <w:b/>
          <w:color w:val="2E74B5" w:themeColor="accent1" w:themeShade="BF"/>
          <w:sz w:val="24"/>
          <w:szCs w:val="24"/>
          <w:lang w:val="es-MX"/>
        </w:rPr>
        <w:t>.1 Agravio.</w:t>
      </w:r>
    </w:p>
    <w:p w:rsidR="00327923" w:rsidRPr="007C2DA2" w:rsidRDefault="00327923" w:rsidP="00A0226E">
      <w:pPr>
        <w:pStyle w:val="corte4fondo"/>
        <w:spacing w:line="276" w:lineRule="auto"/>
        <w:ind w:firstLine="0"/>
        <w:rPr>
          <w:rFonts w:cs="Arial"/>
          <w:color w:val="2E74B5" w:themeColor="accent1" w:themeShade="BF"/>
          <w:sz w:val="24"/>
          <w:szCs w:val="24"/>
          <w:lang w:val="es-MX"/>
        </w:rPr>
      </w:pPr>
    </w:p>
    <w:p w:rsidR="00010CB0" w:rsidRPr="007C2DA2" w:rsidRDefault="00327923" w:rsidP="00A0226E">
      <w:pPr>
        <w:pStyle w:val="corte4fondo"/>
        <w:spacing w:line="276" w:lineRule="auto"/>
        <w:rPr>
          <w:rFonts w:cs="Arial"/>
          <w:i/>
          <w:color w:val="2E74B5" w:themeColor="accent1" w:themeShade="BF"/>
          <w:sz w:val="18"/>
          <w:szCs w:val="18"/>
          <w:lang w:val="es-MX"/>
        </w:rPr>
      </w:pPr>
      <w:r w:rsidRPr="007C2DA2">
        <w:rPr>
          <w:rFonts w:cs="Arial"/>
          <w:color w:val="2E74B5" w:themeColor="accent1" w:themeShade="BF"/>
          <w:sz w:val="24"/>
          <w:szCs w:val="24"/>
          <w:lang w:val="es-MX"/>
        </w:rPr>
        <w:t xml:space="preserve">El recurrente expresó como motivo de agravio, </w:t>
      </w:r>
      <w:r w:rsidR="00010CB0" w:rsidRPr="007C2DA2">
        <w:rPr>
          <w:rFonts w:cs="Arial"/>
          <w:i/>
          <w:color w:val="2E74B5" w:themeColor="accent1" w:themeShade="BF"/>
          <w:sz w:val="18"/>
          <w:szCs w:val="18"/>
          <w:lang w:val="es-MX"/>
        </w:rPr>
        <w:t>“…SE QUE LOS DISTRITOS SE DIVIDEN EN SECTORES, PERO MI PREGUNTA FUE QUE COLONIAS COMPRENDEN ESTOS DISTRITOS.</w:t>
      </w:r>
    </w:p>
    <w:p w:rsidR="00010CB0" w:rsidRPr="007C2DA2" w:rsidRDefault="00010CB0" w:rsidP="00A0226E">
      <w:pPr>
        <w:pStyle w:val="corte4fondo"/>
        <w:spacing w:line="276" w:lineRule="auto"/>
        <w:rPr>
          <w:rFonts w:cs="Arial"/>
          <w:i/>
          <w:color w:val="2E74B5" w:themeColor="accent1" w:themeShade="BF"/>
          <w:sz w:val="18"/>
          <w:szCs w:val="18"/>
          <w:lang w:val="es-MX"/>
        </w:rPr>
      </w:pPr>
      <w:r w:rsidRPr="007C2DA2">
        <w:rPr>
          <w:rFonts w:cs="Arial"/>
          <w:i/>
          <w:color w:val="2E74B5" w:themeColor="accent1" w:themeShade="BF"/>
          <w:sz w:val="18"/>
          <w:szCs w:val="18"/>
          <w:lang w:val="es-MX"/>
        </w:rPr>
        <w:t>YA QUE SI BIEN ES CIERTO COMO LO SEÑALAN EN SU CONTESTACIÓN PUEDE SER QUE USTEDES GENEREN DICHA INFORMACIÓN, PERO TAMBIÉN LO ES QUE USTEDES SI MANEJAN ESTOS DATOS</w:t>
      </w:r>
    </w:p>
    <w:p w:rsidR="00327923" w:rsidRPr="007C2DA2" w:rsidRDefault="00010CB0" w:rsidP="00A0226E">
      <w:pPr>
        <w:pStyle w:val="corte4fondo"/>
        <w:spacing w:line="276" w:lineRule="auto"/>
        <w:rPr>
          <w:rFonts w:cs="Arial"/>
          <w:i/>
          <w:color w:val="2E74B5" w:themeColor="accent1" w:themeShade="BF"/>
          <w:sz w:val="18"/>
          <w:szCs w:val="18"/>
          <w:lang w:val="es-MX"/>
        </w:rPr>
      </w:pPr>
      <w:r w:rsidRPr="007C2DA2">
        <w:rPr>
          <w:rFonts w:cs="Arial"/>
          <w:i/>
          <w:color w:val="2E74B5" w:themeColor="accent1" w:themeShade="BF"/>
          <w:sz w:val="18"/>
          <w:szCs w:val="18"/>
          <w:lang w:val="es-MX"/>
        </w:rPr>
        <w:t>SOLICITO ATENTAMENTE DEN CONTESTACIÓN A LO SOLICITADO</w:t>
      </w:r>
      <w:r w:rsidR="00327923" w:rsidRPr="007C2DA2">
        <w:rPr>
          <w:rFonts w:cs="Arial"/>
          <w:i/>
          <w:color w:val="2E74B5" w:themeColor="accent1" w:themeShade="BF"/>
          <w:sz w:val="18"/>
          <w:szCs w:val="18"/>
          <w:lang w:val="es-MX"/>
        </w:rPr>
        <w:t>…”</w:t>
      </w:r>
    </w:p>
    <w:p w:rsidR="00327923" w:rsidRPr="007C2DA2" w:rsidRDefault="00327923" w:rsidP="00A0226E">
      <w:pPr>
        <w:pStyle w:val="corte4fondo"/>
        <w:spacing w:line="276" w:lineRule="auto"/>
        <w:ind w:firstLine="0"/>
        <w:rPr>
          <w:rFonts w:cs="Arial"/>
          <w:i/>
          <w:color w:val="2E74B5" w:themeColor="accent1" w:themeShade="BF"/>
          <w:sz w:val="18"/>
          <w:szCs w:val="18"/>
          <w:lang w:val="es-MX"/>
        </w:rPr>
      </w:pPr>
    </w:p>
    <w:p w:rsidR="00327923" w:rsidRDefault="00327923" w:rsidP="000F488A">
      <w:pPr>
        <w:pStyle w:val="corte4fondo"/>
        <w:spacing w:line="276" w:lineRule="auto"/>
        <w:ind w:firstLine="0"/>
        <w:rPr>
          <w:rFonts w:cs="Arial"/>
          <w:color w:val="2E74B5" w:themeColor="accent1" w:themeShade="BF"/>
          <w:sz w:val="24"/>
          <w:szCs w:val="24"/>
          <w:lang w:val="es-MX"/>
        </w:rPr>
      </w:pPr>
      <w:r w:rsidRPr="007C2DA2">
        <w:rPr>
          <w:rFonts w:cs="Arial"/>
          <w:color w:val="2E74B5" w:themeColor="accent1" w:themeShade="BF"/>
          <w:sz w:val="24"/>
          <w:szCs w:val="24"/>
          <w:lang w:val="es-MX"/>
        </w:rPr>
        <w:tab/>
      </w:r>
      <w:r w:rsidR="00010CB0" w:rsidRPr="007C2DA2">
        <w:rPr>
          <w:rFonts w:cs="Arial"/>
          <w:b/>
          <w:color w:val="2E74B5" w:themeColor="accent1" w:themeShade="BF"/>
          <w:sz w:val="24"/>
          <w:szCs w:val="24"/>
          <w:lang w:val="es-MX"/>
        </w:rPr>
        <w:t>6</w:t>
      </w:r>
      <w:r w:rsidRPr="007C2DA2">
        <w:rPr>
          <w:rFonts w:cs="Arial"/>
          <w:b/>
          <w:color w:val="2E74B5" w:themeColor="accent1" w:themeShade="BF"/>
          <w:sz w:val="24"/>
          <w:szCs w:val="24"/>
          <w:lang w:val="es-MX"/>
        </w:rPr>
        <w:t>.1.1. Agravio fundado pero inoperante</w:t>
      </w:r>
      <w:r w:rsidRPr="007C2DA2">
        <w:rPr>
          <w:rFonts w:cs="Arial"/>
          <w:color w:val="2E74B5" w:themeColor="accent1" w:themeShade="BF"/>
          <w:sz w:val="24"/>
          <w:szCs w:val="24"/>
          <w:lang w:val="es-MX"/>
        </w:rPr>
        <w:t>.</w:t>
      </w:r>
    </w:p>
    <w:p w:rsidR="000F488A" w:rsidRPr="007C2DA2" w:rsidRDefault="000F488A" w:rsidP="000F488A">
      <w:pPr>
        <w:pStyle w:val="corte4fondo"/>
        <w:spacing w:line="276" w:lineRule="auto"/>
        <w:ind w:firstLine="0"/>
        <w:rPr>
          <w:rFonts w:cs="Arial"/>
          <w:color w:val="2E74B5" w:themeColor="accent1" w:themeShade="BF"/>
          <w:sz w:val="24"/>
          <w:szCs w:val="24"/>
          <w:lang w:val="es-MX"/>
        </w:rPr>
      </w:pPr>
    </w:p>
    <w:p w:rsidR="001B1F2E" w:rsidRDefault="001B1F2E" w:rsidP="000F488A">
      <w:pPr>
        <w:pStyle w:val="corte4fondo"/>
        <w:spacing w:line="276" w:lineRule="auto"/>
        <w:ind w:firstLine="708"/>
        <w:rPr>
          <w:rFonts w:cs="Arial"/>
          <w:color w:val="2E74B5" w:themeColor="accent1" w:themeShade="BF"/>
          <w:sz w:val="24"/>
          <w:szCs w:val="24"/>
          <w:lang w:val="es-MX"/>
        </w:rPr>
      </w:pPr>
      <w:r w:rsidRPr="007C2DA2">
        <w:rPr>
          <w:rFonts w:cs="Arial"/>
          <w:color w:val="2E74B5" w:themeColor="accent1" w:themeShade="BF"/>
          <w:sz w:val="24"/>
          <w:szCs w:val="24"/>
          <w:lang w:val="es-MX"/>
        </w:rPr>
        <w:t>Es fundado lo alegado por el recurrente en virtud de que cuando el sujeto obligado determine la notoria incompetencia debe de fundar y motiva dicha situación.</w:t>
      </w:r>
      <w:r w:rsidRPr="007C2DA2">
        <w:rPr>
          <w:rFonts w:cs="Arial"/>
          <w:color w:val="2E74B5" w:themeColor="accent1" w:themeShade="BF"/>
          <w:sz w:val="24"/>
          <w:szCs w:val="24"/>
          <w:lang w:val="es-MX"/>
        </w:rPr>
        <w:tab/>
      </w:r>
    </w:p>
    <w:p w:rsidR="000F488A" w:rsidRPr="007C2DA2" w:rsidRDefault="000F488A" w:rsidP="000F488A">
      <w:pPr>
        <w:pStyle w:val="corte4fondo"/>
        <w:spacing w:line="276" w:lineRule="auto"/>
        <w:ind w:firstLine="0"/>
        <w:rPr>
          <w:rFonts w:cs="Arial"/>
          <w:color w:val="2E74B5" w:themeColor="accent1" w:themeShade="BF"/>
          <w:sz w:val="24"/>
          <w:szCs w:val="24"/>
          <w:lang w:val="es-MX"/>
        </w:rPr>
      </w:pPr>
    </w:p>
    <w:p w:rsidR="001B1F2E" w:rsidRPr="007C2DA2" w:rsidRDefault="001B1F2E" w:rsidP="000F488A">
      <w:pPr>
        <w:pStyle w:val="corte4fondo"/>
        <w:spacing w:line="276" w:lineRule="auto"/>
        <w:ind w:firstLine="0"/>
        <w:rPr>
          <w:rFonts w:cs="Arial"/>
          <w:color w:val="2E74B5" w:themeColor="accent1" w:themeShade="BF"/>
          <w:sz w:val="24"/>
          <w:szCs w:val="24"/>
          <w:lang w:val="es-MX"/>
        </w:rPr>
      </w:pPr>
      <w:r w:rsidRPr="007C2DA2">
        <w:rPr>
          <w:rFonts w:cs="Arial"/>
          <w:color w:val="2E74B5" w:themeColor="accent1" w:themeShade="BF"/>
          <w:sz w:val="24"/>
          <w:szCs w:val="24"/>
          <w:lang w:val="es-MX"/>
        </w:rPr>
        <w:tab/>
        <w:t>Sobre lo mencionado, los artículos 18, 19, 20, 54, fracción III y 158, de la Ley de Transparencia establecen que:</w:t>
      </w:r>
    </w:p>
    <w:p w:rsidR="001B1F2E" w:rsidRPr="007C2DA2" w:rsidRDefault="001B1F2E" w:rsidP="00A0226E">
      <w:pPr>
        <w:pStyle w:val="corte4fondo"/>
        <w:spacing w:line="276" w:lineRule="auto"/>
        <w:ind w:firstLine="0"/>
        <w:rPr>
          <w:rFonts w:cs="Arial"/>
          <w:color w:val="2E74B5" w:themeColor="accent1" w:themeShade="BF"/>
          <w:sz w:val="24"/>
          <w:szCs w:val="24"/>
          <w:lang w:val="es-MX"/>
        </w:rPr>
      </w:pPr>
    </w:p>
    <w:p w:rsidR="001B1F2E" w:rsidRPr="007C2DA2" w:rsidRDefault="001B1F2E" w:rsidP="00A0226E">
      <w:pPr>
        <w:pStyle w:val="Default"/>
        <w:spacing w:line="276" w:lineRule="auto"/>
        <w:ind w:left="708"/>
        <w:jc w:val="both"/>
        <w:rPr>
          <w:color w:val="2E74B5" w:themeColor="accent1" w:themeShade="BF"/>
          <w:sz w:val="20"/>
          <w:szCs w:val="20"/>
        </w:rPr>
      </w:pPr>
      <w:r w:rsidRPr="007C2DA2">
        <w:rPr>
          <w:b/>
          <w:bCs/>
          <w:color w:val="2E74B5" w:themeColor="accent1" w:themeShade="BF"/>
          <w:sz w:val="20"/>
          <w:szCs w:val="20"/>
        </w:rPr>
        <w:t xml:space="preserve">ARTÍCULO 18. </w:t>
      </w:r>
      <w:r w:rsidRPr="007C2DA2">
        <w:rPr>
          <w:color w:val="2E74B5" w:themeColor="accent1" w:themeShade="BF"/>
          <w:sz w:val="20"/>
          <w:szCs w:val="20"/>
        </w:rPr>
        <w:t xml:space="preserve">Los sujetos obligados deberán documentar todo acto que derive del ejercicio de sus facultades, competencias o funciones. </w:t>
      </w:r>
    </w:p>
    <w:p w:rsidR="001B1F2E" w:rsidRPr="007C2DA2" w:rsidRDefault="001B1F2E" w:rsidP="00A0226E">
      <w:pPr>
        <w:pStyle w:val="Default"/>
        <w:spacing w:line="276" w:lineRule="auto"/>
        <w:ind w:left="708"/>
        <w:rPr>
          <w:color w:val="2E74B5" w:themeColor="accent1" w:themeShade="BF"/>
          <w:sz w:val="20"/>
          <w:szCs w:val="20"/>
        </w:rPr>
      </w:pPr>
    </w:p>
    <w:p w:rsidR="001B1F2E" w:rsidRPr="007C2DA2" w:rsidRDefault="001B1F2E" w:rsidP="00A0226E">
      <w:pPr>
        <w:pStyle w:val="Default"/>
        <w:spacing w:line="276" w:lineRule="auto"/>
        <w:ind w:left="708"/>
        <w:jc w:val="both"/>
        <w:rPr>
          <w:color w:val="2E74B5" w:themeColor="accent1" w:themeShade="BF"/>
          <w:sz w:val="20"/>
          <w:szCs w:val="20"/>
        </w:rPr>
      </w:pPr>
      <w:r w:rsidRPr="007C2DA2">
        <w:rPr>
          <w:b/>
          <w:bCs/>
          <w:color w:val="2E74B5" w:themeColor="accent1" w:themeShade="BF"/>
          <w:sz w:val="20"/>
          <w:szCs w:val="20"/>
        </w:rPr>
        <w:t xml:space="preserve">ARTÍCULO 19. </w:t>
      </w:r>
      <w:r w:rsidRPr="007C2DA2">
        <w:rPr>
          <w:color w:val="2E74B5" w:themeColor="accent1" w:themeShade="BF"/>
          <w:sz w:val="20"/>
          <w:szCs w:val="20"/>
        </w:rPr>
        <w:t xml:space="preserve">Se presume que la información debe existir si se refiere a las facultades, competencias y funciones que los ordenamientos jurídicos aplicables otorgan a los sujetos obligados. </w:t>
      </w:r>
    </w:p>
    <w:p w:rsidR="001B1F2E" w:rsidRPr="007C2DA2" w:rsidRDefault="001B1F2E" w:rsidP="00A0226E">
      <w:pPr>
        <w:pStyle w:val="corte4fondo"/>
        <w:spacing w:line="276" w:lineRule="auto"/>
        <w:ind w:left="708" w:firstLine="0"/>
        <w:rPr>
          <w:color w:val="2E74B5" w:themeColor="accent1" w:themeShade="BF"/>
          <w:sz w:val="20"/>
          <w:lang w:val="es-MX"/>
        </w:rPr>
      </w:pPr>
      <w:r w:rsidRPr="007C2DA2">
        <w:rPr>
          <w:color w:val="2E74B5" w:themeColor="accent1" w:themeShade="BF"/>
          <w:sz w:val="20"/>
        </w:rPr>
        <w:t>En los casos en que ciertas facultades, competencias o funciones no se hayan ejercido, se debe motivar la respuesta en función de las causas que motiven la inexistencia.</w:t>
      </w:r>
    </w:p>
    <w:p w:rsidR="001B1F2E" w:rsidRPr="007C2DA2" w:rsidRDefault="001B1F2E" w:rsidP="00A0226E">
      <w:pPr>
        <w:pStyle w:val="corte4fondo"/>
        <w:spacing w:line="276" w:lineRule="auto"/>
        <w:ind w:left="708" w:firstLine="0"/>
        <w:rPr>
          <w:color w:val="2E74B5" w:themeColor="accent1" w:themeShade="BF"/>
          <w:sz w:val="20"/>
          <w:lang w:val="es-MX"/>
        </w:rPr>
      </w:pPr>
    </w:p>
    <w:p w:rsidR="001B1F2E" w:rsidRPr="007C2DA2" w:rsidRDefault="001B1F2E" w:rsidP="00A0226E">
      <w:pPr>
        <w:pStyle w:val="corte4fondo"/>
        <w:spacing w:line="276" w:lineRule="auto"/>
        <w:ind w:left="708" w:firstLine="0"/>
        <w:rPr>
          <w:b/>
          <w:bCs/>
          <w:color w:val="2E74B5" w:themeColor="accent1" w:themeShade="BF"/>
          <w:sz w:val="20"/>
          <w:lang w:val="es-MX"/>
        </w:rPr>
      </w:pPr>
      <w:r w:rsidRPr="007C2DA2">
        <w:rPr>
          <w:b/>
          <w:bCs/>
          <w:color w:val="2E74B5" w:themeColor="accent1" w:themeShade="BF"/>
          <w:sz w:val="20"/>
        </w:rPr>
        <w:t xml:space="preserve">ARTÍCULO 20. </w:t>
      </w:r>
      <w:r w:rsidRPr="007C2DA2">
        <w:rPr>
          <w:color w:val="2E74B5" w:themeColor="accent1" w:themeShade="BF"/>
          <w:sz w:val="20"/>
        </w:rPr>
        <w:t xml:space="preserve">Ante la negativa del acceso a la información o su inexistencia, el sujeto obligado deberá demostrar que la información solicitada está prevista en alguna de las </w:t>
      </w:r>
      <w:r w:rsidRPr="007C2DA2">
        <w:rPr>
          <w:color w:val="2E74B5" w:themeColor="accent1" w:themeShade="BF"/>
          <w:sz w:val="20"/>
        </w:rPr>
        <w:lastRenderedPageBreak/>
        <w:t>excepciones contenidas en esta Ley o, en su caso, demostrar que la información no se refiere a alguna de sus facultades, competencias o funciones.</w:t>
      </w:r>
    </w:p>
    <w:p w:rsidR="001B1F2E" w:rsidRPr="007C2DA2" w:rsidRDefault="001B1F2E" w:rsidP="00A0226E">
      <w:pPr>
        <w:pStyle w:val="corte4fondo"/>
        <w:spacing w:line="276" w:lineRule="auto"/>
        <w:ind w:left="708" w:firstLine="0"/>
        <w:rPr>
          <w:b/>
          <w:bCs/>
          <w:color w:val="2E74B5" w:themeColor="accent1" w:themeShade="BF"/>
          <w:sz w:val="20"/>
          <w:lang w:val="es-MX"/>
        </w:rPr>
      </w:pPr>
    </w:p>
    <w:p w:rsidR="001B1F2E" w:rsidRPr="007C2DA2" w:rsidRDefault="001B1F2E" w:rsidP="00A0226E">
      <w:pPr>
        <w:pStyle w:val="corte4fondo"/>
        <w:spacing w:line="276" w:lineRule="auto"/>
        <w:ind w:left="708" w:firstLine="0"/>
        <w:rPr>
          <w:color w:val="2E74B5" w:themeColor="accent1" w:themeShade="BF"/>
          <w:sz w:val="20"/>
          <w:lang w:val="es-MX"/>
        </w:rPr>
      </w:pPr>
      <w:r w:rsidRPr="007C2DA2">
        <w:rPr>
          <w:b/>
          <w:bCs/>
          <w:color w:val="2E74B5" w:themeColor="accent1" w:themeShade="BF"/>
          <w:sz w:val="20"/>
        </w:rPr>
        <w:t xml:space="preserve">ARTÍCULO 54. </w:t>
      </w:r>
      <w:r w:rsidRPr="007C2DA2">
        <w:rPr>
          <w:color w:val="2E74B5" w:themeColor="accent1" w:themeShade="BF"/>
          <w:sz w:val="20"/>
        </w:rPr>
        <w:t xml:space="preserve">Los sujetos obligados designarán al responsable de la Unidad de Transparencia que tendrá las siguientes funciones: </w:t>
      </w:r>
    </w:p>
    <w:p w:rsidR="001B1F2E" w:rsidRPr="007C2DA2" w:rsidRDefault="001B1F2E" w:rsidP="00A0226E">
      <w:pPr>
        <w:pStyle w:val="corte4fondo"/>
        <w:spacing w:line="276" w:lineRule="auto"/>
        <w:ind w:left="708" w:firstLine="0"/>
        <w:rPr>
          <w:color w:val="2E74B5" w:themeColor="accent1" w:themeShade="BF"/>
          <w:sz w:val="20"/>
          <w:lang w:val="es-MX"/>
        </w:rPr>
      </w:pPr>
      <w:r w:rsidRPr="007C2DA2">
        <w:rPr>
          <w:color w:val="2E74B5" w:themeColor="accent1" w:themeShade="BF"/>
          <w:sz w:val="20"/>
          <w:lang w:val="es-MX"/>
        </w:rPr>
        <w:t>[…]</w:t>
      </w:r>
    </w:p>
    <w:p w:rsidR="001B1F2E" w:rsidRPr="007C2DA2" w:rsidRDefault="001B1F2E" w:rsidP="00A0226E">
      <w:pPr>
        <w:pStyle w:val="corte4fondo"/>
        <w:spacing w:line="276" w:lineRule="auto"/>
        <w:ind w:left="708" w:firstLine="0"/>
        <w:rPr>
          <w:color w:val="2E74B5" w:themeColor="accent1" w:themeShade="BF"/>
          <w:sz w:val="20"/>
          <w:lang w:val="es-MX"/>
        </w:rPr>
      </w:pPr>
      <w:r w:rsidRPr="007C2DA2">
        <w:rPr>
          <w:b/>
          <w:bCs/>
          <w:color w:val="2E74B5" w:themeColor="accent1" w:themeShade="BF"/>
          <w:sz w:val="20"/>
        </w:rPr>
        <w:t>III</w:t>
      </w:r>
      <w:r w:rsidRPr="007C2DA2">
        <w:rPr>
          <w:color w:val="2E74B5" w:themeColor="accent1" w:themeShade="BF"/>
          <w:sz w:val="20"/>
        </w:rPr>
        <w:t>. Auxiliar a los particulares en la elaboración de solicitudes de acceso a la información y, en su caso, orientarlos sobre los sujetos obligados competentes conforme a la normatividad aplicable;</w:t>
      </w:r>
    </w:p>
    <w:p w:rsidR="001B1F2E" w:rsidRPr="007C2DA2" w:rsidRDefault="001B1F2E" w:rsidP="00A0226E">
      <w:pPr>
        <w:pStyle w:val="corte4fondo"/>
        <w:spacing w:line="276" w:lineRule="auto"/>
        <w:ind w:left="708" w:firstLine="0"/>
        <w:rPr>
          <w:color w:val="2E74B5" w:themeColor="accent1" w:themeShade="BF"/>
          <w:sz w:val="20"/>
          <w:lang w:val="es-MX"/>
        </w:rPr>
      </w:pPr>
    </w:p>
    <w:p w:rsidR="001B1F2E" w:rsidRPr="007C2DA2" w:rsidRDefault="001B1F2E" w:rsidP="00A0226E">
      <w:pPr>
        <w:pStyle w:val="corte4fondo"/>
        <w:spacing w:line="276" w:lineRule="auto"/>
        <w:ind w:left="708" w:firstLine="0"/>
        <w:rPr>
          <w:color w:val="2E74B5" w:themeColor="accent1" w:themeShade="BF"/>
          <w:sz w:val="20"/>
        </w:rPr>
      </w:pPr>
      <w:r w:rsidRPr="007C2DA2">
        <w:rPr>
          <w:b/>
          <w:bCs/>
          <w:color w:val="2E74B5" w:themeColor="accent1" w:themeShade="BF"/>
          <w:sz w:val="20"/>
        </w:rPr>
        <w:t xml:space="preserve">ARTÍCULO 158. </w:t>
      </w:r>
      <w:r w:rsidRPr="007C2DA2">
        <w:rPr>
          <w:color w:val="2E74B5" w:themeColor="accent1" w:themeShade="BF"/>
          <w:sz w:val="20"/>
        </w:rPr>
        <w:t xml:space="preserve">Cuando las Unidades de Transparencia determinen la notoria incompetencia por parte de los sujetos obligados, dentro del ámbito de su aplicación, para atender la solicitud de acceso a la información, deberán comunicarlo al solicitante, dentro de los tres días posteriores a la recepción de la solicitud y, en caso de poderlo determinar, señalar al solicitante el o los sujetos obligados competentes. </w:t>
      </w:r>
    </w:p>
    <w:p w:rsidR="001B1F2E" w:rsidRPr="007C2DA2" w:rsidRDefault="001B1F2E" w:rsidP="00A0226E">
      <w:pPr>
        <w:pStyle w:val="corte4fondo"/>
        <w:spacing w:line="276" w:lineRule="auto"/>
        <w:ind w:left="708" w:firstLine="0"/>
        <w:rPr>
          <w:rFonts w:cs="Arial"/>
          <w:color w:val="2E74B5" w:themeColor="accent1" w:themeShade="BF"/>
          <w:sz w:val="24"/>
          <w:szCs w:val="24"/>
          <w:lang w:val="es-MX"/>
        </w:rPr>
      </w:pPr>
      <w:r w:rsidRPr="007C2DA2">
        <w:rPr>
          <w:color w:val="2E74B5" w:themeColor="accent1" w:themeShade="BF"/>
          <w:sz w:val="20"/>
        </w:rPr>
        <w:t xml:space="preserve">Si los sujetos obligados son competentes para atender parcialmente la solicitud de acceso a la información, deberá dar respuesta respecto de dicha parte. Respecto de la información sobre la cual es incompetente se procederá conforme lo señala el párrafo anterior.  </w:t>
      </w:r>
      <w:r w:rsidRPr="007C2DA2">
        <w:rPr>
          <w:rFonts w:cs="Arial"/>
          <w:color w:val="2E74B5" w:themeColor="accent1" w:themeShade="BF"/>
          <w:sz w:val="24"/>
          <w:szCs w:val="24"/>
          <w:lang w:val="es-MX"/>
        </w:rPr>
        <w:t xml:space="preserve"> </w:t>
      </w:r>
    </w:p>
    <w:p w:rsidR="001B1F2E" w:rsidRPr="007C2DA2" w:rsidRDefault="001B1F2E" w:rsidP="00A0226E">
      <w:pPr>
        <w:pStyle w:val="corte4fondo"/>
        <w:spacing w:line="276" w:lineRule="auto"/>
        <w:ind w:left="993" w:firstLine="0"/>
        <w:rPr>
          <w:rFonts w:cs="Arial"/>
          <w:color w:val="2E74B5" w:themeColor="accent1" w:themeShade="BF"/>
          <w:sz w:val="24"/>
          <w:szCs w:val="24"/>
          <w:lang w:val="es-MX"/>
        </w:rPr>
      </w:pPr>
    </w:p>
    <w:p w:rsidR="001B1F2E" w:rsidRPr="007C2DA2" w:rsidRDefault="001B1F2E" w:rsidP="00A0226E">
      <w:pPr>
        <w:pStyle w:val="corte4fondo"/>
        <w:tabs>
          <w:tab w:val="left" w:pos="708"/>
          <w:tab w:val="left" w:pos="1454"/>
        </w:tabs>
        <w:spacing w:line="276" w:lineRule="auto"/>
        <w:ind w:firstLine="0"/>
        <w:rPr>
          <w:rFonts w:cs="Arial"/>
          <w:color w:val="2E74B5" w:themeColor="accent1" w:themeShade="BF"/>
          <w:sz w:val="24"/>
          <w:szCs w:val="24"/>
          <w:lang w:val="es-MX"/>
        </w:rPr>
      </w:pPr>
      <w:r w:rsidRPr="007C2DA2">
        <w:rPr>
          <w:rFonts w:cs="Arial"/>
          <w:color w:val="2E74B5" w:themeColor="accent1" w:themeShade="BF"/>
          <w:sz w:val="24"/>
          <w:szCs w:val="24"/>
          <w:lang w:val="es-MX"/>
        </w:rPr>
        <w:tab/>
        <w:t>De esas disposiciones tenemos que:</w:t>
      </w:r>
    </w:p>
    <w:p w:rsidR="001B1F2E" w:rsidRPr="007C2DA2" w:rsidRDefault="001B1F2E" w:rsidP="00A0226E">
      <w:pPr>
        <w:pStyle w:val="corte4fondo"/>
        <w:tabs>
          <w:tab w:val="left" w:pos="708"/>
          <w:tab w:val="left" w:pos="1454"/>
        </w:tabs>
        <w:spacing w:line="276" w:lineRule="auto"/>
        <w:ind w:firstLine="0"/>
        <w:rPr>
          <w:rFonts w:cs="Arial"/>
          <w:color w:val="2E74B5" w:themeColor="accent1" w:themeShade="BF"/>
          <w:sz w:val="24"/>
          <w:szCs w:val="24"/>
          <w:lang w:val="es-MX"/>
        </w:rPr>
      </w:pPr>
    </w:p>
    <w:p w:rsidR="001B1F2E" w:rsidRPr="007C2DA2" w:rsidRDefault="001B1F2E" w:rsidP="00A0226E">
      <w:pPr>
        <w:pStyle w:val="corte4fondo"/>
        <w:numPr>
          <w:ilvl w:val="0"/>
          <w:numId w:val="5"/>
        </w:numPr>
        <w:tabs>
          <w:tab w:val="left" w:pos="708"/>
          <w:tab w:val="left" w:pos="1454"/>
        </w:tabs>
        <w:spacing w:line="276" w:lineRule="auto"/>
        <w:rPr>
          <w:rFonts w:cs="Arial"/>
          <w:color w:val="2E74B5" w:themeColor="accent1" w:themeShade="BF"/>
          <w:sz w:val="24"/>
          <w:szCs w:val="24"/>
          <w:lang w:val="es-MX"/>
        </w:rPr>
      </w:pPr>
      <w:r w:rsidRPr="007C2DA2">
        <w:rPr>
          <w:color w:val="2E74B5" w:themeColor="accent1" w:themeShade="BF"/>
          <w:sz w:val="24"/>
          <w:szCs w:val="24"/>
        </w:rPr>
        <w:t>Los sujetos obligados deberán documentar todo acto que derive del ejercicio de sus facultades, competencias o funciones</w:t>
      </w:r>
      <w:r w:rsidRPr="007C2DA2">
        <w:rPr>
          <w:color w:val="2E74B5" w:themeColor="accent1" w:themeShade="BF"/>
          <w:sz w:val="24"/>
          <w:szCs w:val="24"/>
          <w:lang w:val="es-MX"/>
        </w:rPr>
        <w:t xml:space="preserve">, por lo que se </w:t>
      </w:r>
      <w:r w:rsidRPr="007C2DA2">
        <w:rPr>
          <w:color w:val="2E74B5" w:themeColor="accent1" w:themeShade="BF"/>
          <w:sz w:val="24"/>
          <w:szCs w:val="24"/>
        </w:rPr>
        <w:t xml:space="preserve"> presume que la información debe existir si se refiere a </w:t>
      </w:r>
      <w:r w:rsidRPr="007C2DA2">
        <w:rPr>
          <w:color w:val="2E74B5" w:themeColor="accent1" w:themeShade="BF"/>
          <w:sz w:val="24"/>
          <w:szCs w:val="24"/>
          <w:lang w:val="es-MX"/>
        </w:rPr>
        <w:t xml:space="preserve">esas </w:t>
      </w:r>
      <w:r w:rsidRPr="007C2DA2">
        <w:rPr>
          <w:color w:val="2E74B5" w:themeColor="accent1" w:themeShade="BF"/>
          <w:sz w:val="24"/>
          <w:szCs w:val="24"/>
        </w:rPr>
        <w:t xml:space="preserve">facultades, competencias y funciones que los ordenamientos jurídicos aplicables </w:t>
      </w:r>
      <w:r w:rsidRPr="007C2DA2">
        <w:rPr>
          <w:color w:val="2E74B5" w:themeColor="accent1" w:themeShade="BF"/>
          <w:sz w:val="24"/>
          <w:szCs w:val="24"/>
          <w:lang w:val="es-MX"/>
        </w:rPr>
        <w:t xml:space="preserve">les </w:t>
      </w:r>
      <w:r w:rsidRPr="007C2DA2">
        <w:rPr>
          <w:color w:val="2E74B5" w:themeColor="accent1" w:themeShade="BF"/>
          <w:sz w:val="24"/>
          <w:szCs w:val="24"/>
        </w:rPr>
        <w:t>otorgan.</w:t>
      </w:r>
    </w:p>
    <w:p w:rsidR="001B1F2E" w:rsidRPr="007C2DA2" w:rsidRDefault="001B1F2E" w:rsidP="00A0226E">
      <w:pPr>
        <w:pStyle w:val="corte4fondo"/>
        <w:tabs>
          <w:tab w:val="left" w:pos="708"/>
          <w:tab w:val="left" w:pos="1454"/>
        </w:tabs>
        <w:spacing w:line="276" w:lineRule="auto"/>
        <w:ind w:left="720" w:firstLine="0"/>
        <w:rPr>
          <w:rFonts w:cs="Arial"/>
          <w:color w:val="2E74B5" w:themeColor="accent1" w:themeShade="BF"/>
          <w:sz w:val="24"/>
          <w:szCs w:val="24"/>
          <w:lang w:val="es-MX"/>
        </w:rPr>
      </w:pPr>
    </w:p>
    <w:p w:rsidR="001B1F2E" w:rsidRPr="007C2DA2" w:rsidRDefault="001B1F2E" w:rsidP="00A0226E">
      <w:pPr>
        <w:pStyle w:val="corte4fondo"/>
        <w:numPr>
          <w:ilvl w:val="0"/>
          <w:numId w:val="5"/>
        </w:numPr>
        <w:tabs>
          <w:tab w:val="left" w:pos="708"/>
          <w:tab w:val="left" w:pos="1454"/>
        </w:tabs>
        <w:spacing w:line="276" w:lineRule="auto"/>
        <w:rPr>
          <w:rFonts w:cs="Arial"/>
          <w:color w:val="2E74B5" w:themeColor="accent1" w:themeShade="BF"/>
          <w:sz w:val="24"/>
          <w:szCs w:val="24"/>
          <w:lang w:val="es-MX"/>
        </w:rPr>
      </w:pPr>
      <w:r w:rsidRPr="007C2DA2">
        <w:rPr>
          <w:color w:val="2E74B5" w:themeColor="accent1" w:themeShade="BF"/>
          <w:sz w:val="24"/>
          <w:szCs w:val="24"/>
        </w:rPr>
        <w:t xml:space="preserve"> En los casos en que ciertas facultades, competencias o funciones no se hayan ejercido, se debe motivar la respuesta en función de las causas que motiven la inexistencia.</w:t>
      </w:r>
    </w:p>
    <w:p w:rsidR="001B1F2E" w:rsidRPr="007C2DA2" w:rsidRDefault="001B1F2E" w:rsidP="00A0226E">
      <w:pPr>
        <w:pStyle w:val="Prrafodelista"/>
        <w:spacing w:after="0"/>
        <w:rPr>
          <w:rFonts w:cs="Arial"/>
          <w:color w:val="2E74B5" w:themeColor="accent1" w:themeShade="BF"/>
          <w:sz w:val="24"/>
          <w:szCs w:val="24"/>
        </w:rPr>
      </w:pPr>
    </w:p>
    <w:p w:rsidR="001B1F2E" w:rsidRPr="007C2DA2" w:rsidRDefault="001B1F2E" w:rsidP="00A0226E">
      <w:pPr>
        <w:pStyle w:val="corte4fondo"/>
        <w:numPr>
          <w:ilvl w:val="0"/>
          <w:numId w:val="5"/>
        </w:numPr>
        <w:tabs>
          <w:tab w:val="left" w:pos="708"/>
          <w:tab w:val="left" w:pos="1454"/>
        </w:tabs>
        <w:spacing w:line="276" w:lineRule="auto"/>
        <w:rPr>
          <w:rFonts w:cs="Arial"/>
          <w:color w:val="2E74B5" w:themeColor="accent1" w:themeShade="BF"/>
          <w:sz w:val="24"/>
          <w:szCs w:val="24"/>
          <w:lang w:val="es-MX"/>
        </w:rPr>
      </w:pPr>
      <w:r w:rsidRPr="007C2DA2">
        <w:rPr>
          <w:color w:val="2E74B5" w:themeColor="accent1" w:themeShade="BF"/>
          <w:sz w:val="24"/>
          <w:szCs w:val="24"/>
        </w:rPr>
        <w:t>Ante la negativa del acceso a la información o su inexistencia, el sujeto obligado deberá demostrar que la información no se refiere a alguna de sus facultades, competencias o funciones.</w:t>
      </w:r>
    </w:p>
    <w:p w:rsidR="001B1F2E" w:rsidRPr="007C2DA2" w:rsidRDefault="001B1F2E" w:rsidP="00A0226E">
      <w:pPr>
        <w:pStyle w:val="Prrafodelista"/>
        <w:spacing w:after="0"/>
        <w:rPr>
          <w:rFonts w:cs="Arial"/>
          <w:color w:val="2E74B5" w:themeColor="accent1" w:themeShade="BF"/>
          <w:sz w:val="24"/>
          <w:szCs w:val="24"/>
        </w:rPr>
      </w:pPr>
    </w:p>
    <w:p w:rsidR="001B1F2E" w:rsidRPr="007C2DA2" w:rsidRDefault="001B1F2E" w:rsidP="00A0226E">
      <w:pPr>
        <w:pStyle w:val="corte4fondo"/>
        <w:numPr>
          <w:ilvl w:val="0"/>
          <w:numId w:val="5"/>
        </w:numPr>
        <w:tabs>
          <w:tab w:val="left" w:pos="708"/>
          <w:tab w:val="left" w:pos="1454"/>
        </w:tabs>
        <w:spacing w:line="276" w:lineRule="auto"/>
        <w:rPr>
          <w:rFonts w:cs="Arial"/>
          <w:color w:val="2E74B5" w:themeColor="accent1" w:themeShade="BF"/>
          <w:sz w:val="24"/>
          <w:szCs w:val="24"/>
          <w:lang w:val="es-MX"/>
        </w:rPr>
      </w:pPr>
      <w:r w:rsidRPr="007C2DA2">
        <w:rPr>
          <w:rFonts w:cs="Arial"/>
          <w:color w:val="2E74B5" w:themeColor="accent1" w:themeShade="BF"/>
          <w:sz w:val="24"/>
          <w:szCs w:val="24"/>
          <w:lang w:val="es-MX"/>
        </w:rPr>
        <w:t xml:space="preserve">La Unidad de Transparencia tiene la función de </w:t>
      </w:r>
      <w:r w:rsidRPr="007C2DA2">
        <w:rPr>
          <w:color w:val="2E74B5" w:themeColor="accent1" w:themeShade="BF"/>
          <w:sz w:val="24"/>
          <w:szCs w:val="24"/>
        </w:rPr>
        <w:t>orientar</w:t>
      </w:r>
      <w:r w:rsidRPr="007C2DA2">
        <w:rPr>
          <w:color w:val="2E74B5" w:themeColor="accent1" w:themeShade="BF"/>
          <w:sz w:val="24"/>
          <w:szCs w:val="24"/>
          <w:lang w:val="es-MX"/>
        </w:rPr>
        <w:t xml:space="preserve"> a los particulares </w:t>
      </w:r>
      <w:r w:rsidRPr="007C2DA2">
        <w:rPr>
          <w:color w:val="2E74B5" w:themeColor="accent1" w:themeShade="BF"/>
          <w:sz w:val="24"/>
          <w:szCs w:val="24"/>
        </w:rPr>
        <w:t>sobre los sujetos obligados competentes conforme a la normatividad aplicable</w:t>
      </w:r>
      <w:r w:rsidRPr="007C2DA2">
        <w:rPr>
          <w:color w:val="2E74B5" w:themeColor="accent1" w:themeShade="BF"/>
          <w:sz w:val="24"/>
          <w:szCs w:val="24"/>
          <w:lang w:val="es-MX"/>
        </w:rPr>
        <w:t>.</w:t>
      </w:r>
    </w:p>
    <w:p w:rsidR="001B1F2E" w:rsidRPr="007C2DA2" w:rsidRDefault="001B1F2E" w:rsidP="00A0226E">
      <w:pPr>
        <w:pStyle w:val="Prrafodelista"/>
        <w:spacing w:after="0"/>
        <w:rPr>
          <w:rFonts w:cs="Arial"/>
          <w:color w:val="2E74B5" w:themeColor="accent1" w:themeShade="BF"/>
          <w:sz w:val="24"/>
          <w:szCs w:val="24"/>
        </w:rPr>
      </w:pPr>
    </w:p>
    <w:p w:rsidR="001B1F2E" w:rsidRPr="007C2DA2" w:rsidRDefault="001B1F2E" w:rsidP="00A0226E">
      <w:pPr>
        <w:pStyle w:val="corte4fondo"/>
        <w:numPr>
          <w:ilvl w:val="0"/>
          <w:numId w:val="5"/>
        </w:numPr>
        <w:tabs>
          <w:tab w:val="left" w:pos="708"/>
          <w:tab w:val="left" w:pos="1454"/>
        </w:tabs>
        <w:spacing w:line="276" w:lineRule="auto"/>
        <w:rPr>
          <w:rFonts w:cs="Arial"/>
          <w:color w:val="2E74B5" w:themeColor="accent1" w:themeShade="BF"/>
          <w:sz w:val="24"/>
          <w:szCs w:val="24"/>
          <w:lang w:val="es-MX"/>
        </w:rPr>
      </w:pPr>
      <w:r w:rsidRPr="007C2DA2">
        <w:rPr>
          <w:rFonts w:cs="Arial"/>
          <w:color w:val="2E74B5" w:themeColor="accent1" w:themeShade="BF"/>
          <w:sz w:val="24"/>
          <w:szCs w:val="24"/>
          <w:lang w:val="es-MX"/>
        </w:rPr>
        <w:t>Que c</w:t>
      </w:r>
      <w:r w:rsidRPr="007C2DA2">
        <w:rPr>
          <w:color w:val="2E74B5" w:themeColor="accent1" w:themeShade="BF"/>
          <w:sz w:val="24"/>
          <w:szCs w:val="24"/>
        </w:rPr>
        <w:t>uando las Unidades de Transparencia determinen la notoria incompetencia por parte de los sujetos obligados, dentro del ámbito de su aplicación, para atender la solicitud de acceso a la información, deberán comunicarlo al solicitante, dentro de los tres días posteriores a la recepción de la solicitud y, en caso de poderlo determinar, señalar al solicitante el o los sujetos obligados competentes</w:t>
      </w:r>
      <w:r w:rsidRPr="007C2DA2">
        <w:rPr>
          <w:color w:val="2E74B5" w:themeColor="accent1" w:themeShade="BF"/>
          <w:sz w:val="24"/>
          <w:szCs w:val="24"/>
          <w:lang w:val="es-MX"/>
        </w:rPr>
        <w:t xml:space="preserve"> y que si </w:t>
      </w:r>
      <w:r w:rsidRPr="007C2DA2">
        <w:rPr>
          <w:color w:val="2E74B5" w:themeColor="accent1" w:themeShade="BF"/>
          <w:sz w:val="24"/>
          <w:szCs w:val="24"/>
        </w:rPr>
        <w:t xml:space="preserve">son competentes para atender parcialmente la solicitud de acceso a la información, deberá dar respuesta respecto de dicha parte. </w:t>
      </w:r>
    </w:p>
    <w:p w:rsidR="002B2800" w:rsidRPr="007C2DA2" w:rsidRDefault="002B2800" w:rsidP="00A0226E">
      <w:pPr>
        <w:pStyle w:val="Prrafodelista"/>
        <w:spacing w:after="0"/>
        <w:rPr>
          <w:rFonts w:cs="Arial"/>
          <w:color w:val="2E74B5" w:themeColor="accent1" w:themeShade="BF"/>
          <w:sz w:val="24"/>
          <w:szCs w:val="24"/>
        </w:rPr>
      </w:pPr>
    </w:p>
    <w:p w:rsidR="001B1F2E" w:rsidRPr="007C2DA2" w:rsidRDefault="001B1F2E" w:rsidP="000F488A">
      <w:pPr>
        <w:pStyle w:val="corte4fondo"/>
        <w:spacing w:line="276" w:lineRule="auto"/>
        <w:ind w:firstLine="0"/>
        <w:rPr>
          <w:rFonts w:cs="Arial"/>
          <w:color w:val="2E74B5" w:themeColor="accent1" w:themeShade="BF"/>
          <w:sz w:val="24"/>
          <w:szCs w:val="24"/>
          <w:lang w:val="es-MX"/>
        </w:rPr>
      </w:pPr>
      <w:r w:rsidRPr="007C2DA2">
        <w:rPr>
          <w:rFonts w:cs="Arial"/>
          <w:color w:val="2E74B5" w:themeColor="accent1" w:themeShade="BF"/>
          <w:sz w:val="24"/>
          <w:szCs w:val="24"/>
          <w:lang w:val="es-MX"/>
        </w:rPr>
        <w:t>Por ello, está claro que si el ahora recurrente en su solicitud de acceso a</w:t>
      </w:r>
      <w:r w:rsidR="002B2800" w:rsidRPr="007C2DA2">
        <w:rPr>
          <w:rFonts w:cs="Arial"/>
          <w:color w:val="2E74B5" w:themeColor="accent1" w:themeShade="BF"/>
          <w:sz w:val="24"/>
          <w:szCs w:val="24"/>
          <w:lang w:val="es-MX"/>
        </w:rPr>
        <w:t xml:space="preserve"> la información pública pidió al Consejo Estatal Electoral y de Participación Ciudadana </w:t>
      </w:r>
      <w:r w:rsidR="002B2800" w:rsidRPr="007C2DA2">
        <w:rPr>
          <w:rFonts w:cs="Arial"/>
          <w:color w:val="2E74B5" w:themeColor="accent1" w:themeShade="BF"/>
          <w:sz w:val="24"/>
          <w:szCs w:val="24"/>
          <w:lang w:val="es-MX"/>
        </w:rPr>
        <w:lastRenderedPageBreak/>
        <w:t xml:space="preserve">de San Luis Potosí </w:t>
      </w:r>
      <w:r w:rsidRPr="007C2DA2">
        <w:rPr>
          <w:rFonts w:cs="Arial"/>
          <w:color w:val="2E74B5" w:themeColor="accent1" w:themeShade="BF"/>
          <w:sz w:val="24"/>
          <w:szCs w:val="24"/>
          <w:lang w:val="es-MX"/>
        </w:rPr>
        <w:t>información relacionada con</w:t>
      </w:r>
      <w:r w:rsidR="002B2800" w:rsidRPr="007C2DA2">
        <w:rPr>
          <w:rFonts w:cs="Arial"/>
          <w:color w:val="2E74B5" w:themeColor="accent1" w:themeShade="BF"/>
          <w:sz w:val="24"/>
          <w:szCs w:val="24"/>
          <w:lang w:val="es-MX"/>
        </w:rPr>
        <w:t xml:space="preserve"> colonias que integran los distritos electorales</w:t>
      </w:r>
      <w:r w:rsidRPr="007C2DA2">
        <w:rPr>
          <w:rFonts w:cs="Arial"/>
          <w:color w:val="2E74B5" w:themeColor="accent1" w:themeShade="BF"/>
          <w:sz w:val="24"/>
          <w:szCs w:val="24"/>
          <w:lang w:val="es-MX"/>
        </w:rPr>
        <w:t xml:space="preserve">, está claro que esa información no pertenece a dicha </w:t>
      </w:r>
      <w:r w:rsidR="002B2800" w:rsidRPr="007C2DA2">
        <w:rPr>
          <w:rFonts w:cs="Arial"/>
          <w:color w:val="2E74B5" w:themeColor="accent1" w:themeShade="BF"/>
          <w:sz w:val="24"/>
          <w:szCs w:val="24"/>
          <w:lang w:val="es-MX"/>
        </w:rPr>
        <w:t xml:space="preserve">autoridad </w:t>
      </w:r>
      <w:r w:rsidRPr="007C2DA2">
        <w:rPr>
          <w:rFonts w:cs="Arial"/>
          <w:color w:val="2E74B5" w:themeColor="accent1" w:themeShade="BF"/>
          <w:sz w:val="24"/>
          <w:szCs w:val="24"/>
          <w:lang w:val="es-MX"/>
        </w:rPr>
        <w:t>dada la naturaleza de ésta.</w:t>
      </w:r>
    </w:p>
    <w:p w:rsidR="001B1F2E" w:rsidRPr="007C2DA2" w:rsidRDefault="001B1F2E" w:rsidP="000F488A">
      <w:pPr>
        <w:pStyle w:val="corte4fondo"/>
        <w:spacing w:line="276" w:lineRule="auto"/>
        <w:ind w:firstLine="0"/>
        <w:rPr>
          <w:rFonts w:cs="Arial"/>
          <w:color w:val="2E74B5" w:themeColor="accent1" w:themeShade="BF"/>
          <w:sz w:val="24"/>
          <w:szCs w:val="24"/>
          <w:lang w:val="es-MX"/>
        </w:rPr>
      </w:pPr>
    </w:p>
    <w:p w:rsidR="001B1F2E" w:rsidRPr="007C2DA2" w:rsidRDefault="001B1F2E" w:rsidP="000F488A">
      <w:pPr>
        <w:pStyle w:val="corte4fondo"/>
        <w:spacing w:line="276" w:lineRule="auto"/>
        <w:ind w:firstLine="567"/>
        <w:rPr>
          <w:rFonts w:cs="Arial"/>
          <w:color w:val="2E74B5" w:themeColor="accent1" w:themeShade="BF"/>
          <w:sz w:val="24"/>
          <w:szCs w:val="24"/>
          <w:lang w:val="es-MX"/>
        </w:rPr>
      </w:pPr>
      <w:r w:rsidRPr="007C2DA2">
        <w:rPr>
          <w:rFonts w:cs="Arial"/>
          <w:color w:val="2E74B5" w:themeColor="accent1" w:themeShade="BF"/>
          <w:sz w:val="24"/>
          <w:szCs w:val="24"/>
          <w:lang w:val="es-MX"/>
        </w:rPr>
        <w:tab/>
        <w:t>Sin embargo, la autoridad en el caso,</w:t>
      </w:r>
      <w:r w:rsidR="002B2800" w:rsidRPr="007C2DA2">
        <w:rPr>
          <w:rFonts w:cs="Arial"/>
          <w:color w:val="2E74B5" w:themeColor="accent1" w:themeShade="BF"/>
          <w:sz w:val="24"/>
          <w:szCs w:val="24"/>
          <w:lang w:val="es-MX"/>
        </w:rPr>
        <w:t xml:space="preserve"> el Consejo Estatal Electoral y de Participación Ciudadana </w:t>
      </w:r>
      <w:r w:rsidRPr="007C2DA2">
        <w:rPr>
          <w:rFonts w:cs="Arial"/>
          <w:color w:val="2E74B5" w:themeColor="accent1" w:themeShade="BF"/>
          <w:sz w:val="24"/>
          <w:szCs w:val="24"/>
          <w:lang w:val="es-MX"/>
        </w:rPr>
        <w:t xml:space="preserve">demostró mediante la debida fundamentación y motivación que la información que le fue solicitada no se refiere a alguna de sus facultades, ya que es obligación de la autoridad demostrarlo, </w:t>
      </w:r>
      <w:r w:rsidR="002B2800" w:rsidRPr="007C2DA2">
        <w:rPr>
          <w:rFonts w:cs="Arial"/>
          <w:color w:val="2E74B5" w:themeColor="accent1" w:themeShade="BF"/>
          <w:sz w:val="24"/>
          <w:szCs w:val="24"/>
          <w:lang w:val="es-MX"/>
        </w:rPr>
        <w:t>ello en cumplimiento al artículo 20 de la Ley de Transparencia.</w:t>
      </w:r>
    </w:p>
    <w:p w:rsidR="001B1F2E" w:rsidRPr="007C2DA2" w:rsidRDefault="001B1F2E" w:rsidP="000F488A">
      <w:pPr>
        <w:pStyle w:val="corte4fondo"/>
        <w:spacing w:line="276" w:lineRule="auto"/>
        <w:ind w:firstLine="567"/>
        <w:rPr>
          <w:rFonts w:cs="Arial"/>
          <w:color w:val="2E74B5" w:themeColor="accent1" w:themeShade="BF"/>
          <w:sz w:val="24"/>
          <w:szCs w:val="24"/>
          <w:lang w:val="es-MX"/>
        </w:rPr>
      </w:pPr>
    </w:p>
    <w:p w:rsidR="000264B9" w:rsidRPr="007C2DA2" w:rsidRDefault="002B2800" w:rsidP="00A0226E">
      <w:pPr>
        <w:pStyle w:val="corte4fondo"/>
        <w:spacing w:line="276" w:lineRule="auto"/>
        <w:ind w:firstLine="708"/>
        <w:rPr>
          <w:rFonts w:cs="Arial"/>
          <w:color w:val="2E74B5" w:themeColor="accent1" w:themeShade="BF"/>
          <w:sz w:val="24"/>
          <w:szCs w:val="24"/>
          <w:lang w:val="es-MX"/>
        </w:rPr>
      </w:pPr>
      <w:r w:rsidRPr="007C2DA2">
        <w:rPr>
          <w:rFonts w:cs="Arial"/>
          <w:color w:val="2E74B5" w:themeColor="accent1" w:themeShade="BF"/>
          <w:sz w:val="24"/>
          <w:szCs w:val="24"/>
          <w:lang w:val="es-MX"/>
        </w:rPr>
        <w:t>De ahí que</w:t>
      </w:r>
      <w:r w:rsidR="000F488A">
        <w:rPr>
          <w:rFonts w:cs="Arial"/>
          <w:color w:val="2E74B5" w:themeColor="accent1" w:themeShade="BF"/>
          <w:sz w:val="24"/>
          <w:szCs w:val="24"/>
          <w:lang w:val="es-MX"/>
        </w:rPr>
        <w:t>, ni aú</w:t>
      </w:r>
      <w:r w:rsidR="001B1F2E" w:rsidRPr="007C2DA2">
        <w:rPr>
          <w:rFonts w:cs="Arial"/>
          <w:color w:val="2E74B5" w:themeColor="accent1" w:themeShade="BF"/>
          <w:sz w:val="24"/>
          <w:szCs w:val="24"/>
          <w:lang w:val="es-MX"/>
        </w:rPr>
        <w:t>n con lo fundado del agravio como quedó visto, el solicitante puede allegarse de la informaci</w:t>
      </w:r>
      <w:r w:rsidRPr="007C2DA2">
        <w:rPr>
          <w:rFonts w:cs="Arial"/>
          <w:color w:val="2E74B5" w:themeColor="accent1" w:themeShade="BF"/>
          <w:sz w:val="24"/>
          <w:szCs w:val="24"/>
          <w:lang w:val="es-MX"/>
        </w:rPr>
        <w:t xml:space="preserve">ón, puesto que, se reitera, el Consejo Estatal Electoral y de Participación </w:t>
      </w:r>
      <w:r w:rsidR="000264B9" w:rsidRPr="007C2DA2">
        <w:rPr>
          <w:rFonts w:cs="Arial"/>
          <w:color w:val="2E74B5" w:themeColor="accent1" w:themeShade="BF"/>
          <w:sz w:val="24"/>
          <w:szCs w:val="24"/>
          <w:lang w:val="es-MX"/>
        </w:rPr>
        <w:t>Ciudadana no</w:t>
      </w:r>
      <w:r w:rsidR="001B1F2E" w:rsidRPr="007C2DA2">
        <w:rPr>
          <w:rFonts w:cs="Arial"/>
          <w:color w:val="2E74B5" w:themeColor="accent1" w:themeShade="BF"/>
          <w:sz w:val="24"/>
          <w:szCs w:val="24"/>
          <w:lang w:val="es-MX"/>
        </w:rPr>
        <w:t xml:space="preserve"> posee la información derivado de sus propias faculta</w:t>
      </w:r>
      <w:r w:rsidR="00FD5946" w:rsidRPr="007C2DA2">
        <w:rPr>
          <w:rFonts w:cs="Arial"/>
          <w:color w:val="2E74B5" w:themeColor="accent1" w:themeShade="BF"/>
          <w:sz w:val="24"/>
          <w:szCs w:val="24"/>
          <w:lang w:val="es-MX"/>
        </w:rPr>
        <w:t xml:space="preserve">des, </w:t>
      </w:r>
      <w:r w:rsidR="000264B9" w:rsidRPr="007C2DA2">
        <w:rPr>
          <w:rFonts w:cs="Arial"/>
          <w:color w:val="2E74B5" w:themeColor="accent1" w:themeShade="BF"/>
          <w:sz w:val="24"/>
          <w:szCs w:val="24"/>
          <w:lang w:val="es-MX"/>
        </w:rPr>
        <w:t>de acuerdo con lo dispuesto en el artículo 41 fracción V, apartado b, inciso a) numeral 2 de la Constitución Política de los Estados Unidos Mexicanos y artículo 3° fracción I inciso b) de la Ley Electoral del Estado de San Luis Potosí.</w:t>
      </w:r>
    </w:p>
    <w:p w:rsidR="000264B9" w:rsidRPr="007C2DA2" w:rsidRDefault="000264B9" w:rsidP="00A0226E">
      <w:pPr>
        <w:pStyle w:val="corte4fondo"/>
        <w:spacing w:line="276" w:lineRule="auto"/>
        <w:ind w:firstLine="0"/>
        <w:rPr>
          <w:rFonts w:cs="Arial"/>
          <w:color w:val="2E74B5" w:themeColor="accent1" w:themeShade="BF"/>
          <w:sz w:val="24"/>
          <w:szCs w:val="24"/>
          <w:lang w:val="es-MX"/>
        </w:rPr>
      </w:pPr>
    </w:p>
    <w:p w:rsidR="000264B9" w:rsidRPr="007C2DA2" w:rsidRDefault="000264B9" w:rsidP="00A0226E">
      <w:pPr>
        <w:pStyle w:val="corte4fondo"/>
        <w:spacing w:line="276" w:lineRule="auto"/>
        <w:ind w:firstLine="708"/>
        <w:rPr>
          <w:rFonts w:cs="Arial"/>
          <w:i/>
          <w:color w:val="2E74B5" w:themeColor="accent1" w:themeShade="BF"/>
          <w:sz w:val="20"/>
          <w:lang w:val="es-MX"/>
        </w:rPr>
      </w:pPr>
      <w:r w:rsidRPr="007C2DA2">
        <w:rPr>
          <w:rFonts w:cs="Arial"/>
          <w:i/>
          <w:color w:val="2E74B5" w:themeColor="accent1" w:themeShade="BF"/>
          <w:sz w:val="20"/>
          <w:lang w:val="es-MX"/>
        </w:rPr>
        <w:t>“…Artículo 41. El pueblo ejerce su soberanía por medio de los Poderes de la Unión, en los casos de la competencia de éstos, y por los de los Estados y la Ciudad de México, en lo que toca a sus regímenes interiores, en los términos respectivamente establecidos por la presente Constitución Federal y las particulares de cada Estado y de la Ciudad de México, las que en ningún caso podrán contravenir las estipulaciones del Pacto Federal.</w:t>
      </w:r>
    </w:p>
    <w:p w:rsidR="000264B9" w:rsidRPr="007C2DA2" w:rsidRDefault="000264B9" w:rsidP="00A0226E">
      <w:pPr>
        <w:pStyle w:val="corte4fondo"/>
        <w:spacing w:line="276" w:lineRule="auto"/>
        <w:ind w:firstLine="0"/>
        <w:rPr>
          <w:rFonts w:cs="Arial"/>
          <w:i/>
          <w:color w:val="2E74B5" w:themeColor="accent1" w:themeShade="BF"/>
          <w:sz w:val="20"/>
          <w:lang w:val="es-MX"/>
        </w:rPr>
      </w:pPr>
    </w:p>
    <w:p w:rsidR="000264B9" w:rsidRPr="007C2DA2" w:rsidRDefault="000264B9" w:rsidP="00A0226E">
      <w:pPr>
        <w:pStyle w:val="corte4fondo"/>
        <w:spacing w:line="276" w:lineRule="auto"/>
        <w:ind w:firstLine="0"/>
        <w:rPr>
          <w:rFonts w:cs="Arial"/>
          <w:i/>
          <w:color w:val="2E74B5" w:themeColor="accent1" w:themeShade="BF"/>
          <w:sz w:val="20"/>
          <w:lang w:val="es-MX"/>
        </w:rPr>
      </w:pPr>
      <w:r w:rsidRPr="007C2DA2">
        <w:rPr>
          <w:rFonts w:cs="Arial"/>
          <w:i/>
          <w:color w:val="2E74B5" w:themeColor="accent1" w:themeShade="BF"/>
          <w:sz w:val="20"/>
          <w:lang w:val="es-MX"/>
        </w:rPr>
        <w:t>[…]</w:t>
      </w:r>
    </w:p>
    <w:p w:rsidR="000264B9" w:rsidRPr="007C2DA2" w:rsidRDefault="000264B9" w:rsidP="00A0226E">
      <w:pPr>
        <w:pStyle w:val="corte4fondo"/>
        <w:spacing w:line="276" w:lineRule="auto"/>
        <w:rPr>
          <w:rFonts w:cs="Arial"/>
          <w:i/>
          <w:color w:val="2E74B5" w:themeColor="accent1" w:themeShade="BF"/>
          <w:sz w:val="20"/>
          <w:lang w:val="es-MX"/>
        </w:rPr>
      </w:pPr>
    </w:p>
    <w:p w:rsidR="000264B9" w:rsidRPr="007C2DA2" w:rsidRDefault="000264B9" w:rsidP="00A0226E">
      <w:pPr>
        <w:pStyle w:val="corte4fondo"/>
        <w:spacing w:line="276" w:lineRule="auto"/>
        <w:rPr>
          <w:rFonts w:cs="Arial"/>
          <w:i/>
          <w:color w:val="2E74B5" w:themeColor="accent1" w:themeShade="BF"/>
          <w:sz w:val="20"/>
          <w:lang w:val="es-MX"/>
        </w:rPr>
      </w:pPr>
      <w:r w:rsidRPr="007C2DA2">
        <w:rPr>
          <w:rFonts w:cs="Arial"/>
          <w:i/>
          <w:color w:val="2E74B5" w:themeColor="accent1" w:themeShade="BF"/>
          <w:sz w:val="20"/>
          <w:lang w:val="es-MX"/>
        </w:rPr>
        <w:t xml:space="preserve"> V.  La organización de las elecciones es una función estatal que se realiza a través del Instituto Nacional Electoral y de los organismos públicos locales, en los términos que establece esta Constitución. </w:t>
      </w:r>
    </w:p>
    <w:p w:rsidR="000264B9" w:rsidRPr="007C2DA2" w:rsidRDefault="000264B9" w:rsidP="00A0226E">
      <w:pPr>
        <w:pStyle w:val="corte4fondo"/>
        <w:spacing w:line="276" w:lineRule="auto"/>
        <w:ind w:firstLine="0"/>
        <w:rPr>
          <w:rFonts w:cs="Arial"/>
          <w:i/>
          <w:color w:val="2E74B5" w:themeColor="accent1" w:themeShade="BF"/>
          <w:sz w:val="20"/>
          <w:lang w:val="es-MX"/>
        </w:rPr>
      </w:pPr>
    </w:p>
    <w:p w:rsidR="000264B9" w:rsidRPr="007C2DA2" w:rsidRDefault="000264B9" w:rsidP="00A0226E">
      <w:pPr>
        <w:pStyle w:val="corte4fondo"/>
        <w:spacing w:line="276" w:lineRule="auto"/>
        <w:ind w:firstLine="0"/>
        <w:rPr>
          <w:rFonts w:cs="Arial"/>
          <w:i/>
          <w:color w:val="2E74B5" w:themeColor="accent1" w:themeShade="BF"/>
          <w:sz w:val="20"/>
          <w:lang w:val="es-MX"/>
        </w:rPr>
      </w:pPr>
      <w:r w:rsidRPr="007C2DA2">
        <w:rPr>
          <w:rFonts w:cs="Arial"/>
          <w:i/>
          <w:color w:val="2E74B5" w:themeColor="accent1" w:themeShade="BF"/>
          <w:sz w:val="20"/>
          <w:lang w:val="es-MX"/>
        </w:rPr>
        <w:t>[…]</w:t>
      </w:r>
    </w:p>
    <w:p w:rsidR="000264B9" w:rsidRPr="007C2DA2" w:rsidRDefault="000264B9" w:rsidP="00A0226E">
      <w:pPr>
        <w:pStyle w:val="corte4fondo"/>
        <w:spacing w:line="276" w:lineRule="auto"/>
        <w:ind w:firstLine="0"/>
        <w:rPr>
          <w:rFonts w:cs="Arial"/>
          <w:i/>
          <w:color w:val="2E74B5" w:themeColor="accent1" w:themeShade="BF"/>
          <w:sz w:val="20"/>
          <w:lang w:val="es-MX"/>
        </w:rPr>
      </w:pPr>
    </w:p>
    <w:p w:rsidR="000264B9" w:rsidRPr="007C2DA2" w:rsidRDefault="000264B9" w:rsidP="00A0226E">
      <w:pPr>
        <w:pStyle w:val="corte4fondo"/>
        <w:spacing w:line="276" w:lineRule="auto"/>
        <w:rPr>
          <w:rFonts w:cs="Arial"/>
          <w:i/>
          <w:color w:val="2E74B5" w:themeColor="accent1" w:themeShade="BF"/>
          <w:sz w:val="20"/>
          <w:lang w:val="es-MX"/>
        </w:rPr>
      </w:pPr>
      <w:r w:rsidRPr="007C2DA2">
        <w:rPr>
          <w:rFonts w:cs="Arial"/>
          <w:i/>
          <w:color w:val="2E74B5" w:themeColor="accent1" w:themeShade="BF"/>
          <w:sz w:val="20"/>
          <w:lang w:val="es-MX"/>
        </w:rPr>
        <w:t xml:space="preserve">Apartado B. Corresponde al Instituto Nacional Electoral en los términos que establecen esta Constitución y las leyes: </w:t>
      </w:r>
    </w:p>
    <w:p w:rsidR="000264B9" w:rsidRPr="007C2DA2" w:rsidRDefault="000264B9" w:rsidP="00A0226E">
      <w:pPr>
        <w:pStyle w:val="corte4fondo"/>
        <w:spacing w:line="276" w:lineRule="auto"/>
        <w:rPr>
          <w:rFonts w:cs="Arial"/>
          <w:i/>
          <w:color w:val="2E74B5" w:themeColor="accent1" w:themeShade="BF"/>
          <w:sz w:val="20"/>
          <w:lang w:val="es-MX"/>
        </w:rPr>
      </w:pPr>
      <w:r w:rsidRPr="007C2DA2">
        <w:rPr>
          <w:rFonts w:cs="Arial"/>
          <w:i/>
          <w:color w:val="2E74B5" w:themeColor="accent1" w:themeShade="BF"/>
          <w:sz w:val="20"/>
          <w:lang w:val="es-MX"/>
        </w:rPr>
        <w:t xml:space="preserve"> </w:t>
      </w:r>
    </w:p>
    <w:p w:rsidR="000264B9" w:rsidRPr="007C2DA2" w:rsidRDefault="000264B9" w:rsidP="00A0226E">
      <w:pPr>
        <w:pStyle w:val="corte4fondo"/>
        <w:numPr>
          <w:ilvl w:val="0"/>
          <w:numId w:val="6"/>
        </w:numPr>
        <w:spacing w:line="276" w:lineRule="auto"/>
        <w:rPr>
          <w:rFonts w:cs="Arial"/>
          <w:i/>
          <w:color w:val="2E74B5" w:themeColor="accent1" w:themeShade="BF"/>
          <w:sz w:val="20"/>
          <w:lang w:val="es-MX"/>
        </w:rPr>
      </w:pPr>
      <w:r w:rsidRPr="007C2DA2">
        <w:rPr>
          <w:rFonts w:cs="Arial"/>
          <w:i/>
          <w:color w:val="2E74B5" w:themeColor="accent1" w:themeShade="BF"/>
          <w:sz w:val="20"/>
          <w:lang w:val="es-MX"/>
        </w:rPr>
        <w:t>Para los procesos electorales federales y locales:</w:t>
      </w:r>
    </w:p>
    <w:p w:rsidR="000264B9" w:rsidRPr="007C2DA2" w:rsidRDefault="000264B9" w:rsidP="00A0226E">
      <w:pPr>
        <w:pStyle w:val="corte4fondo"/>
        <w:spacing w:line="276" w:lineRule="auto"/>
        <w:ind w:left="1069" w:firstLine="0"/>
        <w:rPr>
          <w:rFonts w:cs="Arial"/>
          <w:i/>
          <w:color w:val="2E74B5" w:themeColor="accent1" w:themeShade="BF"/>
          <w:sz w:val="20"/>
          <w:lang w:val="es-MX"/>
        </w:rPr>
      </w:pPr>
      <w:r w:rsidRPr="007C2DA2">
        <w:rPr>
          <w:rFonts w:cs="Arial"/>
          <w:i/>
          <w:color w:val="2E74B5" w:themeColor="accent1" w:themeShade="BF"/>
          <w:sz w:val="20"/>
          <w:lang w:val="es-MX"/>
        </w:rPr>
        <w:t>[…]</w:t>
      </w:r>
    </w:p>
    <w:p w:rsidR="000264B9" w:rsidRPr="007C2DA2" w:rsidRDefault="000264B9" w:rsidP="00A0226E">
      <w:pPr>
        <w:pStyle w:val="corte4fondo"/>
        <w:spacing w:line="276" w:lineRule="auto"/>
        <w:ind w:left="1069" w:firstLine="0"/>
        <w:rPr>
          <w:rFonts w:cs="Arial"/>
          <w:i/>
          <w:color w:val="2E74B5" w:themeColor="accent1" w:themeShade="BF"/>
          <w:sz w:val="20"/>
          <w:lang w:val="es-MX"/>
        </w:rPr>
      </w:pPr>
      <w:r w:rsidRPr="007C2DA2">
        <w:rPr>
          <w:rFonts w:cs="Arial"/>
          <w:i/>
          <w:color w:val="2E74B5" w:themeColor="accent1" w:themeShade="BF"/>
          <w:sz w:val="20"/>
          <w:lang w:val="es-MX"/>
        </w:rPr>
        <w:t xml:space="preserve">2. La geografía electoral, así como el diseño y determinación de los distritos electorales y división del territorio en secciones </w:t>
      </w:r>
      <w:proofErr w:type="gramStart"/>
      <w:r w:rsidRPr="007C2DA2">
        <w:rPr>
          <w:rFonts w:cs="Arial"/>
          <w:i/>
          <w:color w:val="2E74B5" w:themeColor="accent1" w:themeShade="BF"/>
          <w:sz w:val="20"/>
          <w:lang w:val="es-MX"/>
        </w:rPr>
        <w:t>electorales;…</w:t>
      </w:r>
      <w:proofErr w:type="gramEnd"/>
      <w:r w:rsidRPr="007C2DA2">
        <w:rPr>
          <w:rFonts w:cs="Arial"/>
          <w:i/>
          <w:color w:val="2E74B5" w:themeColor="accent1" w:themeShade="BF"/>
          <w:sz w:val="20"/>
          <w:lang w:val="es-MX"/>
        </w:rPr>
        <w:t>”</w:t>
      </w:r>
    </w:p>
    <w:p w:rsidR="000264B9" w:rsidRPr="007C2DA2" w:rsidRDefault="000264B9" w:rsidP="00A0226E">
      <w:pPr>
        <w:pStyle w:val="corte4fondo"/>
        <w:spacing w:line="276" w:lineRule="auto"/>
        <w:ind w:firstLine="0"/>
        <w:rPr>
          <w:rFonts w:cs="Arial"/>
          <w:i/>
          <w:color w:val="2E74B5" w:themeColor="accent1" w:themeShade="BF"/>
          <w:sz w:val="20"/>
          <w:lang w:val="es-MX"/>
        </w:rPr>
      </w:pPr>
    </w:p>
    <w:p w:rsidR="000264B9" w:rsidRPr="007C2DA2" w:rsidRDefault="000264B9" w:rsidP="00A0226E">
      <w:pPr>
        <w:pStyle w:val="corte4fondo"/>
        <w:spacing w:line="276" w:lineRule="auto"/>
        <w:ind w:firstLine="708"/>
        <w:rPr>
          <w:i/>
          <w:color w:val="2E74B5" w:themeColor="accent1" w:themeShade="BF"/>
          <w:sz w:val="20"/>
        </w:rPr>
      </w:pPr>
      <w:r w:rsidRPr="007C2DA2">
        <w:rPr>
          <w:i/>
          <w:color w:val="2E74B5" w:themeColor="accent1" w:themeShade="BF"/>
          <w:sz w:val="20"/>
          <w:lang w:val="es-MX"/>
        </w:rPr>
        <w:t>“…</w:t>
      </w:r>
      <w:r w:rsidRPr="007C2DA2">
        <w:rPr>
          <w:i/>
          <w:color w:val="2E74B5" w:themeColor="accent1" w:themeShade="BF"/>
          <w:sz w:val="20"/>
        </w:rPr>
        <w:t xml:space="preserve">ARTÍCULO 3° La organización, preparación, desarrollo y vigilancia de los procesos electorales ordinarios y extraordinarios de elección de Gobernador del Estado, diputados, y ayuntamientos, estará a cargo del Consejo Estatal Electoral y de Participación Ciudadana y del Instituto Nacional Electoral, de conformidad con lo establecido por la Constitución Federal, la Ley General de Instituciones y Procedimientos Electorales, y la presente Ley en los términos siguientes: I. Corresponderá al Instituto Nacional Electoral: </w:t>
      </w:r>
    </w:p>
    <w:p w:rsidR="000264B9" w:rsidRPr="007C2DA2" w:rsidRDefault="000264B9" w:rsidP="00A0226E">
      <w:pPr>
        <w:pStyle w:val="corte4fondo"/>
        <w:spacing w:line="276" w:lineRule="auto"/>
        <w:ind w:firstLine="0"/>
        <w:rPr>
          <w:i/>
          <w:color w:val="2E74B5" w:themeColor="accent1" w:themeShade="BF"/>
          <w:sz w:val="20"/>
        </w:rPr>
      </w:pPr>
    </w:p>
    <w:p w:rsidR="000264B9" w:rsidRPr="007C2DA2" w:rsidRDefault="000264B9" w:rsidP="00A0226E">
      <w:pPr>
        <w:pStyle w:val="corte4fondo"/>
        <w:spacing w:line="276" w:lineRule="auto"/>
        <w:ind w:firstLine="0"/>
        <w:rPr>
          <w:i/>
          <w:color w:val="2E74B5" w:themeColor="accent1" w:themeShade="BF"/>
          <w:sz w:val="20"/>
          <w:lang w:val="es-MX"/>
        </w:rPr>
      </w:pPr>
      <w:r w:rsidRPr="007C2DA2">
        <w:rPr>
          <w:i/>
          <w:color w:val="2E74B5" w:themeColor="accent1" w:themeShade="BF"/>
          <w:sz w:val="20"/>
        </w:rPr>
        <w:t>[…</w:t>
      </w:r>
      <w:r w:rsidRPr="007C2DA2">
        <w:rPr>
          <w:i/>
          <w:color w:val="2E74B5" w:themeColor="accent1" w:themeShade="BF"/>
          <w:sz w:val="20"/>
          <w:lang w:val="es-MX"/>
        </w:rPr>
        <w:t>]</w:t>
      </w:r>
    </w:p>
    <w:p w:rsidR="000264B9" w:rsidRPr="007C2DA2" w:rsidRDefault="000264B9" w:rsidP="00A0226E">
      <w:pPr>
        <w:pStyle w:val="corte4fondo"/>
        <w:spacing w:line="276" w:lineRule="auto"/>
        <w:ind w:firstLine="0"/>
        <w:rPr>
          <w:rFonts w:cs="Arial"/>
          <w:i/>
          <w:color w:val="2E74B5" w:themeColor="accent1" w:themeShade="BF"/>
          <w:sz w:val="20"/>
          <w:lang w:val="es-MX"/>
        </w:rPr>
      </w:pPr>
      <w:r w:rsidRPr="007C2DA2">
        <w:rPr>
          <w:i/>
          <w:color w:val="2E74B5" w:themeColor="accent1" w:themeShade="BF"/>
          <w:sz w:val="20"/>
        </w:rPr>
        <w:t>b) La geografía electoral, que incluirá la determinación de los distritos electorales y su división en secciones electorales, así como la delimitación y el establecimiento de cabeceras distritales</w:t>
      </w:r>
      <w:r w:rsidRPr="007C2DA2">
        <w:rPr>
          <w:i/>
          <w:color w:val="2E74B5" w:themeColor="accent1" w:themeShade="BF"/>
          <w:sz w:val="20"/>
          <w:lang w:val="es-MX"/>
        </w:rPr>
        <w:t>…”</w:t>
      </w:r>
    </w:p>
    <w:p w:rsidR="00C37E69" w:rsidRPr="007C2DA2" w:rsidRDefault="00C37E69" w:rsidP="00A0226E">
      <w:pPr>
        <w:pStyle w:val="corte4fondo"/>
        <w:spacing w:line="276" w:lineRule="auto"/>
        <w:ind w:left="720" w:firstLine="0"/>
        <w:rPr>
          <w:rFonts w:cs="Arial"/>
          <w:color w:val="2E74B5" w:themeColor="accent1" w:themeShade="BF"/>
          <w:sz w:val="24"/>
          <w:szCs w:val="24"/>
          <w:lang w:val="es-MX"/>
        </w:rPr>
      </w:pPr>
    </w:p>
    <w:p w:rsidR="001B1F2E" w:rsidRPr="007C2DA2" w:rsidRDefault="001B1F2E" w:rsidP="00A0226E">
      <w:pPr>
        <w:pStyle w:val="corte4fondo"/>
        <w:spacing w:line="276" w:lineRule="auto"/>
        <w:ind w:left="720" w:firstLine="0"/>
        <w:rPr>
          <w:rFonts w:cs="Arial"/>
          <w:color w:val="2E74B5" w:themeColor="accent1" w:themeShade="BF"/>
          <w:sz w:val="24"/>
          <w:szCs w:val="24"/>
          <w:lang w:val="es-MX"/>
        </w:rPr>
      </w:pPr>
      <w:r w:rsidRPr="007C2DA2">
        <w:rPr>
          <w:rFonts w:cs="Arial"/>
          <w:color w:val="2E74B5" w:themeColor="accent1" w:themeShade="BF"/>
          <w:sz w:val="24"/>
          <w:szCs w:val="24"/>
          <w:lang w:val="es-MX"/>
        </w:rPr>
        <w:lastRenderedPageBreak/>
        <w:tab/>
      </w:r>
      <w:r w:rsidR="00C926D7" w:rsidRPr="007C2DA2">
        <w:rPr>
          <w:rFonts w:cs="Arial"/>
          <w:color w:val="2E74B5" w:themeColor="accent1" w:themeShade="BF"/>
          <w:sz w:val="24"/>
          <w:szCs w:val="24"/>
          <w:lang w:val="es-MX"/>
        </w:rPr>
        <w:t xml:space="preserve">Como se ve, dichas </w:t>
      </w:r>
      <w:r w:rsidR="000264B9" w:rsidRPr="007C2DA2">
        <w:rPr>
          <w:rFonts w:cs="Arial"/>
          <w:color w:val="2E74B5" w:themeColor="accent1" w:themeShade="BF"/>
          <w:sz w:val="24"/>
          <w:szCs w:val="24"/>
          <w:lang w:val="es-MX"/>
        </w:rPr>
        <w:t xml:space="preserve">disposiciones establecen </w:t>
      </w:r>
      <w:r w:rsidRPr="007C2DA2">
        <w:rPr>
          <w:rFonts w:cs="Arial"/>
          <w:color w:val="2E74B5" w:themeColor="accent1" w:themeShade="BF"/>
          <w:sz w:val="24"/>
          <w:szCs w:val="24"/>
          <w:lang w:val="es-MX"/>
        </w:rPr>
        <w:t>sus funciones y</w:t>
      </w:r>
      <w:r w:rsidR="001A0F80">
        <w:rPr>
          <w:rFonts w:cs="Arial"/>
          <w:color w:val="2E74B5" w:themeColor="accent1" w:themeShade="BF"/>
          <w:sz w:val="24"/>
          <w:szCs w:val="24"/>
          <w:lang w:val="es-MX"/>
        </w:rPr>
        <w:t>, en donde es evidente que, dada</w:t>
      </w:r>
      <w:r w:rsidRPr="007C2DA2">
        <w:rPr>
          <w:rFonts w:cs="Arial"/>
          <w:color w:val="2E74B5" w:themeColor="accent1" w:themeShade="BF"/>
          <w:sz w:val="24"/>
          <w:szCs w:val="24"/>
          <w:lang w:val="es-MX"/>
        </w:rPr>
        <w:t xml:space="preserve"> la natura</w:t>
      </w:r>
      <w:r w:rsidR="000264B9" w:rsidRPr="007C2DA2">
        <w:rPr>
          <w:rFonts w:cs="Arial"/>
          <w:color w:val="2E74B5" w:themeColor="accent1" w:themeShade="BF"/>
          <w:sz w:val="24"/>
          <w:szCs w:val="24"/>
          <w:lang w:val="es-MX"/>
        </w:rPr>
        <w:t xml:space="preserve">leza de la información pedida al Consejo Estatal Electoral y de Participación Ciudadana </w:t>
      </w:r>
      <w:r w:rsidRPr="007C2DA2">
        <w:rPr>
          <w:rFonts w:cs="Arial"/>
          <w:color w:val="2E74B5" w:themeColor="accent1" w:themeShade="BF"/>
          <w:sz w:val="24"/>
          <w:szCs w:val="24"/>
          <w:lang w:val="es-MX"/>
        </w:rPr>
        <w:t>por el solicitante, es evidente que a quien podría corresponder o tener esa información es</w:t>
      </w:r>
      <w:r w:rsidR="000264B9" w:rsidRPr="007C2DA2">
        <w:rPr>
          <w:rFonts w:cs="Arial"/>
          <w:color w:val="2E74B5" w:themeColor="accent1" w:themeShade="BF"/>
          <w:sz w:val="24"/>
          <w:szCs w:val="24"/>
          <w:lang w:val="es-MX"/>
        </w:rPr>
        <w:t xml:space="preserve"> el Instituto Nacional Electoral (INE)</w:t>
      </w:r>
      <w:r w:rsidRPr="007C2DA2">
        <w:rPr>
          <w:rFonts w:cs="Arial"/>
          <w:color w:val="2E74B5" w:themeColor="accent1" w:themeShade="BF"/>
          <w:sz w:val="24"/>
          <w:szCs w:val="24"/>
          <w:lang w:val="es-MX"/>
        </w:rPr>
        <w:t>.</w:t>
      </w:r>
    </w:p>
    <w:p w:rsidR="001B1F2E" w:rsidRPr="007C2DA2" w:rsidRDefault="001B1F2E" w:rsidP="00A0226E">
      <w:pPr>
        <w:pStyle w:val="corte4fondo"/>
        <w:spacing w:line="276" w:lineRule="auto"/>
        <w:ind w:left="720" w:firstLine="0"/>
        <w:rPr>
          <w:rFonts w:cs="Arial"/>
          <w:color w:val="2E74B5" w:themeColor="accent1" w:themeShade="BF"/>
          <w:sz w:val="24"/>
          <w:szCs w:val="24"/>
          <w:lang w:val="es-MX"/>
        </w:rPr>
      </w:pPr>
    </w:p>
    <w:p w:rsidR="001B1F2E" w:rsidRPr="007C2DA2" w:rsidRDefault="001B1F2E" w:rsidP="00A0226E">
      <w:pPr>
        <w:pStyle w:val="corte4fondo"/>
        <w:spacing w:line="276" w:lineRule="auto"/>
        <w:ind w:left="720" w:firstLine="696"/>
        <w:rPr>
          <w:rFonts w:cs="Arial"/>
          <w:color w:val="2E74B5" w:themeColor="accent1" w:themeShade="BF"/>
          <w:sz w:val="24"/>
          <w:szCs w:val="24"/>
          <w:lang w:val="es-MX"/>
        </w:rPr>
      </w:pPr>
      <w:r w:rsidRPr="007C2DA2">
        <w:rPr>
          <w:rFonts w:cs="Arial"/>
          <w:color w:val="2E74B5" w:themeColor="accent1" w:themeShade="BF"/>
          <w:sz w:val="24"/>
          <w:szCs w:val="24"/>
          <w:lang w:val="es-MX"/>
        </w:rPr>
        <w:t xml:space="preserve">De ahí que </w:t>
      </w:r>
      <w:r w:rsidR="00663DF6" w:rsidRPr="007C2DA2">
        <w:rPr>
          <w:rFonts w:cs="Arial"/>
          <w:color w:val="2E74B5" w:themeColor="accent1" w:themeShade="BF"/>
          <w:sz w:val="24"/>
          <w:szCs w:val="24"/>
          <w:lang w:val="es-MX"/>
        </w:rPr>
        <w:t xml:space="preserve">el </w:t>
      </w:r>
      <w:r w:rsidRPr="007C2DA2">
        <w:rPr>
          <w:rFonts w:cs="Arial"/>
          <w:color w:val="2E74B5" w:themeColor="accent1" w:themeShade="BF"/>
          <w:sz w:val="24"/>
          <w:szCs w:val="24"/>
          <w:lang w:val="es-MX"/>
        </w:rPr>
        <w:t>propi</w:t>
      </w:r>
      <w:r w:rsidR="00663DF6" w:rsidRPr="007C2DA2">
        <w:rPr>
          <w:rFonts w:cs="Arial"/>
          <w:color w:val="2E74B5" w:themeColor="accent1" w:themeShade="BF"/>
          <w:sz w:val="24"/>
          <w:szCs w:val="24"/>
          <w:lang w:val="es-MX"/>
        </w:rPr>
        <w:t xml:space="preserve">o </w:t>
      </w:r>
      <w:r w:rsidR="00663DF6" w:rsidRPr="007C2DA2">
        <w:rPr>
          <w:rFonts w:cs="Arial"/>
          <w:b/>
          <w:color w:val="2E74B5" w:themeColor="accent1" w:themeShade="BF"/>
          <w:sz w:val="24"/>
          <w:szCs w:val="24"/>
          <w:lang w:val="es-MX"/>
        </w:rPr>
        <w:t>Consejo Estatal Electoral y de Participación Ciudadana</w:t>
      </w:r>
      <w:r w:rsidRPr="007C2DA2">
        <w:rPr>
          <w:rFonts w:cs="Arial"/>
          <w:color w:val="2E74B5" w:themeColor="accent1" w:themeShade="BF"/>
          <w:sz w:val="24"/>
          <w:szCs w:val="24"/>
          <w:lang w:val="es-MX"/>
        </w:rPr>
        <w:t xml:space="preserve"> </w:t>
      </w:r>
      <w:r w:rsidRPr="007C2DA2">
        <w:rPr>
          <w:rFonts w:cs="Arial"/>
          <w:b/>
          <w:color w:val="2E74B5" w:themeColor="accent1" w:themeShade="BF"/>
          <w:sz w:val="24"/>
          <w:szCs w:val="24"/>
          <w:lang w:val="es-MX"/>
        </w:rPr>
        <w:t xml:space="preserve"> </w:t>
      </w:r>
      <w:r w:rsidRPr="007C2DA2">
        <w:rPr>
          <w:rFonts w:cs="Arial"/>
          <w:color w:val="2E74B5" w:themeColor="accent1" w:themeShade="BF"/>
          <w:sz w:val="24"/>
          <w:szCs w:val="24"/>
          <w:lang w:val="es-MX"/>
        </w:rPr>
        <w:t>orientó al solicitante a</w:t>
      </w:r>
      <w:r w:rsidR="00C37E69" w:rsidRPr="007C2DA2">
        <w:rPr>
          <w:rFonts w:cs="Arial"/>
          <w:color w:val="2E74B5" w:themeColor="accent1" w:themeShade="BF"/>
          <w:sz w:val="24"/>
          <w:szCs w:val="24"/>
          <w:lang w:val="es-MX"/>
        </w:rPr>
        <w:t xml:space="preserve">l Instituto </w:t>
      </w:r>
      <w:r w:rsidR="00004708" w:rsidRPr="007C2DA2">
        <w:rPr>
          <w:rFonts w:cs="Arial"/>
          <w:color w:val="2E74B5" w:themeColor="accent1" w:themeShade="BF"/>
          <w:sz w:val="24"/>
          <w:szCs w:val="24"/>
          <w:lang w:val="es-MX"/>
        </w:rPr>
        <w:t xml:space="preserve">Nacional Electoral </w:t>
      </w:r>
      <w:r w:rsidR="007C2DA2" w:rsidRPr="007C2DA2">
        <w:rPr>
          <w:rFonts w:cs="Arial"/>
          <w:color w:val="2E74B5" w:themeColor="accent1" w:themeShade="BF"/>
          <w:sz w:val="24"/>
          <w:szCs w:val="24"/>
          <w:lang w:val="es-MX"/>
        </w:rPr>
        <w:t>e incluso le proporcionó diversas direcciones</w:t>
      </w:r>
      <w:r w:rsidR="005C5AE2" w:rsidRPr="007C2DA2">
        <w:rPr>
          <w:rFonts w:cs="Arial"/>
          <w:color w:val="2E74B5" w:themeColor="accent1" w:themeShade="BF"/>
          <w:sz w:val="24"/>
          <w:szCs w:val="24"/>
          <w:lang w:val="es-MX"/>
        </w:rPr>
        <w:t xml:space="preserve"> electrónica</w:t>
      </w:r>
      <w:r w:rsidR="007C2DA2" w:rsidRPr="007C2DA2">
        <w:rPr>
          <w:rFonts w:cs="Arial"/>
          <w:color w:val="2E74B5" w:themeColor="accent1" w:themeShade="BF"/>
          <w:sz w:val="24"/>
          <w:szCs w:val="24"/>
          <w:lang w:val="es-MX"/>
        </w:rPr>
        <w:t>s</w:t>
      </w:r>
      <w:r w:rsidR="005C5AE2" w:rsidRPr="007C2DA2">
        <w:rPr>
          <w:rFonts w:cs="Arial"/>
          <w:color w:val="2E74B5" w:themeColor="accent1" w:themeShade="BF"/>
          <w:sz w:val="24"/>
          <w:szCs w:val="24"/>
          <w:lang w:val="es-MX"/>
        </w:rPr>
        <w:t xml:space="preserve"> del </w:t>
      </w:r>
      <w:r w:rsidR="007C2DA2" w:rsidRPr="007C2DA2">
        <w:rPr>
          <w:rFonts w:cs="Arial"/>
          <w:color w:val="2E74B5" w:themeColor="accent1" w:themeShade="BF"/>
          <w:sz w:val="24"/>
          <w:szCs w:val="24"/>
          <w:lang w:val="es-MX"/>
        </w:rPr>
        <w:t xml:space="preserve">Instituto Nacional de Transparencia y del </w:t>
      </w:r>
      <w:r w:rsidR="005C5AE2" w:rsidRPr="007C2DA2">
        <w:rPr>
          <w:rFonts w:cs="Arial"/>
          <w:color w:val="2E74B5" w:themeColor="accent1" w:themeShade="BF"/>
          <w:sz w:val="24"/>
          <w:szCs w:val="24"/>
          <w:lang w:val="es-MX"/>
        </w:rPr>
        <w:t>Consejo Estatal Electoral y de Participación Ciudadana</w:t>
      </w:r>
      <w:r w:rsidRPr="007C2DA2">
        <w:rPr>
          <w:rFonts w:cs="Arial"/>
          <w:color w:val="2E74B5" w:themeColor="accent1" w:themeShade="BF"/>
          <w:sz w:val="24"/>
          <w:szCs w:val="24"/>
          <w:lang w:val="es-MX"/>
        </w:rPr>
        <w:t>, mediante la Plataforma Nacional de Transparencia orientación que es correcta porque ya ha quedado visto que, por disposiciones expresas de las funciones de</w:t>
      </w:r>
      <w:r w:rsidR="005C5AE2" w:rsidRPr="007C2DA2">
        <w:rPr>
          <w:rFonts w:cs="Arial"/>
          <w:color w:val="2E74B5" w:themeColor="accent1" w:themeShade="BF"/>
          <w:sz w:val="24"/>
          <w:szCs w:val="24"/>
          <w:lang w:val="es-MX"/>
        </w:rPr>
        <w:t>l citado Consejo</w:t>
      </w:r>
      <w:r w:rsidRPr="007C2DA2">
        <w:rPr>
          <w:rFonts w:cs="Arial"/>
          <w:color w:val="2E74B5" w:themeColor="accent1" w:themeShade="BF"/>
          <w:sz w:val="24"/>
          <w:szCs w:val="24"/>
          <w:lang w:val="es-MX"/>
        </w:rPr>
        <w:t>, no es</w:t>
      </w:r>
      <w:r w:rsidR="005C5AE2" w:rsidRPr="007C2DA2">
        <w:rPr>
          <w:rFonts w:cs="Arial"/>
          <w:color w:val="2E74B5" w:themeColor="accent1" w:themeShade="BF"/>
          <w:sz w:val="24"/>
          <w:szCs w:val="24"/>
          <w:lang w:val="es-MX"/>
        </w:rPr>
        <w:t xml:space="preserve"> su</w:t>
      </w:r>
      <w:r w:rsidRPr="007C2DA2">
        <w:rPr>
          <w:rFonts w:cs="Arial"/>
          <w:color w:val="2E74B5" w:themeColor="accent1" w:themeShade="BF"/>
          <w:sz w:val="24"/>
          <w:szCs w:val="24"/>
          <w:lang w:val="es-MX"/>
        </w:rPr>
        <w:t xml:space="preserve"> competencia tener la información que el ahora recurrente solicitó, de ahí la inoperancia del agravio.</w:t>
      </w:r>
    </w:p>
    <w:p w:rsidR="001B1F2E" w:rsidRPr="007C2DA2" w:rsidRDefault="001B1F2E" w:rsidP="00A0226E">
      <w:pPr>
        <w:pStyle w:val="corte4fondo"/>
        <w:spacing w:line="276" w:lineRule="auto"/>
        <w:rPr>
          <w:rFonts w:cs="Arial"/>
          <w:color w:val="2E74B5" w:themeColor="accent1" w:themeShade="BF"/>
          <w:sz w:val="24"/>
          <w:szCs w:val="24"/>
          <w:lang w:val="es-MX"/>
        </w:rPr>
      </w:pPr>
    </w:p>
    <w:p w:rsidR="00327923" w:rsidRPr="007C2DA2" w:rsidRDefault="007C2DA2" w:rsidP="001A0F80">
      <w:pPr>
        <w:pStyle w:val="corte4fondo"/>
        <w:spacing w:line="276" w:lineRule="auto"/>
        <w:ind w:left="709" w:firstLine="707"/>
        <w:rPr>
          <w:rFonts w:cs="Arial"/>
          <w:i/>
          <w:color w:val="2E74B5" w:themeColor="accent1" w:themeShade="BF"/>
          <w:sz w:val="20"/>
          <w:lang w:val="es-MX"/>
        </w:rPr>
      </w:pPr>
      <w:r w:rsidRPr="007C2DA2">
        <w:rPr>
          <w:rFonts w:cs="Arial"/>
          <w:color w:val="2E74B5" w:themeColor="accent1" w:themeShade="BF"/>
          <w:sz w:val="24"/>
          <w:szCs w:val="24"/>
          <w:lang w:val="es-MX"/>
        </w:rPr>
        <w:t>Por lo anteriormente expuesto</w:t>
      </w:r>
      <w:r w:rsidR="00327923" w:rsidRPr="007C2DA2">
        <w:rPr>
          <w:rFonts w:cs="Arial"/>
          <w:color w:val="2E74B5" w:themeColor="accent1" w:themeShade="BF"/>
          <w:sz w:val="24"/>
          <w:szCs w:val="24"/>
        </w:rPr>
        <w:t xml:space="preserve">, </w:t>
      </w:r>
      <w:r w:rsidRPr="007C2DA2">
        <w:rPr>
          <w:rFonts w:cs="Arial"/>
          <w:color w:val="2E74B5" w:themeColor="accent1" w:themeShade="BF"/>
          <w:sz w:val="24"/>
          <w:szCs w:val="24"/>
          <w:lang w:val="es-MX"/>
        </w:rPr>
        <w:t>e</w:t>
      </w:r>
      <w:r w:rsidR="00327923" w:rsidRPr="007C2DA2">
        <w:rPr>
          <w:rFonts w:cs="Arial"/>
          <w:color w:val="2E74B5" w:themeColor="accent1" w:themeShade="BF"/>
          <w:sz w:val="24"/>
          <w:szCs w:val="24"/>
        </w:rPr>
        <w:t>s necesario precisar que</w:t>
      </w:r>
      <w:r w:rsidR="006C6608" w:rsidRPr="007C2DA2">
        <w:rPr>
          <w:rFonts w:cs="Arial"/>
          <w:color w:val="2E74B5" w:themeColor="accent1" w:themeShade="BF"/>
          <w:sz w:val="24"/>
          <w:szCs w:val="24"/>
          <w:lang w:val="es-MX"/>
        </w:rPr>
        <w:t xml:space="preserve"> el </w:t>
      </w:r>
      <w:r w:rsidR="005631DC" w:rsidRPr="007C2DA2">
        <w:rPr>
          <w:rFonts w:cs="Arial"/>
          <w:color w:val="2E74B5" w:themeColor="accent1" w:themeShade="BF"/>
          <w:sz w:val="24"/>
          <w:szCs w:val="24"/>
          <w:lang w:val="es-MX"/>
        </w:rPr>
        <w:t>Sistema Estatal de Documentación y Archivo</w:t>
      </w:r>
      <w:r w:rsidR="006C6608" w:rsidRPr="007C2DA2">
        <w:rPr>
          <w:rFonts w:cs="Arial"/>
          <w:color w:val="2E74B5" w:themeColor="accent1" w:themeShade="BF"/>
          <w:sz w:val="24"/>
          <w:szCs w:val="24"/>
          <w:lang w:val="es-MX"/>
        </w:rPr>
        <w:t xml:space="preserve"> </w:t>
      </w:r>
      <w:r w:rsidRPr="007C2DA2">
        <w:rPr>
          <w:rFonts w:cs="Arial"/>
          <w:color w:val="2E74B5" w:themeColor="accent1" w:themeShade="BF"/>
          <w:sz w:val="24"/>
          <w:szCs w:val="24"/>
          <w:lang w:val="es-MX"/>
        </w:rPr>
        <w:t>determinó que</w:t>
      </w:r>
      <w:r w:rsidR="006C6608" w:rsidRPr="007C2DA2">
        <w:rPr>
          <w:rFonts w:cs="Arial"/>
          <w:color w:val="2E74B5" w:themeColor="accent1" w:themeShade="BF"/>
          <w:sz w:val="24"/>
          <w:szCs w:val="24"/>
          <w:lang w:val="es-MX"/>
        </w:rPr>
        <w:t xml:space="preserve"> al ingresar a las rutas electr</w:t>
      </w:r>
      <w:r w:rsidR="00FD4961" w:rsidRPr="007C2DA2">
        <w:rPr>
          <w:rFonts w:cs="Arial"/>
          <w:color w:val="2E74B5" w:themeColor="accent1" w:themeShade="BF"/>
          <w:sz w:val="24"/>
          <w:szCs w:val="24"/>
          <w:lang w:val="es-MX"/>
        </w:rPr>
        <w:t>ónicas proporcionadas por el C</w:t>
      </w:r>
      <w:r w:rsidR="006C6608" w:rsidRPr="007C2DA2">
        <w:rPr>
          <w:rFonts w:cs="Arial"/>
          <w:color w:val="2E74B5" w:themeColor="accent1" w:themeShade="BF"/>
          <w:sz w:val="24"/>
          <w:szCs w:val="24"/>
          <w:lang w:val="es-MX"/>
        </w:rPr>
        <w:t xml:space="preserve">onsejo Estatal </w:t>
      </w:r>
      <w:r w:rsidR="00FD4961" w:rsidRPr="007C2DA2">
        <w:rPr>
          <w:rFonts w:cs="Arial"/>
          <w:color w:val="2E74B5" w:themeColor="accent1" w:themeShade="BF"/>
          <w:sz w:val="24"/>
          <w:szCs w:val="24"/>
          <w:lang w:val="es-MX"/>
        </w:rPr>
        <w:t>E</w:t>
      </w:r>
      <w:r w:rsidR="006C6608" w:rsidRPr="007C2DA2">
        <w:rPr>
          <w:rFonts w:cs="Arial"/>
          <w:color w:val="2E74B5" w:themeColor="accent1" w:themeShade="BF"/>
          <w:sz w:val="24"/>
          <w:szCs w:val="24"/>
          <w:lang w:val="es-MX"/>
        </w:rPr>
        <w:t xml:space="preserve">lectoral y de Participación Ciudadana </w:t>
      </w:r>
      <w:r w:rsidR="00FD4961" w:rsidRPr="007C2DA2">
        <w:rPr>
          <w:rFonts w:cs="Arial"/>
          <w:color w:val="2E74B5" w:themeColor="accent1" w:themeShade="BF"/>
          <w:sz w:val="24"/>
          <w:szCs w:val="24"/>
          <w:lang w:val="es-MX"/>
        </w:rPr>
        <w:t xml:space="preserve">se encuentra publicada la información tal y como se señaló en el dictamen emitido a través del oficio SEDA DG/347/2018 </w:t>
      </w:r>
      <w:r w:rsidR="00FD4961" w:rsidRPr="007C2DA2">
        <w:rPr>
          <w:rFonts w:cs="Arial"/>
          <w:color w:val="2E74B5" w:themeColor="accent1" w:themeShade="BF"/>
          <w:sz w:val="20"/>
          <w:lang w:val="es-MX"/>
        </w:rPr>
        <w:t>(visible a fojas 20 a 23 de autos)</w:t>
      </w:r>
      <w:r w:rsidR="00327923" w:rsidRPr="007C2DA2">
        <w:rPr>
          <w:rFonts w:cs="Arial"/>
          <w:color w:val="2E74B5" w:themeColor="accent1" w:themeShade="BF"/>
          <w:sz w:val="24"/>
          <w:szCs w:val="24"/>
        </w:rPr>
        <w:t>.</w:t>
      </w:r>
      <w:r w:rsidR="006C6608" w:rsidRPr="007C2DA2">
        <w:rPr>
          <w:rFonts w:cs="Arial"/>
          <w:color w:val="2E74B5" w:themeColor="accent1" w:themeShade="BF"/>
          <w:sz w:val="24"/>
          <w:szCs w:val="24"/>
          <w:lang w:val="es-MX"/>
        </w:rPr>
        <w:t xml:space="preserve">  </w:t>
      </w:r>
    </w:p>
    <w:p w:rsidR="00327923" w:rsidRPr="007C2DA2" w:rsidRDefault="00327923" w:rsidP="001A0F80">
      <w:pPr>
        <w:pStyle w:val="corte4fondo"/>
        <w:tabs>
          <w:tab w:val="left" w:pos="567"/>
        </w:tabs>
        <w:spacing w:line="276" w:lineRule="auto"/>
        <w:ind w:left="709" w:hanging="1"/>
        <w:rPr>
          <w:rFonts w:cs="Arial"/>
          <w:color w:val="2E74B5" w:themeColor="accent1" w:themeShade="BF"/>
          <w:sz w:val="24"/>
          <w:szCs w:val="24"/>
        </w:rPr>
      </w:pPr>
    </w:p>
    <w:p w:rsidR="00327923" w:rsidRPr="007C2DA2" w:rsidRDefault="00A0226E" w:rsidP="001A0F80">
      <w:pPr>
        <w:pStyle w:val="corte4fondo"/>
        <w:spacing w:line="276" w:lineRule="auto"/>
        <w:ind w:left="708" w:firstLine="708"/>
        <w:rPr>
          <w:rFonts w:cs="Arial"/>
          <w:color w:val="2E74B5" w:themeColor="accent1" w:themeShade="BF"/>
          <w:sz w:val="24"/>
          <w:szCs w:val="24"/>
          <w:lang w:val="es-MX"/>
        </w:rPr>
      </w:pPr>
      <w:r>
        <w:rPr>
          <w:rFonts w:eastAsia="Arial Unicode MS" w:cs="Arial"/>
          <w:b/>
          <w:color w:val="2E74B5" w:themeColor="accent1" w:themeShade="BF"/>
          <w:sz w:val="24"/>
          <w:szCs w:val="24"/>
          <w:lang w:val="es-MX"/>
        </w:rPr>
        <w:t>6</w:t>
      </w:r>
      <w:r w:rsidR="00327923" w:rsidRPr="007C2DA2">
        <w:rPr>
          <w:rFonts w:eastAsia="Arial Unicode MS" w:cs="Arial"/>
          <w:b/>
          <w:color w:val="2E74B5" w:themeColor="accent1" w:themeShade="BF"/>
          <w:sz w:val="24"/>
          <w:szCs w:val="24"/>
          <w:lang w:val="es-MX"/>
        </w:rPr>
        <w:t>.2 Sentido de la resolución</w:t>
      </w:r>
      <w:r w:rsidR="00327923" w:rsidRPr="007C2DA2">
        <w:rPr>
          <w:rFonts w:cs="Arial"/>
          <w:b/>
          <w:color w:val="2E74B5" w:themeColor="accent1" w:themeShade="BF"/>
          <w:sz w:val="24"/>
          <w:szCs w:val="24"/>
          <w:lang w:val="es-MX"/>
        </w:rPr>
        <w:t>.</w:t>
      </w:r>
    </w:p>
    <w:p w:rsidR="00327923" w:rsidRPr="007C2DA2" w:rsidRDefault="00327923" w:rsidP="00A0226E">
      <w:pPr>
        <w:pStyle w:val="corte4fondo"/>
        <w:spacing w:line="276" w:lineRule="auto"/>
        <w:ind w:firstLine="0"/>
        <w:rPr>
          <w:rFonts w:cs="Arial"/>
          <w:color w:val="2E74B5" w:themeColor="accent1" w:themeShade="BF"/>
          <w:sz w:val="23"/>
          <w:szCs w:val="23"/>
          <w:lang w:val="es-MX"/>
        </w:rPr>
      </w:pPr>
    </w:p>
    <w:p w:rsidR="00BC294D" w:rsidRPr="00A0226E" w:rsidRDefault="00BC294D" w:rsidP="001A0F80">
      <w:pPr>
        <w:spacing w:after="0" w:line="276" w:lineRule="auto"/>
        <w:ind w:left="709" w:firstLine="707"/>
        <w:jc w:val="both"/>
        <w:rPr>
          <w:rFonts w:ascii="Arial" w:hAnsi="Arial" w:cs="Arial"/>
          <w:color w:val="4F81BD"/>
          <w:sz w:val="24"/>
          <w:szCs w:val="24"/>
        </w:rPr>
      </w:pPr>
      <w:r w:rsidRPr="00A0226E">
        <w:rPr>
          <w:rFonts w:ascii="Arial" w:hAnsi="Arial" w:cs="Arial"/>
          <w:color w:val="4F81BD"/>
          <w:sz w:val="24"/>
          <w:szCs w:val="24"/>
        </w:rPr>
        <w:t xml:space="preserve">En tal virtud, esta Comisión concluye que el agravio en estudio </w:t>
      </w:r>
      <w:r w:rsidRPr="00A0226E">
        <w:rPr>
          <w:rFonts w:ascii="Arial" w:hAnsi="Arial" w:cs="Arial"/>
          <w:b/>
          <w:color w:val="4F81BD"/>
          <w:sz w:val="24"/>
          <w:szCs w:val="24"/>
        </w:rPr>
        <w:t>resultó infundado</w:t>
      </w:r>
      <w:r w:rsidRPr="00A0226E">
        <w:rPr>
          <w:rFonts w:ascii="Arial" w:hAnsi="Arial" w:cs="Arial"/>
          <w:color w:val="4F81BD"/>
          <w:sz w:val="24"/>
          <w:szCs w:val="24"/>
        </w:rPr>
        <w:t>, siendo procedente confirmar la respuesta del sujeto obligado otorgada a la solicitud de información con folio 00052218 presentada a través de la Plataforma Nacional de Transparencia de conformidad con el artículo 175, fracción II de la Ley de Transparencia y Acceso a la Información Pública del Estado de San Luis Potosí.</w:t>
      </w:r>
    </w:p>
    <w:p w:rsidR="00327923" w:rsidRPr="007C2DA2" w:rsidRDefault="00327923" w:rsidP="00A0226E">
      <w:pPr>
        <w:pStyle w:val="corte4fondo"/>
        <w:spacing w:line="276" w:lineRule="auto"/>
        <w:ind w:firstLine="0"/>
        <w:rPr>
          <w:rFonts w:cs="Arial"/>
          <w:color w:val="2E74B5" w:themeColor="accent1" w:themeShade="BF"/>
          <w:sz w:val="24"/>
          <w:szCs w:val="24"/>
          <w:lang w:val="es-MX"/>
        </w:rPr>
      </w:pPr>
    </w:p>
    <w:p w:rsidR="00327923" w:rsidRPr="007C2DA2" w:rsidRDefault="00827EC8" w:rsidP="00A0226E">
      <w:pPr>
        <w:pStyle w:val="corte4fondo"/>
        <w:tabs>
          <w:tab w:val="left" w:pos="567"/>
        </w:tabs>
        <w:spacing w:line="276" w:lineRule="auto"/>
        <w:ind w:firstLine="0"/>
        <w:rPr>
          <w:rFonts w:cs="Arial"/>
          <w:b/>
          <w:color w:val="2E74B5" w:themeColor="accent1" w:themeShade="BF"/>
          <w:sz w:val="24"/>
          <w:szCs w:val="24"/>
          <w:lang w:val="es-MX"/>
        </w:rPr>
      </w:pPr>
      <w:r>
        <w:rPr>
          <w:rFonts w:cs="Arial"/>
          <w:b/>
          <w:color w:val="2E74B5" w:themeColor="accent1" w:themeShade="BF"/>
          <w:sz w:val="24"/>
          <w:szCs w:val="24"/>
          <w:lang w:val="es-MX"/>
        </w:rPr>
        <w:tab/>
      </w:r>
      <w:r w:rsidR="001A0F80">
        <w:rPr>
          <w:rFonts w:cs="Arial"/>
          <w:b/>
          <w:color w:val="2E74B5" w:themeColor="accent1" w:themeShade="BF"/>
          <w:sz w:val="24"/>
          <w:szCs w:val="24"/>
          <w:lang w:val="es-MX"/>
        </w:rPr>
        <w:tab/>
      </w:r>
      <w:r w:rsidR="001A0F80">
        <w:rPr>
          <w:rFonts w:cs="Arial"/>
          <w:b/>
          <w:color w:val="2E74B5" w:themeColor="accent1" w:themeShade="BF"/>
          <w:sz w:val="24"/>
          <w:szCs w:val="24"/>
          <w:lang w:val="es-MX"/>
        </w:rPr>
        <w:tab/>
      </w:r>
      <w:r w:rsidR="00A0226E">
        <w:rPr>
          <w:rFonts w:cs="Arial"/>
          <w:b/>
          <w:color w:val="2E74B5" w:themeColor="accent1" w:themeShade="BF"/>
          <w:sz w:val="24"/>
          <w:szCs w:val="24"/>
          <w:lang w:val="es-MX"/>
        </w:rPr>
        <w:t>6</w:t>
      </w:r>
      <w:r w:rsidR="00327923" w:rsidRPr="007C2DA2">
        <w:rPr>
          <w:rFonts w:cs="Arial"/>
          <w:b/>
          <w:color w:val="2E74B5" w:themeColor="accent1" w:themeShade="BF"/>
          <w:sz w:val="24"/>
          <w:szCs w:val="24"/>
          <w:lang w:val="es-MX"/>
        </w:rPr>
        <w:t>.3.</w:t>
      </w:r>
      <w:r w:rsidR="00327923" w:rsidRPr="007C2DA2">
        <w:rPr>
          <w:rFonts w:cs="Arial"/>
          <w:color w:val="2E74B5" w:themeColor="accent1" w:themeShade="BF"/>
          <w:sz w:val="24"/>
          <w:szCs w:val="24"/>
          <w:lang w:val="es-MX"/>
        </w:rPr>
        <w:t xml:space="preserve"> </w:t>
      </w:r>
      <w:r w:rsidR="00327923" w:rsidRPr="007C2DA2">
        <w:rPr>
          <w:rFonts w:cs="Arial"/>
          <w:b/>
          <w:color w:val="2E74B5" w:themeColor="accent1" w:themeShade="BF"/>
          <w:sz w:val="24"/>
          <w:szCs w:val="24"/>
          <w:lang w:val="es-MX"/>
        </w:rPr>
        <w:t>Archivo.</w:t>
      </w:r>
    </w:p>
    <w:p w:rsidR="00327923" w:rsidRPr="007C2DA2" w:rsidRDefault="00327923" w:rsidP="00A0226E">
      <w:pPr>
        <w:pStyle w:val="corte4fondo"/>
        <w:tabs>
          <w:tab w:val="left" w:pos="567"/>
        </w:tabs>
        <w:spacing w:line="276" w:lineRule="auto"/>
        <w:ind w:firstLine="0"/>
        <w:rPr>
          <w:rFonts w:cs="Arial"/>
          <w:color w:val="2E74B5" w:themeColor="accent1" w:themeShade="BF"/>
          <w:sz w:val="24"/>
          <w:szCs w:val="24"/>
          <w:lang w:val="es-MX"/>
        </w:rPr>
      </w:pPr>
    </w:p>
    <w:p w:rsidR="00327923" w:rsidRPr="007C2DA2" w:rsidRDefault="001A0F80" w:rsidP="001A0F80">
      <w:pPr>
        <w:pStyle w:val="corte4fondo"/>
        <w:tabs>
          <w:tab w:val="left" w:pos="567"/>
        </w:tabs>
        <w:spacing w:line="276" w:lineRule="auto"/>
        <w:ind w:left="567" w:firstLine="0"/>
        <w:rPr>
          <w:rFonts w:cs="Arial"/>
          <w:color w:val="2E74B5" w:themeColor="accent1" w:themeShade="BF"/>
          <w:sz w:val="24"/>
          <w:szCs w:val="24"/>
          <w:lang w:val="es-MX"/>
        </w:rPr>
      </w:pPr>
      <w:r>
        <w:rPr>
          <w:rFonts w:cs="Arial"/>
          <w:color w:val="2E74B5" w:themeColor="accent1" w:themeShade="BF"/>
          <w:sz w:val="24"/>
          <w:szCs w:val="24"/>
          <w:lang w:val="es-MX"/>
        </w:rPr>
        <w:tab/>
      </w:r>
      <w:r>
        <w:rPr>
          <w:rFonts w:cs="Arial"/>
          <w:color w:val="2E74B5" w:themeColor="accent1" w:themeShade="BF"/>
          <w:sz w:val="24"/>
          <w:szCs w:val="24"/>
          <w:lang w:val="es-MX"/>
        </w:rPr>
        <w:tab/>
      </w:r>
      <w:r w:rsidR="00327923" w:rsidRPr="007C2DA2">
        <w:rPr>
          <w:rFonts w:cs="Arial"/>
          <w:color w:val="2E74B5" w:themeColor="accent1" w:themeShade="BF"/>
          <w:sz w:val="24"/>
          <w:szCs w:val="24"/>
          <w:lang w:val="es-MX"/>
        </w:rPr>
        <w:t>Que una vez que la presente resolución sea notificada a las partes, la ponencia mande archivar el presente asunto como totalmente concluido.</w:t>
      </w:r>
    </w:p>
    <w:p w:rsidR="00327923" w:rsidRPr="007C2DA2" w:rsidRDefault="00327923" w:rsidP="001A0F80">
      <w:pPr>
        <w:pStyle w:val="corte4fondo"/>
        <w:tabs>
          <w:tab w:val="left" w:pos="567"/>
        </w:tabs>
        <w:spacing w:line="276" w:lineRule="auto"/>
        <w:ind w:left="567" w:firstLine="0"/>
        <w:rPr>
          <w:rFonts w:cs="Arial"/>
          <w:color w:val="2E74B5" w:themeColor="accent1" w:themeShade="BF"/>
          <w:sz w:val="24"/>
          <w:szCs w:val="24"/>
          <w:lang w:val="es-MX"/>
        </w:rPr>
      </w:pPr>
    </w:p>
    <w:p w:rsidR="00327923" w:rsidRPr="007C2DA2" w:rsidRDefault="00327923" w:rsidP="001A0F80">
      <w:pPr>
        <w:pStyle w:val="corte4fondo"/>
        <w:tabs>
          <w:tab w:val="left" w:pos="567"/>
        </w:tabs>
        <w:spacing w:line="276" w:lineRule="auto"/>
        <w:ind w:left="567" w:firstLine="0"/>
        <w:rPr>
          <w:rFonts w:cs="Arial"/>
          <w:color w:val="2E74B5" w:themeColor="accent1" w:themeShade="BF"/>
          <w:sz w:val="24"/>
          <w:szCs w:val="24"/>
        </w:rPr>
      </w:pPr>
      <w:r w:rsidRPr="007C2DA2">
        <w:rPr>
          <w:rFonts w:cs="Arial"/>
          <w:b/>
          <w:color w:val="2E74B5" w:themeColor="accent1" w:themeShade="BF"/>
          <w:sz w:val="24"/>
          <w:szCs w:val="24"/>
          <w:lang w:val="es-MX"/>
        </w:rPr>
        <w:tab/>
      </w:r>
      <w:r w:rsidRPr="007C2DA2">
        <w:rPr>
          <w:rFonts w:cs="Arial"/>
          <w:color w:val="2E74B5" w:themeColor="accent1" w:themeShade="BF"/>
          <w:sz w:val="24"/>
          <w:szCs w:val="24"/>
          <w:lang w:val="es-MX"/>
        </w:rPr>
        <w:tab/>
      </w:r>
      <w:r w:rsidRPr="007C2DA2">
        <w:rPr>
          <w:rFonts w:cs="Arial"/>
          <w:color w:val="2E74B5" w:themeColor="accent1" w:themeShade="BF"/>
          <w:sz w:val="24"/>
          <w:szCs w:val="24"/>
        </w:rPr>
        <w:t>Por último, de conformidad con el artículo 159 de la Ley General de Transparencia y Acceso a la Información Pública mediante la presente resolución se hace del conocimiento a la parte recurrente que en contra de la presente determinación puede acudir ante el Instituto Nacional de Transparencia, Acceso a la Información y Protección de Datos Personales o ante el Poder Judicial de la Federación.</w:t>
      </w:r>
    </w:p>
    <w:p w:rsidR="00327923" w:rsidRPr="007C2DA2" w:rsidRDefault="00327923" w:rsidP="001A0F80">
      <w:pPr>
        <w:pStyle w:val="corte4fondo"/>
        <w:tabs>
          <w:tab w:val="left" w:pos="567"/>
        </w:tabs>
        <w:spacing w:line="276" w:lineRule="auto"/>
        <w:ind w:left="567" w:firstLine="0"/>
        <w:rPr>
          <w:rFonts w:cs="Arial"/>
          <w:color w:val="2E74B5" w:themeColor="accent1" w:themeShade="BF"/>
          <w:sz w:val="24"/>
          <w:szCs w:val="24"/>
          <w:lang w:val="es-MX"/>
        </w:rPr>
      </w:pPr>
    </w:p>
    <w:p w:rsidR="00327923" w:rsidRPr="007C2DA2" w:rsidRDefault="00327923" w:rsidP="00A0226E">
      <w:pPr>
        <w:pStyle w:val="corte4fondo"/>
        <w:tabs>
          <w:tab w:val="left" w:pos="567"/>
        </w:tabs>
        <w:spacing w:line="276" w:lineRule="auto"/>
        <w:jc w:val="center"/>
        <w:rPr>
          <w:rFonts w:cs="Arial"/>
          <w:color w:val="2E74B5" w:themeColor="accent1" w:themeShade="BF"/>
          <w:sz w:val="24"/>
          <w:szCs w:val="24"/>
          <w:lang w:val="es-MX"/>
        </w:rPr>
      </w:pPr>
      <w:r w:rsidRPr="007C2DA2">
        <w:rPr>
          <w:rFonts w:cs="Arial"/>
          <w:b/>
          <w:color w:val="2E74B5" w:themeColor="accent1" w:themeShade="BF"/>
          <w:sz w:val="24"/>
          <w:szCs w:val="24"/>
          <w:lang w:val="es-MX"/>
        </w:rPr>
        <w:t>RESOLUTIVOS</w:t>
      </w:r>
      <w:r w:rsidRPr="007C2DA2">
        <w:rPr>
          <w:rFonts w:cs="Arial"/>
          <w:color w:val="2E74B5" w:themeColor="accent1" w:themeShade="BF"/>
          <w:sz w:val="24"/>
          <w:szCs w:val="24"/>
          <w:lang w:val="es-MX"/>
        </w:rPr>
        <w:t xml:space="preserve"> </w:t>
      </w:r>
    </w:p>
    <w:p w:rsidR="00327923" w:rsidRPr="007C2DA2" w:rsidRDefault="00327923" w:rsidP="00A0226E">
      <w:pPr>
        <w:pStyle w:val="corte4fondo"/>
        <w:tabs>
          <w:tab w:val="left" w:pos="567"/>
        </w:tabs>
        <w:spacing w:line="276" w:lineRule="auto"/>
        <w:jc w:val="center"/>
        <w:rPr>
          <w:rFonts w:cs="Arial"/>
          <w:color w:val="2E74B5" w:themeColor="accent1" w:themeShade="BF"/>
          <w:sz w:val="24"/>
          <w:szCs w:val="24"/>
          <w:lang w:val="es-MX"/>
        </w:rPr>
      </w:pPr>
    </w:p>
    <w:p w:rsidR="00327923" w:rsidRPr="007C2DA2" w:rsidRDefault="00327923" w:rsidP="00A0226E">
      <w:pPr>
        <w:pStyle w:val="corte4fondo"/>
        <w:tabs>
          <w:tab w:val="left" w:pos="567"/>
        </w:tabs>
        <w:spacing w:line="276" w:lineRule="auto"/>
        <w:rPr>
          <w:rFonts w:cs="Arial"/>
          <w:color w:val="2E74B5" w:themeColor="accent1" w:themeShade="BF"/>
          <w:sz w:val="24"/>
          <w:szCs w:val="24"/>
          <w:lang w:val="es-MX"/>
        </w:rPr>
      </w:pPr>
      <w:r w:rsidRPr="007C2DA2">
        <w:rPr>
          <w:rFonts w:cs="Arial"/>
          <w:color w:val="2E74B5" w:themeColor="accent1" w:themeShade="BF"/>
          <w:sz w:val="24"/>
          <w:szCs w:val="24"/>
          <w:lang w:val="es-MX"/>
        </w:rPr>
        <w:t>Por lo expuesto y fundado, SE RESUELVE:</w:t>
      </w:r>
    </w:p>
    <w:p w:rsidR="00327923" w:rsidRPr="007C2DA2" w:rsidRDefault="00327923" w:rsidP="00A0226E">
      <w:pPr>
        <w:pStyle w:val="corte4fondo"/>
        <w:tabs>
          <w:tab w:val="left" w:pos="567"/>
        </w:tabs>
        <w:spacing w:line="276" w:lineRule="auto"/>
        <w:rPr>
          <w:rFonts w:cs="Arial"/>
          <w:color w:val="2E74B5" w:themeColor="accent1" w:themeShade="BF"/>
          <w:sz w:val="24"/>
          <w:szCs w:val="24"/>
          <w:lang w:val="es-MX"/>
        </w:rPr>
      </w:pPr>
    </w:p>
    <w:p w:rsidR="00327923" w:rsidRPr="007C2DA2" w:rsidRDefault="00327923" w:rsidP="00A0226E">
      <w:pPr>
        <w:pStyle w:val="corte4fondo"/>
        <w:tabs>
          <w:tab w:val="left" w:pos="567"/>
        </w:tabs>
        <w:spacing w:line="276" w:lineRule="auto"/>
        <w:rPr>
          <w:rFonts w:cs="Arial"/>
          <w:color w:val="2E74B5" w:themeColor="accent1" w:themeShade="BF"/>
          <w:sz w:val="24"/>
          <w:szCs w:val="24"/>
          <w:lang w:val="es-MX"/>
        </w:rPr>
      </w:pPr>
      <w:r w:rsidRPr="007C2DA2">
        <w:rPr>
          <w:rFonts w:cs="Arial"/>
          <w:b/>
          <w:color w:val="2E74B5" w:themeColor="accent1" w:themeShade="BF"/>
          <w:sz w:val="24"/>
          <w:szCs w:val="24"/>
          <w:lang w:val="es-MX"/>
        </w:rPr>
        <w:t>ÚNICO</w:t>
      </w:r>
      <w:r w:rsidRPr="007C2DA2">
        <w:rPr>
          <w:rFonts w:cs="Arial"/>
          <w:color w:val="2E74B5" w:themeColor="accent1" w:themeShade="BF"/>
          <w:sz w:val="24"/>
          <w:szCs w:val="24"/>
          <w:lang w:val="es-MX"/>
        </w:rPr>
        <w:t xml:space="preserve">. Esta Comisión Estatal de Garantía y Acceso a la Información Pública </w:t>
      </w:r>
      <w:r w:rsidRPr="007C2DA2">
        <w:rPr>
          <w:rFonts w:cs="Arial"/>
          <w:b/>
          <w:color w:val="2E74B5" w:themeColor="accent1" w:themeShade="BF"/>
          <w:sz w:val="24"/>
          <w:szCs w:val="24"/>
          <w:lang w:val="es-MX"/>
        </w:rPr>
        <w:t>confirma</w:t>
      </w:r>
      <w:r w:rsidRPr="007C2DA2">
        <w:rPr>
          <w:rFonts w:cs="Arial"/>
          <w:color w:val="2E74B5" w:themeColor="accent1" w:themeShade="BF"/>
          <w:sz w:val="24"/>
          <w:szCs w:val="24"/>
          <w:lang w:val="es-MX"/>
        </w:rPr>
        <w:t xml:space="preserve"> el acto impugnado por los fundamentos y las razones desarrol</w:t>
      </w:r>
      <w:r w:rsidR="009C1894">
        <w:rPr>
          <w:rFonts w:cs="Arial"/>
          <w:color w:val="2E74B5" w:themeColor="accent1" w:themeShade="BF"/>
          <w:sz w:val="24"/>
          <w:szCs w:val="24"/>
          <w:lang w:val="es-MX"/>
        </w:rPr>
        <w:t>ladas en el considerando sexto</w:t>
      </w:r>
      <w:r w:rsidRPr="007C2DA2">
        <w:rPr>
          <w:rFonts w:cs="Arial"/>
          <w:color w:val="2E74B5" w:themeColor="accent1" w:themeShade="BF"/>
          <w:sz w:val="24"/>
          <w:szCs w:val="24"/>
          <w:lang w:val="es-MX"/>
        </w:rPr>
        <w:t xml:space="preserve"> de la presente resolución.</w:t>
      </w:r>
    </w:p>
    <w:p w:rsidR="00327923" w:rsidRPr="007C2DA2" w:rsidRDefault="00327923" w:rsidP="00A0226E">
      <w:pPr>
        <w:pStyle w:val="corte4fondo"/>
        <w:tabs>
          <w:tab w:val="left" w:pos="567"/>
        </w:tabs>
        <w:spacing w:line="276" w:lineRule="auto"/>
        <w:rPr>
          <w:rFonts w:cs="Arial"/>
          <w:color w:val="2E74B5" w:themeColor="accent1" w:themeShade="BF"/>
          <w:sz w:val="24"/>
          <w:szCs w:val="24"/>
          <w:lang w:val="es-MX"/>
        </w:rPr>
      </w:pPr>
    </w:p>
    <w:p w:rsidR="00327923" w:rsidRDefault="00327923" w:rsidP="00A0226E">
      <w:pPr>
        <w:pStyle w:val="corte4fondo"/>
        <w:tabs>
          <w:tab w:val="left" w:pos="567"/>
        </w:tabs>
        <w:spacing w:line="276" w:lineRule="auto"/>
        <w:rPr>
          <w:rFonts w:cs="Arial"/>
          <w:color w:val="2E74B5" w:themeColor="accent1" w:themeShade="BF"/>
          <w:sz w:val="24"/>
          <w:szCs w:val="24"/>
          <w:lang w:val="es-MX"/>
        </w:rPr>
      </w:pPr>
      <w:r w:rsidRPr="007C2DA2">
        <w:rPr>
          <w:rFonts w:cs="Arial"/>
          <w:b/>
          <w:color w:val="2E74B5" w:themeColor="accent1" w:themeShade="BF"/>
          <w:sz w:val="24"/>
          <w:szCs w:val="24"/>
          <w:lang w:val="es-MX"/>
        </w:rPr>
        <w:t xml:space="preserve">Notifíquese; </w:t>
      </w:r>
      <w:r w:rsidRPr="007C2DA2">
        <w:rPr>
          <w:rFonts w:cs="Arial"/>
          <w:color w:val="2E74B5" w:themeColor="accent1" w:themeShade="BF"/>
          <w:sz w:val="24"/>
          <w:szCs w:val="24"/>
          <w:lang w:val="es-MX"/>
        </w:rPr>
        <w:t>por oficio a las autoridades</w:t>
      </w:r>
      <w:r w:rsidRPr="007C2DA2">
        <w:rPr>
          <w:rFonts w:cs="Arial"/>
          <w:b/>
          <w:color w:val="2E74B5" w:themeColor="accent1" w:themeShade="BF"/>
          <w:sz w:val="24"/>
          <w:szCs w:val="24"/>
          <w:lang w:val="es-MX"/>
        </w:rPr>
        <w:t xml:space="preserve"> </w:t>
      </w:r>
      <w:r w:rsidRPr="007C2DA2">
        <w:rPr>
          <w:rFonts w:cs="Arial"/>
          <w:color w:val="2E74B5" w:themeColor="accent1" w:themeShade="BF"/>
          <w:sz w:val="24"/>
          <w:szCs w:val="24"/>
          <w:lang w:val="es-MX"/>
        </w:rPr>
        <w:t>y a la recurrente por el medio que designó.</w:t>
      </w:r>
    </w:p>
    <w:p w:rsidR="007C2DA2" w:rsidRPr="00530D23" w:rsidRDefault="007C2DA2" w:rsidP="00A0226E">
      <w:pPr>
        <w:pStyle w:val="corte4fondo"/>
        <w:tabs>
          <w:tab w:val="left" w:pos="567"/>
        </w:tabs>
        <w:spacing w:line="276" w:lineRule="auto"/>
        <w:rPr>
          <w:rFonts w:cs="Arial"/>
          <w:color w:val="2E74B5" w:themeColor="accent1" w:themeShade="BF"/>
          <w:sz w:val="24"/>
          <w:szCs w:val="24"/>
        </w:rPr>
      </w:pPr>
    </w:p>
    <w:p w:rsidR="007C2DA2" w:rsidRPr="00530D23" w:rsidRDefault="007C2DA2" w:rsidP="00A0226E">
      <w:pPr>
        <w:pStyle w:val="corte4fondo"/>
        <w:tabs>
          <w:tab w:val="left" w:pos="567"/>
        </w:tabs>
        <w:spacing w:line="276" w:lineRule="auto"/>
        <w:rPr>
          <w:rFonts w:eastAsia="Arial Unicode MS" w:cs="Arial"/>
          <w:color w:val="2E74B5" w:themeColor="accent1" w:themeShade="BF"/>
          <w:sz w:val="24"/>
          <w:szCs w:val="24"/>
        </w:rPr>
      </w:pPr>
      <w:r w:rsidRPr="00530D23">
        <w:rPr>
          <w:rFonts w:cs="Arial"/>
          <w:color w:val="2E74B5" w:themeColor="accent1" w:themeShade="BF"/>
          <w:sz w:val="24"/>
          <w:szCs w:val="24"/>
        </w:rPr>
        <w:t xml:space="preserve">Así, por unanimidad de votos lo resolvió la Comisión Estatal de Garantía de Acceso a la Información Pública, integrada por los Comisionados Licenciados </w:t>
      </w:r>
      <w:proofErr w:type="spellStart"/>
      <w:r w:rsidRPr="00530D23">
        <w:rPr>
          <w:rFonts w:cs="Arial"/>
          <w:color w:val="2E74B5" w:themeColor="accent1" w:themeShade="BF"/>
          <w:sz w:val="24"/>
          <w:szCs w:val="24"/>
        </w:rPr>
        <w:t>Mariajosé</w:t>
      </w:r>
      <w:proofErr w:type="spellEnd"/>
      <w:r w:rsidRPr="00530D23">
        <w:rPr>
          <w:rFonts w:cs="Arial"/>
          <w:color w:val="2E74B5" w:themeColor="accent1" w:themeShade="BF"/>
          <w:sz w:val="24"/>
          <w:szCs w:val="24"/>
        </w:rPr>
        <w:t xml:space="preserve"> González Zarzosa, Mtro. Alejandro Lafuente Torres, Paulina Sánchez Pérez del Pozo, Presidente, siendo ponente la última de los nombrados, quienes, en unión de la Licenciada Rosa María Motilla García, Secretaria de Pleno que da fe, firman esta resolución. </w:t>
      </w:r>
      <w:r w:rsidRPr="00530D23">
        <w:rPr>
          <w:rFonts w:eastAsia="Arial Unicode MS" w:cs="Arial"/>
          <w:color w:val="2E74B5" w:themeColor="accent1" w:themeShade="BF"/>
          <w:sz w:val="24"/>
          <w:szCs w:val="24"/>
        </w:rPr>
        <w:t xml:space="preserve">   </w:t>
      </w:r>
    </w:p>
    <w:p w:rsidR="007C2DA2" w:rsidRPr="00530D23" w:rsidRDefault="007C2DA2" w:rsidP="00A0226E">
      <w:pPr>
        <w:pStyle w:val="corte4fondo"/>
        <w:tabs>
          <w:tab w:val="left" w:pos="567"/>
        </w:tabs>
        <w:spacing w:line="276" w:lineRule="auto"/>
        <w:rPr>
          <w:rFonts w:cs="Arial"/>
          <w:color w:val="2E74B5" w:themeColor="accent1" w:themeShade="BF"/>
          <w:sz w:val="24"/>
          <w:szCs w:val="24"/>
        </w:rPr>
      </w:pPr>
    </w:p>
    <w:p w:rsidR="007C2DA2" w:rsidRPr="00530D23" w:rsidRDefault="007C2DA2" w:rsidP="00A0226E">
      <w:pPr>
        <w:spacing w:after="0" w:line="276" w:lineRule="auto"/>
        <w:ind w:left="360" w:firstLine="900"/>
        <w:jc w:val="both"/>
        <w:rPr>
          <w:rFonts w:ascii="Arial" w:eastAsia="Arial Unicode MS" w:hAnsi="Arial" w:cs="Arial"/>
          <w:b/>
          <w:color w:val="2E74B5" w:themeColor="accent1" w:themeShade="BF"/>
          <w:sz w:val="24"/>
          <w:szCs w:val="24"/>
        </w:rPr>
      </w:pPr>
    </w:p>
    <w:tbl>
      <w:tblPr>
        <w:tblW w:w="9900" w:type="dxa"/>
        <w:jc w:val="center"/>
        <w:tblLook w:val="01E0" w:firstRow="1" w:lastRow="1" w:firstColumn="1" w:lastColumn="1" w:noHBand="0" w:noVBand="0"/>
      </w:tblPr>
      <w:tblGrid>
        <w:gridCol w:w="4552"/>
        <w:gridCol w:w="154"/>
        <w:gridCol w:w="180"/>
        <w:gridCol w:w="5014"/>
      </w:tblGrid>
      <w:tr w:rsidR="007C2DA2" w:rsidRPr="00530D23" w:rsidTr="00D51639">
        <w:trPr>
          <w:trHeight w:val="2654"/>
          <w:jc w:val="center"/>
        </w:trPr>
        <w:tc>
          <w:tcPr>
            <w:tcW w:w="4706" w:type="dxa"/>
            <w:gridSpan w:val="2"/>
          </w:tcPr>
          <w:p w:rsidR="007C2DA2" w:rsidRPr="00530D23" w:rsidRDefault="007C2DA2" w:rsidP="00A0226E">
            <w:pPr>
              <w:spacing w:after="0" w:line="276" w:lineRule="auto"/>
              <w:jc w:val="center"/>
              <w:rPr>
                <w:rFonts w:ascii="Arial" w:eastAsia="Arial Unicode MS" w:hAnsi="Arial" w:cs="Arial"/>
                <w:b/>
                <w:color w:val="2E74B5" w:themeColor="accent1" w:themeShade="BF"/>
                <w:sz w:val="24"/>
                <w:szCs w:val="24"/>
              </w:rPr>
            </w:pPr>
            <w:r w:rsidRPr="00530D23">
              <w:rPr>
                <w:rFonts w:ascii="Arial" w:eastAsia="Arial Unicode MS" w:hAnsi="Arial" w:cs="Arial"/>
                <w:b/>
                <w:color w:val="2E74B5" w:themeColor="accent1" w:themeShade="BF"/>
                <w:sz w:val="24"/>
                <w:szCs w:val="24"/>
              </w:rPr>
              <w:t xml:space="preserve">        COMISIONADA </w:t>
            </w:r>
          </w:p>
          <w:p w:rsidR="007C2DA2" w:rsidRPr="00530D23" w:rsidRDefault="007C2DA2" w:rsidP="00A0226E">
            <w:pPr>
              <w:spacing w:after="0" w:line="276" w:lineRule="auto"/>
              <w:ind w:left="360" w:firstLine="708"/>
              <w:jc w:val="center"/>
              <w:rPr>
                <w:rFonts w:ascii="Arial" w:eastAsia="Arial Unicode MS" w:hAnsi="Arial" w:cs="Arial"/>
                <w:b/>
                <w:color w:val="2E74B5" w:themeColor="accent1" w:themeShade="BF"/>
                <w:sz w:val="24"/>
                <w:szCs w:val="24"/>
              </w:rPr>
            </w:pPr>
          </w:p>
          <w:p w:rsidR="007C2DA2" w:rsidRPr="00530D23" w:rsidRDefault="007C2DA2" w:rsidP="00A0226E">
            <w:pPr>
              <w:spacing w:after="0" w:line="276" w:lineRule="auto"/>
              <w:ind w:left="360" w:firstLine="708"/>
              <w:jc w:val="center"/>
              <w:rPr>
                <w:rFonts w:ascii="Arial" w:eastAsia="Arial Unicode MS" w:hAnsi="Arial" w:cs="Arial"/>
                <w:b/>
                <w:color w:val="2E74B5" w:themeColor="accent1" w:themeShade="BF"/>
                <w:sz w:val="24"/>
                <w:szCs w:val="24"/>
              </w:rPr>
            </w:pPr>
          </w:p>
          <w:p w:rsidR="007C2DA2" w:rsidRPr="00530D23" w:rsidRDefault="007C2DA2" w:rsidP="00A0226E">
            <w:pPr>
              <w:tabs>
                <w:tab w:val="left" w:pos="1358"/>
              </w:tabs>
              <w:spacing w:after="0" w:line="276" w:lineRule="auto"/>
              <w:ind w:firstLine="36"/>
              <w:jc w:val="center"/>
              <w:rPr>
                <w:rFonts w:ascii="Arial" w:eastAsia="Arial Unicode MS" w:hAnsi="Arial" w:cs="Arial"/>
                <w:b/>
                <w:color w:val="2E74B5" w:themeColor="accent1" w:themeShade="BF"/>
                <w:sz w:val="24"/>
                <w:szCs w:val="24"/>
              </w:rPr>
            </w:pPr>
            <w:r w:rsidRPr="00530D23">
              <w:rPr>
                <w:rFonts w:ascii="Arial" w:eastAsia="Arial Unicode MS" w:hAnsi="Arial" w:cs="Arial"/>
                <w:b/>
                <w:color w:val="2E74B5" w:themeColor="accent1" w:themeShade="BF"/>
                <w:sz w:val="24"/>
                <w:szCs w:val="24"/>
              </w:rPr>
              <w:t xml:space="preserve">MARIAJOSÉ </w:t>
            </w:r>
          </w:p>
          <w:p w:rsidR="007C2DA2" w:rsidRPr="00530D23" w:rsidRDefault="007C2DA2" w:rsidP="00A0226E">
            <w:pPr>
              <w:spacing w:after="0" w:line="276" w:lineRule="auto"/>
              <w:ind w:left="360" w:firstLine="36"/>
              <w:jc w:val="center"/>
              <w:rPr>
                <w:rFonts w:ascii="Arial" w:eastAsia="Arial Unicode MS" w:hAnsi="Arial" w:cs="Arial"/>
                <w:b/>
                <w:color w:val="2E74B5" w:themeColor="accent1" w:themeShade="BF"/>
                <w:sz w:val="24"/>
                <w:szCs w:val="24"/>
              </w:rPr>
            </w:pPr>
            <w:r w:rsidRPr="00530D23">
              <w:rPr>
                <w:rFonts w:ascii="Arial" w:eastAsia="Arial Unicode MS" w:hAnsi="Arial" w:cs="Arial"/>
                <w:b/>
                <w:color w:val="2E74B5" w:themeColor="accent1" w:themeShade="BF"/>
                <w:sz w:val="24"/>
                <w:szCs w:val="24"/>
              </w:rPr>
              <w:t xml:space="preserve">GONZÁLEZ ZARZOSA </w:t>
            </w:r>
          </w:p>
          <w:p w:rsidR="007C2DA2" w:rsidRPr="00530D23" w:rsidRDefault="007C2DA2" w:rsidP="00A0226E">
            <w:pPr>
              <w:spacing w:after="0" w:line="276" w:lineRule="auto"/>
              <w:ind w:left="360" w:firstLine="708"/>
              <w:jc w:val="center"/>
              <w:rPr>
                <w:rFonts w:ascii="Arial" w:eastAsia="Arial Unicode MS" w:hAnsi="Arial" w:cs="Arial"/>
                <w:b/>
                <w:color w:val="2E74B5" w:themeColor="accent1" w:themeShade="BF"/>
                <w:sz w:val="24"/>
                <w:szCs w:val="24"/>
              </w:rPr>
            </w:pPr>
          </w:p>
          <w:p w:rsidR="007C2DA2" w:rsidRPr="00530D23" w:rsidRDefault="007C2DA2" w:rsidP="00A0226E">
            <w:pPr>
              <w:spacing w:after="0" w:line="276" w:lineRule="auto"/>
              <w:rPr>
                <w:rFonts w:ascii="Arial" w:eastAsia="Arial Unicode MS" w:hAnsi="Arial" w:cs="Arial"/>
                <w:b/>
                <w:color w:val="2E74B5" w:themeColor="accent1" w:themeShade="BF"/>
                <w:sz w:val="24"/>
                <w:szCs w:val="24"/>
              </w:rPr>
            </w:pPr>
            <w:r w:rsidRPr="00530D23">
              <w:rPr>
                <w:rFonts w:ascii="Arial" w:eastAsia="Arial Unicode MS" w:hAnsi="Arial" w:cs="Arial"/>
                <w:b/>
                <w:color w:val="2E74B5" w:themeColor="accent1" w:themeShade="BF"/>
                <w:sz w:val="24"/>
                <w:szCs w:val="24"/>
              </w:rPr>
              <w:t xml:space="preserve">                   </w:t>
            </w:r>
          </w:p>
          <w:p w:rsidR="007C2DA2" w:rsidRPr="00530D23" w:rsidRDefault="007C2DA2" w:rsidP="00A0226E">
            <w:pPr>
              <w:spacing w:after="0" w:line="276" w:lineRule="auto"/>
              <w:rPr>
                <w:rFonts w:ascii="Arial" w:eastAsia="Arial Unicode MS" w:hAnsi="Arial" w:cs="Arial"/>
                <w:b/>
                <w:color w:val="2E74B5" w:themeColor="accent1" w:themeShade="BF"/>
                <w:sz w:val="24"/>
                <w:szCs w:val="24"/>
              </w:rPr>
            </w:pPr>
          </w:p>
        </w:tc>
        <w:tc>
          <w:tcPr>
            <w:tcW w:w="5194" w:type="dxa"/>
            <w:gridSpan w:val="2"/>
          </w:tcPr>
          <w:p w:rsidR="007C2DA2" w:rsidRPr="00530D23" w:rsidRDefault="007C2DA2" w:rsidP="00A0226E">
            <w:pPr>
              <w:spacing w:after="0" w:line="276" w:lineRule="auto"/>
              <w:ind w:left="360" w:firstLine="708"/>
              <w:rPr>
                <w:rFonts w:ascii="Arial" w:eastAsia="Arial Unicode MS" w:hAnsi="Arial" w:cs="Arial"/>
                <w:b/>
                <w:color w:val="2E74B5" w:themeColor="accent1" w:themeShade="BF"/>
                <w:sz w:val="24"/>
                <w:szCs w:val="24"/>
              </w:rPr>
            </w:pPr>
            <w:r w:rsidRPr="00530D23">
              <w:rPr>
                <w:rFonts w:ascii="Arial" w:eastAsia="Arial Unicode MS" w:hAnsi="Arial" w:cs="Arial"/>
                <w:b/>
                <w:color w:val="2E74B5" w:themeColor="accent1" w:themeShade="BF"/>
                <w:sz w:val="24"/>
                <w:szCs w:val="24"/>
              </w:rPr>
              <w:t xml:space="preserve">              COMISIONADO </w:t>
            </w:r>
          </w:p>
          <w:p w:rsidR="007C2DA2" w:rsidRPr="00530D23" w:rsidRDefault="007C2DA2" w:rsidP="00A0226E">
            <w:pPr>
              <w:spacing w:after="0" w:line="276" w:lineRule="auto"/>
              <w:ind w:left="360" w:firstLine="708"/>
              <w:jc w:val="center"/>
              <w:rPr>
                <w:rFonts w:ascii="Arial" w:eastAsia="Arial Unicode MS" w:hAnsi="Arial" w:cs="Arial"/>
                <w:b/>
                <w:color w:val="2E74B5" w:themeColor="accent1" w:themeShade="BF"/>
                <w:sz w:val="24"/>
                <w:szCs w:val="24"/>
              </w:rPr>
            </w:pPr>
          </w:p>
          <w:p w:rsidR="007C2DA2" w:rsidRPr="00530D23" w:rsidRDefault="007C2DA2" w:rsidP="00A0226E">
            <w:pPr>
              <w:spacing w:after="0" w:line="276" w:lineRule="auto"/>
              <w:ind w:left="360" w:firstLine="708"/>
              <w:jc w:val="center"/>
              <w:rPr>
                <w:rFonts w:ascii="Arial" w:eastAsia="Arial Unicode MS" w:hAnsi="Arial" w:cs="Arial"/>
                <w:b/>
                <w:color w:val="2E74B5" w:themeColor="accent1" w:themeShade="BF"/>
                <w:sz w:val="24"/>
                <w:szCs w:val="24"/>
              </w:rPr>
            </w:pPr>
          </w:p>
          <w:p w:rsidR="007C2DA2" w:rsidRPr="00530D23" w:rsidRDefault="007C2DA2" w:rsidP="00A0226E">
            <w:pPr>
              <w:spacing w:after="0" w:line="276" w:lineRule="auto"/>
              <w:rPr>
                <w:rFonts w:ascii="Arial" w:eastAsia="Arial Unicode MS" w:hAnsi="Arial" w:cs="Arial"/>
                <w:b/>
                <w:color w:val="2E74B5" w:themeColor="accent1" w:themeShade="BF"/>
                <w:sz w:val="24"/>
                <w:szCs w:val="24"/>
              </w:rPr>
            </w:pPr>
            <w:r w:rsidRPr="00530D23">
              <w:rPr>
                <w:rFonts w:ascii="Arial" w:eastAsia="Arial Unicode MS" w:hAnsi="Arial" w:cs="Arial"/>
                <w:b/>
                <w:color w:val="2E74B5" w:themeColor="accent1" w:themeShade="BF"/>
                <w:sz w:val="24"/>
                <w:szCs w:val="24"/>
              </w:rPr>
              <w:t xml:space="preserve">                     MTRO. ALEJANDRO </w:t>
            </w:r>
          </w:p>
          <w:p w:rsidR="007C2DA2" w:rsidRPr="00530D23" w:rsidRDefault="007C2DA2" w:rsidP="00A0226E">
            <w:pPr>
              <w:pStyle w:val="corte4fondo"/>
              <w:tabs>
                <w:tab w:val="left" w:pos="567"/>
              </w:tabs>
              <w:spacing w:line="276" w:lineRule="auto"/>
              <w:ind w:firstLine="0"/>
              <w:rPr>
                <w:rFonts w:cs="Arial"/>
                <w:i/>
                <w:color w:val="2E74B5" w:themeColor="accent1" w:themeShade="BF"/>
                <w:sz w:val="10"/>
                <w:szCs w:val="10"/>
              </w:rPr>
            </w:pPr>
            <w:r w:rsidRPr="00530D23">
              <w:rPr>
                <w:rFonts w:eastAsia="Arial Unicode MS" w:cs="Arial"/>
                <w:b/>
                <w:color w:val="2E74B5" w:themeColor="accent1" w:themeShade="BF"/>
                <w:sz w:val="24"/>
                <w:szCs w:val="24"/>
              </w:rPr>
              <w:t xml:space="preserve">                    LAFUENTE TORRES</w:t>
            </w:r>
          </w:p>
          <w:p w:rsidR="007C2DA2" w:rsidRPr="00530D23" w:rsidRDefault="007C2DA2" w:rsidP="00A0226E">
            <w:pPr>
              <w:spacing w:after="0" w:line="276" w:lineRule="auto"/>
              <w:ind w:left="360" w:firstLine="708"/>
              <w:jc w:val="center"/>
              <w:rPr>
                <w:rFonts w:ascii="Arial" w:eastAsia="Arial Unicode MS" w:hAnsi="Arial" w:cs="Arial"/>
                <w:b/>
                <w:color w:val="2E74B5" w:themeColor="accent1" w:themeShade="BF"/>
                <w:sz w:val="24"/>
                <w:szCs w:val="24"/>
              </w:rPr>
            </w:pPr>
          </w:p>
          <w:p w:rsidR="007C2DA2" w:rsidRPr="00530D23" w:rsidRDefault="007C2DA2" w:rsidP="00A0226E">
            <w:pPr>
              <w:pStyle w:val="corte4fondo"/>
              <w:tabs>
                <w:tab w:val="left" w:pos="567"/>
              </w:tabs>
              <w:spacing w:line="276" w:lineRule="auto"/>
              <w:ind w:firstLine="0"/>
              <w:rPr>
                <w:rFonts w:eastAsia="Arial Unicode MS" w:cs="Arial"/>
                <w:b/>
                <w:color w:val="2E74B5" w:themeColor="accent1" w:themeShade="BF"/>
                <w:sz w:val="24"/>
                <w:szCs w:val="24"/>
              </w:rPr>
            </w:pPr>
          </w:p>
        </w:tc>
      </w:tr>
      <w:tr w:rsidR="007C2DA2" w:rsidRPr="00530D23" w:rsidTr="00D51639">
        <w:trPr>
          <w:trHeight w:val="2085"/>
          <w:jc w:val="center"/>
        </w:trPr>
        <w:tc>
          <w:tcPr>
            <w:tcW w:w="4552" w:type="dxa"/>
          </w:tcPr>
          <w:p w:rsidR="007C2DA2" w:rsidRPr="00530D23" w:rsidRDefault="007C2DA2" w:rsidP="00A0226E">
            <w:pPr>
              <w:spacing w:after="0" w:line="276" w:lineRule="auto"/>
              <w:ind w:left="360" w:hanging="360"/>
              <w:jc w:val="center"/>
              <w:rPr>
                <w:rFonts w:ascii="Arial" w:eastAsia="Arial Unicode MS" w:hAnsi="Arial" w:cs="Arial"/>
                <w:b/>
                <w:color w:val="2E74B5" w:themeColor="accent1" w:themeShade="BF"/>
                <w:sz w:val="24"/>
                <w:szCs w:val="24"/>
              </w:rPr>
            </w:pPr>
            <w:r w:rsidRPr="00530D23">
              <w:rPr>
                <w:rFonts w:ascii="Arial" w:eastAsia="Arial Unicode MS" w:hAnsi="Arial" w:cs="Arial"/>
                <w:b/>
                <w:color w:val="2E74B5" w:themeColor="accent1" w:themeShade="BF"/>
                <w:sz w:val="24"/>
                <w:szCs w:val="24"/>
              </w:rPr>
              <w:t>COMISIONADA PRESIDENTE</w:t>
            </w:r>
          </w:p>
          <w:p w:rsidR="007C2DA2" w:rsidRPr="00530D23" w:rsidRDefault="007C2DA2" w:rsidP="00A0226E">
            <w:pPr>
              <w:spacing w:after="0" w:line="276" w:lineRule="auto"/>
              <w:ind w:left="360"/>
              <w:rPr>
                <w:rFonts w:ascii="Arial" w:eastAsia="Arial Unicode MS" w:hAnsi="Arial" w:cs="Arial"/>
                <w:b/>
                <w:color w:val="2E74B5" w:themeColor="accent1" w:themeShade="BF"/>
                <w:sz w:val="24"/>
                <w:szCs w:val="24"/>
              </w:rPr>
            </w:pPr>
          </w:p>
          <w:p w:rsidR="007C2DA2" w:rsidRPr="00530D23" w:rsidRDefault="007C2DA2" w:rsidP="00A0226E">
            <w:pPr>
              <w:spacing w:after="0" w:line="276" w:lineRule="auto"/>
              <w:ind w:left="360"/>
              <w:rPr>
                <w:rFonts w:ascii="Arial" w:eastAsia="Arial Unicode MS" w:hAnsi="Arial" w:cs="Arial"/>
                <w:b/>
                <w:color w:val="2E74B5" w:themeColor="accent1" w:themeShade="BF"/>
                <w:sz w:val="24"/>
                <w:szCs w:val="24"/>
              </w:rPr>
            </w:pPr>
          </w:p>
          <w:p w:rsidR="007C2DA2" w:rsidRPr="00530D23" w:rsidRDefault="007C2DA2" w:rsidP="00A0226E">
            <w:pPr>
              <w:spacing w:after="0" w:line="276" w:lineRule="auto"/>
              <w:ind w:left="360"/>
              <w:rPr>
                <w:rFonts w:ascii="Arial" w:eastAsia="Arial Unicode MS" w:hAnsi="Arial" w:cs="Arial"/>
                <w:b/>
                <w:color w:val="2E74B5" w:themeColor="accent1" w:themeShade="BF"/>
                <w:sz w:val="24"/>
                <w:szCs w:val="24"/>
              </w:rPr>
            </w:pPr>
          </w:p>
          <w:p w:rsidR="007C2DA2" w:rsidRPr="00530D23" w:rsidRDefault="007C2DA2" w:rsidP="00A0226E">
            <w:pPr>
              <w:spacing w:after="0" w:line="276" w:lineRule="auto"/>
              <w:jc w:val="center"/>
              <w:rPr>
                <w:rFonts w:ascii="Arial" w:eastAsia="Arial Unicode MS" w:hAnsi="Arial" w:cs="Arial"/>
                <w:b/>
                <w:color w:val="2E74B5" w:themeColor="accent1" w:themeShade="BF"/>
                <w:sz w:val="24"/>
                <w:szCs w:val="24"/>
              </w:rPr>
            </w:pPr>
            <w:r w:rsidRPr="00530D23">
              <w:rPr>
                <w:rFonts w:ascii="Arial" w:eastAsia="Arial Unicode MS" w:hAnsi="Arial" w:cs="Arial"/>
                <w:b/>
                <w:color w:val="2E74B5" w:themeColor="accent1" w:themeShade="BF"/>
                <w:sz w:val="24"/>
                <w:szCs w:val="24"/>
              </w:rPr>
              <w:t xml:space="preserve">LIC. PAULINA SÁNCHEZ </w:t>
            </w:r>
          </w:p>
          <w:p w:rsidR="007C2DA2" w:rsidRPr="00530D23" w:rsidRDefault="007C2DA2" w:rsidP="00A0226E">
            <w:pPr>
              <w:spacing w:after="0" w:line="276" w:lineRule="auto"/>
              <w:jc w:val="center"/>
              <w:rPr>
                <w:rFonts w:ascii="Arial" w:eastAsia="Arial Unicode MS" w:hAnsi="Arial" w:cs="Arial"/>
                <w:b/>
                <w:color w:val="2E74B5" w:themeColor="accent1" w:themeShade="BF"/>
                <w:sz w:val="24"/>
                <w:szCs w:val="24"/>
              </w:rPr>
            </w:pPr>
            <w:r w:rsidRPr="00530D23">
              <w:rPr>
                <w:rFonts w:ascii="Arial" w:eastAsia="Arial Unicode MS" w:hAnsi="Arial" w:cs="Arial"/>
                <w:b/>
                <w:color w:val="2E74B5" w:themeColor="accent1" w:themeShade="BF"/>
                <w:sz w:val="24"/>
                <w:szCs w:val="24"/>
              </w:rPr>
              <w:t>PÉREZ DEL POZO</w:t>
            </w:r>
          </w:p>
          <w:p w:rsidR="007C2DA2" w:rsidRDefault="007C2DA2" w:rsidP="00A0226E">
            <w:pPr>
              <w:spacing w:after="0" w:line="276" w:lineRule="auto"/>
              <w:ind w:left="360" w:firstLine="36"/>
              <w:jc w:val="center"/>
              <w:rPr>
                <w:rFonts w:ascii="Arial" w:eastAsia="Arial Unicode MS" w:hAnsi="Arial" w:cs="Arial"/>
                <w:b/>
                <w:color w:val="2E74B5" w:themeColor="accent1" w:themeShade="BF"/>
                <w:sz w:val="24"/>
                <w:szCs w:val="24"/>
              </w:rPr>
            </w:pPr>
          </w:p>
          <w:p w:rsidR="0087735B" w:rsidRDefault="0087735B" w:rsidP="00A0226E">
            <w:pPr>
              <w:spacing w:after="0" w:line="276" w:lineRule="auto"/>
              <w:ind w:left="360" w:firstLine="36"/>
              <w:jc w:val="center"/>
              <w:rPr>
                <w:rFonts w:ascii="Arial" w:eastAsia="Arial Unicode MS" w:hAnsi="Arial" w:cs="Arial"/>
                <w:b/>
                <w:color w:val="2E74B5" w:themeColor="accent1" w:themeShade="BF"/>
                <w:sz w:val="24"/>
                <w:szCs w:val="24"/>
              </w:rPr>
            </w:pPr>
          </w:p>
          <w:p w:rsidR="0087735B" w:rsidRDefault="0087735B" w:rsidP="00A0226E">
            <w:pPr>
              <w:spacing w:after="0" w:line="276" w:lineRule="auto"/>
              <w:ind w:left="360" w:firstLine="36"/>
              <w:jc w:val="center"/>
              <w:rPr>
                <w:rFonts w:ascii="Arial" w:eastAsia="Arial Unicode MS" w:hAnsi="Arial" w:cs="Arial"/>
                <w:b/>
                <w:color w:val="2E74B5" w:themeColor="accent1" w:themeShade="BF"/>
                <w:sz w:val="24"/>
                <w:szCs w:val="24"/>
              </w:rPr>
            </w:pPr>
          </w:p>
          <w:p w:rsidR="0087735B" w:rsidRPr="00530D23" w:rsidRDefault="0087735B" w:rsidP="00A0226E">
            <w:pPr>
              <w:spacing w:after="0" w:line="276" w:lineRule="auto"/>
              <w:ind w:left="360" w:firstLine="36"/>
              <w:jc w:val="center"/>
              <w:rPr>
                <w:rFonts w:ascii="Arial" w:eastAsia="Arial Unicode MS" w:hAnsi="Arial" w:cs="Arial"/>
                <w:b/>
                <w:color w:val="2E74B5" w:themeColor="accent1" w:themeShade="BF"/>
                <w:sz w:val="24"/>
                <w:szCs w:val="24"/>
              </w:rPr>
            </w:pPr>
          </w:p>
        </w:tc>
        <w:tc>
          <w:tcPr>
            <w:tcW w:w="334" w:type="dxa"/>
            <w:gridSpan w:val="2"/>
          </w:tcPr>
          <w:p w:rsidR="007C2DA2" w:rsidRPr="00530D23" w:rsidRDefault="007C2DA2" w:rsidP="00A0226E">
            <w:pPr>
              <w:spacing w:after="0" w:line="276" w:lineRule="auto"/>
              <w:ind w:left="360" w:firstLine="708"/>
              <w:jc w:val="center"/>
              <w:rPr>
                <w:rFonts w:ascii="Arial" w:eastAsia="Arial Unicode MS" w:hAnsi="Arial" w:cs="Arial"/>
                <w:b/>
                <w:color w:val="2E74B5" w:themeColor="accent1" w:themeShade="BF"/>
                <w:sz w:val="24"/>
                <w:szCs w:val="24"/>
              </w:rPr>
            </w:pPr>
          </w:p>
        </w:tc>
        <w:tc>
          <w:tcPr>
            <w:tcW w:w="5014" w:type="dxa"/>
          </w:tcPr>
          <w:p w:rsidR="007C2DA2" w:rsidRPr="00530D23" w:rsidRDefault="007C2DA2" w:rsidP="00A0226E">
            <w:pPr>
              <w:spacing w:after="0" w:line="276" w:lineRule="auto"/>
              <w:ind w:left="360" w:firstLine="708"/>
              <w:rPr>
                <w:rFonts w:ascii="Arial" w:eastAsia="Arial Unicode MS" w:hAnsi="Arial" w:cs="Arial"/>
                <w:b/>
                <w:color w:val="2E74B5" w:themeColor="accent1" w:themeShade="BF"/>
                <w:sz w:val="24"/>
                <w:szCs w:val="24"/>
              </w:rPr>
            </w:pPr>
            <w:r w:rsidRPr="00530D23">
              <w:rPr>
                <w:rFonts w:ascii="Arial" w:eastAsia="Arial Unicode MS" w:hAnsi="Arial" w:cs="Arial"/>
                <w:b/>
                <w:color w:val="2E74B5" w:themeColor="accent1" w:themeShade="BF"/>
                <w:sz w:val="24"/>
                <w:szCs w:val="24"/>
              </w:rPr>
              <w:t>SECRETARIA DE PLENO</w:t>
            </w:r>
          </w:p>
          <w:p w:rsidR="007C2DA2" w:rsidRPr="00530D23" w:rsidRDefault="007C2DA2" w:rsidP="00A0226E">
            <w:pPr>
              <w:spacing w:after="0" w:line="276" w:lineRule="auto"/>
              <w:ind w:left="360" w:firstLine="708"/>
              <w:jc w:val="center"/>
              <w:rPr>
                <w:rFonts w:ascii="Arial" w:eastAsia="Arial Unicode MS" w:hAnsi="Arial" w:cs="Arial"/>
                <w:b/>
                <w:color w:val="2E74B5" w:themeColor="accent1" w:themeShade="BF"/>
                <w:sz w:val="24"/>
                <w:szCs w:val="24"/>
              </w:rPr>
            </w:pPr>
          </w:p>
          <w:p w:rsidR="007C2DA2" w:rsidRPr="00530D23" w:rsidRDefault="007C2DA2" w:rsidP="00A0226E">
            <w:pPr>
              <w:spacing w:after="0" w:line="276" w:lineRule="auto"/>
              <w:ind w:left="360" w:firstLine="708"/>
              <w:jc w:val="center"/>
              <w:rPr>
                <w:rFonts w:ascii="Arial" w:eastAsia="Arial Unicode MS" w:hAnsi="Arial" w:cs="Arial"/>
                <w:b/>
                <w:color w:val="2E74B5" w:themeColor="accent1" w:themeShade="BF"/>
                <w:sz w:val="24"/>
                <w:szCs w:val="24"/>
              </w:rPr>
            </w:pPr>
          </w:p>
          <w:p w:rsidR="007C2DA2" w:rsidRPr="00530D23" w:rsidRDefault="007C2DA2" w:rsidP="00A0226E">
            <w:pPr>
              <w:spacing w:after="0" w:line="276" w:lineRule="auto"/>
              <w:ind w:left="360" w:firstLine="708"/>
              <w:jc w:val="center"/>
              <w:rPr>
                <w:rFonts w:ascii="Arial" w:eastAsia="Arial Unicode MS" w:hAnsi="Arial" w:cs="Arial"/>
                <w:b/>
                <w:color w:val="2E74B5" w:themeColor="accent1" w:themeShade="BF"/>
                <w:sz w:val="24"/>
                <w:szCs w:val="24"/>
              </w:rPr>
            </w:pPr>
          </w:p>
          <w:p w:rsidR="007C2DA2" w:rsidRPr="00530D23" w:rsidRDefault="007C2DA2" w:rsidP="00A0226E">
            <w:pPr>
              <w:spacing w:after="0" w:line="276" w:lineRule="auto"/>
              <w:ind w:left="360" w:hanging="360"/>
              <w:jc w:val="center"/>
              <w:rPr>
                <w:rFonts w:ascii="Arial" w:eastAsia="Arial Unicode MS" w:hAnsi="Arial" w:cs="Arial"/>
                <w:b/>
                <w:color w:val="2E74B5" w:themeColor="accent1" w:themeShade="BF"/>
                <w:sz w:val="24"/>
                <w:szCs w:val="24"/>
              </w:rPr>
            </w:pPr>
            <w:r w:rsidRPr="00530D23">
              <w:rPr>
                <w:rFonts w:ascii="Arial" w:eastAsia="Arial Unicode MS" w:hAnsi="Arial" w:cs="Arial"/>
                <w:b/>
                <w:color w:val="2E74B5" w:themeColor="accent1" w:themeShade="BF"/>
                <w:sz w:val="24"/>
                <w:szCs w:val="24"/>
              </w:rPr>
              <w:t xml:space="preserve">LIC. ROSA MARÍA MOTILLA GARCÍA </w:t>
            </w:r>
          </w:p>
        </w:tc>
      </w:tr>
    </w:tbl>
    <w:p w:rsidR="007C2DA2" w:rsidRPr="00530D23" w:rsidRDefault="007C2DA2" w:rsidP="00A0226E">
      <w:pPr>
        <w:pStyle w:val="corte4fondo"/>
        <w:tabs>
          <w:tab w:val="left" w:pos="567"/>
        </w:tabs>
        <w:spacing w:line="276" w:lineRule="auto"/>
        <w:ind w:firstLine="0"/>
        <w:rPr>
          <w:rFonts w:cs="Arial"/>
          <w:color w:val="2E74B5" w:themeColor="accent1" w:themeShade="BF"/>
          <w:sz w:val="12"/>
          <w:szCs w:val="12"/>
        </w:rPr>
      </w:pPr>
      <w:r w:rsidRPr="00530D23">
        <w:rPr>
          <w:rFonts w:cs="Arial"/>
          <w:color w:val="2E74B5" w:themeColor="accent1" w:themeShade="BF"/>
          <w:sz w:val="12"/>
          <w:szCs w:val="12"/>
        </w:rPr>
        <w:t xml:space="preserve">*ESTAS FIRMAS PERTENECEN A LA RESOLUCIÓN DE LA REVISIÓN </w:t>
      </w:r>
      <w:r>
        <w:rPr>
          <w:rFonts w:cs="Arial"/>
          <w:color w:val="2E74B5" w:themeColor="accent1" w:themeShade="BF"/>
          <w:sz w:val="12"/>
          <w:szCs w:val="12"/>
        </w:rPr>
        <w:t>6</w:t>
      </w:r>
      <w:r>
        <w:rPr>
          <w:rFonts w:cs="Arial"/>
          <w:color w:val="2E74B5" w:themeColor="accent1" w:themeShade="BF"/>
          <w:sz w:val="12"/>
          <w:szCs w:val="12"/>
          <w:lang w:val="es-MX"/>
        </w:rPr>
        <w:t>05</w:t>
      </w:r>
      <w:r w:rsidRPr="00530D23">
        <w:rPr>
          <w:rFonts w:cs="Arial"/>
          <w:color w:val="2E74B5" w:themeColor="accent1" w:themeShade="BF"/>
          <w:sz w:val="12"/>
          <w:szCs w:val="12"/>
        </w:rPr>
        <w:t>/2018-2 QUE FUE INTERPUESTO CONTRA E</w:t>
      </w:r>
      <w:r>
        <w:rPr>
          <w:rFonts w:cs="Arial"/>
          <w:color w:val="2E74B5" w:themeColor="accent1" w:themeShade="BF"/>
          <w:sz w:val="12"/>
          <w:szCs w:val="12"/>
          <w:lang w:val="es-MX"/>
        </w:rPr>
        <w:t xml:space="preserve">L CONSEJO ESTATAL ELECTORAL Y DE PARTICIPACION CIUDADANA </w:t>
      </w:r>
      <w:r w:rsidRPr="00530D23">
        <w:rPr>
          <w:rFonts w:eastAsia="Arial Unicode MS" w:cs="Arial"/>
          <w:color w:val="2E74B5" w:themeColor="accent1" w:themeShade="BF"/>
          <w:sz w:val="12"/>
          <w:szCs w:val="12"/>
        </w:rPr>
        <w:t xml:space="preserve"> </w:t>
      </w:r>
      <w:r w:rsidRPr="00530D23">
        <w:rPr>
          <w:rFonts w:cs="Arial"/>
          <w:color w:val="2E74B5" w:themeColor="accent1" w:themeShade="BF"/>
          <w:sz w:val="12"/>
          <w:szCs w:val="12"/>
        </w:rPr>
        <w:t xml:space="preserve">Y QUE FUE APROBADA EN LA SESIÓN ORDINARIA DEL </w:t>
      </w:r>
      <w:r w:rsidR="00827EC8">
        <w:rPr>
          <w:rFonts w:cs="Arial"/>
          <w:color w:val="2E74B5" w:themeColor="accent1" w:themeShade="BF"/>
          <w:sz w:val="12"/>
          <w:szCs w:val="12"/>
          <w:lang w:val="es-MX"/>
        </w:rPr>
        <w:t>10 DIEZ</w:t>
      </w:r>
      <w:r w:rsidRPr="00530D23">
        <w:rPr>
          <w:rFonts w:cs="Arial"/>
          <w:color w:val="2E74B5" w:themeColor="accent1" w:themeShade="BF"/>
          <w:sz w:val="12"/>
          <w:szCs w:val="12"/>
        </w:rPr>
        <w:t xml:space="preserve"> DE OCTUBRE DE 2018 DOS MIL DIECIOCHO.</w:t>
      </w:r>
    </w:p>
    <w:p w:rsidR="007C2DA2" w:rsidRPr="00530D23" w:rsidRDefault="007C2DA2" w:rsidP="00A0226E">
      <w:pPr>
        <w:pStyle w:val="corte4fondo"/>
        <w:tabs>
          <w:tab w:val="left" w:pos="567"/>
          <w:tab w:val="left" w:pos="3643"/>
        </w:tabs>
        <w:spacing w:line="276" w:lineRule="auto"/>
        <w:rPr>
          <w:rFonts w:cs="Arial"/>
          <w:i/>
          <w:color w:val="2E74B5" w:themeColor="accent1" w:themeShade="BF"/>
          <w:sz w:val="12"/>
          <w:szCs w:val="12"/>
        </w:rPr>
      </w:pPr>
    </w:p>
    <w:p w:rsidR="007C2DA2" w:rsidRPr="00530D23" w:rsidRDefault="007C2DA2" w:rsidP="00A0226E">
      <w:pPr>
        <w:pStyle w:val="corte4fondo"/>
        <w:tabs>
          <w:tab w:val="left" w:pos="567"/>
        </w:tabs>
        <w:spacing w:line="276" w:lineRule="auto"/>
        <w:ind w:firstLine="0"/>
        <w:rPr>
          <w:color w:val="2E74B5" w:themeColor="accent1" w:themeShade="BF"/>
        </w:rPr>
      </w:pPr>
      <w:r w:rsidRPr="00530D23">
        <w:rPr>
          <w:rFonts w:cs="Arial"/>
          <w:i/>
          <w:color w:val="2E74B5" w:themeColor="accent1" w:themeShade="BF"/>
          <w:sz w:val="10"/>
          <w:szCs w:val="10"/>
        </w:rPr>
        <w:t xml:space="preserve">L/MEMH </w:t>
      </w:r>
    </w:p>
    <w:p w:rsidR="007C2DA2" w:rsidRPr="007C2DA2" w:rsidRDefault="007C2DA2" w:rsidP="00A0226E">
      <w:pPr>
        <w:pStyle w:val="corte4fondo"/>
        <w:tabs>
          <w:tab w:val="left" w:pos="567"/>
        </w:tabs>
        <w:spacing w:line="276" w:lineRule="auto"/>
        <w:rPr>
          <w:rFonts w:cs="Arial"/>
          <w:color w:val="2E74B5" w:themeColor="accent1" w:themeShade="BF"/>
          <w:sz w:val="24"/>
          <w:szCs w:val="24"/>
          <w:lang w:val="es-MX"/>
        </w:rPr>
      </w:pPr>
    </w:p>
    <w:p w:rsidR="00327923" w:rsidRPr="007C2DA2" w:rsidRDefault="00327923" w:rsidP="00A0226E">
      <w:pPr>
        <w:pStyle w:val="corte4fondo"/>
        <w:tabs>
          <w:tab w:val="left" w:pos="567"/>
        </w:tabs>
        <w:spacing w:line="276" w:lineRule="auto"/>
        <w:rPr>
          <w:rFonts w:cs="Arial"/>
          <w:color w:val="2E74B5" w:themeColor="accent1" w:themeShade="BF"/>
          <w:sz w:val="24"/>
          <w:szCs w:val="24"/>
          <w:lang w:val="es-MX"/>
        </w:rPr>
      </w:pPr>
      <w:r w:rsidRPr="007C2DA2">
        <w:rPr>
          <w:rFonts w:cs="Arial"/>
          <w:color w:val="2E74B5" w:themeColor="accent1" w:themeShade="BF"/>
          <w:sz w:val="24"/>
          <w:szCs w:val="24"/>
          <w:lang w:val="es-MX"/>
        </w:rPr>
        <w:t xml:space="preserve">  </w:t>
      </w:r>
    </w:p>
    <w:tbl>
      <w:tblPr>
        <w:tblW w:w="9900" w:type="dxa"/>
        <w:jc w:val="center"/>
        <w:tblLook w:val="01E0" w:firstRow="1" w:lastRow="1" w:firstColumn="1" w:lastColumn="1" w:noHBand="0" w:noVBand="0"/>
      </w:tblPr>
      <w:tblGrid>
        <w:gridCol w:w="4552"/>
        <w:gridCol w:w="334"/>
        <w:gridCol w:w="5014"/>
      </w:tblGrid>
      <w:tr w:rsidR="007C2DA2" w:rsidRPr="007C2DA2" w:rsidTr="00525A9C">
        <w:trPr>
          <w:trHeight w:val="2085"/>
          <w:jc w:val="center"/>
        </w:trPr>
        <w:tc>
          <w:tcPr>
            <w:tcW w:w="4552" w:type="dxa"/>
          </w:tcPr>
          <w:p w:rsidR="00327923" w:rsidRPr="007C2DA2" w:rsidRDefault="00327923" w:rsidP="00A0226E">
            <w:pPr>
              <w:spacing w:after="0" w:line="276" w:lineRule="auto"/>
              <w:rPr>
                <w:rFonts w:ascii="AvantGarde Bk BT" w:eastAsia="Arial Unicode MS" w:hAnsi="AvantGarde Bk BT" w:cs="Arial"/>
                <w:b/>
                <w:color w:val="2E74B5" w:themeColor="accent1" w:themeShade="BF"/>
                <w:sz w:val="10"/>
                <w:szCs w:val="10"/>
              </w:rPr>
            </w:pPr>
          </w:p>
        </w:tc>
        <w:tc>
          <w:tcPr>
            <w:tcW w:w="334" w:type="dxa"/>
          </w:tcPr>
          <w:p w:rsidR="00327923" w:rsidRPr="007C2DA2" w:rsidRDefault="00327923" w:rsidP="00A0226E">
            <w:pPr>
              <w:spacing w:after="0" w:line="276" w:lineRule="auto"/>
              <w:ind w:left="360" w:firstLine="708"/>
              <w:jc w:val="center"/>
              <w:rPr>
                <w:rFonts w:ascii="AvantGarde Bk BT" w:eastAsia="Arial Unicode MS" w:hAnsi="AvantGarde Bk BT" w:cs="Arial"/>
                <w:b/>
                <w:color w:val="2E74B5" w:themeColor="accent1" w:themeShade="BF"/>
                <w:sz w:val="24"/>
                <w:szCs w:val="24"/>
              </w:rPr>
            </w:pPr>
          </w:p>
        </w:tc>
        <w:tc>
          <w:tcPr>
            <w:tcW w:w="5014" w:type="dxa"/>
          </w:tcPr>
          <w:p w:rsidR="00327923" w:rsidRPr="007C2DA2" w:rsidRDefault="00327923" w:rsidP="00A0226E">
            <w:pPr>
              <w:spacing w:after="0" w:line="276" w:lineRule="auto"/>
              <w:ind w:left="360" w:hanging="360"/>
              <w:jc w:val="center"/>
              <w:rPr>
                <w:rFonts w:ascii="AvantGarde Bk BT" w:eastAsia="Arial Unicode MS" w:hAnsi="AvantGarde Bk BT" w:cs="Arial"/>
                <w:b/>
                <w:color w:val="2E74B5" w:themeColor="accent1" w:themeShade="BF"/>
                <w:sz w:val="24"/>
                <w:szCs w:val="24"/>
              </w:rPr>
            </w:pPr>
          </w:p>
        </w:tc>
      </w:tr>
    </w:tbl>
    <w:p w:rsidR="00995B21" w:rsidRPr="007C2DA2" w:rsidRDefault="00995B21" w:rsidP="001A0F80">
      <w:pPr>
        <w:spacing w:after="0" w:line="276" w:lineRule="auto"/>
        <w:rPr>
          <w:color w:val="2E74B5" w:themeColor="accent1" w:themeShade="BF"/>
        </w:rPr>
      </w:pPr>
    </w:p>
    <w:sectPr w:rsidR="00995B21" w:rsidRPr="007C2DA2" w:rsidSect="001A0F80">
      <w:headerReference w:type="default" r:id="rId9"/>
      <w:pgSz w:w="12240" w:h="20160" w:code="5"/>
      <w:pgMar w:top="3062" w:right="851" w:bottom="2381" w:left="2552"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D0140" w:rsidRDefault="002D0140" w:rsidP="00327923">
      <w:pPr>
        <w:spacing w:after="0" w:line="240" w:lineRule="auto"/>
      </w:pPr>
      <w:r>
        <w:separator/>
      </w:r>
    </w:p>
  </w:endnote>
  <w:endnote w:type="continuationSeparator" w:id="0">
    <w:p w:rsidR="002D0140" w:rsidRDefault="002D0140" w:rsidP="003279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AvantGarde Bk BT">
    <w:altName w:val="Century Gothic"/>
    <w:charset w:val="00"/>
    <w:family w:val="swiss"/>
    <w:pitch w:val="variable"/>
    <w:sig w:usb0="00000087" w:usb1="00000000" w:usb2="00000000" w:usb3="00000000" w:csb0="0000001B"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D0140" w:rsidRDefault="002D0140" w:rsidP="00327923">
      <w:pPr>
        <w:spacing w:after="0" w:line="240" w:lineRule="auto"/>
      </w:pPr>
      <w:r>
        <w:separator/>
      </w:r>
    </w:p>
  </w:footnote>
  <w:footnote w:type="continuationSeparator" w:id="0">
    <w:p w:rsidR="002D0140" w:rsidRDefault="002D0140" w:rsidP="00327923">
      <w:pPr>
        <w:spacing w:after="0" w:line="240" w:lineRule="auto"/>
      </w:pPr>
      <w:r>
        <w:continuationSeparator/>
      </w:r>
    </w:p>
  </w:footnote>
  <w:footnote w:id="1">
    <w:p w:rsidR="00327923" w:rsidRPr="00DA1577" w:rsidRDefault="00327923" w:rsidP="00327923">
      <w:pPr>
        <w:pStyle w:val="Textonotapie"/>
        <w:jc w:val="both"/>
        <w:rPr>
          <w:rFonts w:ascii="Arial" w:hAnsi="Arial" w:cs="Arial"/>
          <w:sz w:val="16"/>
          <w:szCs w:val="16"/>
        </w:rPr>
      </w:pPr>
      <w:r w:rsidRPr="00DA1577">
        <w:rPr>
          <w:rStyle w:val="Refdenotaalpie"/>
          <w:rFonts w:ascii="Arial" w:hAnsi="Arial" w:cs="Arial"/>
          <w:sz w:val="16"/>
          <w:szCs w:val="16"/>
        </w:rPr>
        <w:footnoteRef/>
      </w:r>
      <w:r w:rsidRPr="00DA1577">
        <w:rPr>
          <w:rFonts w:ascii="Arial" w:hAnsi="Arial" w:cs="Arial"/>
          <w:sz w:val="16"/>
          <w:szCs w:val="16"/>
        </w:rPr>
        <w:t xml:space="preserve"> Visible en la foja 1 de autos. </w:t>
      </w:r>
    </w:p>
  </w:footnote>
  <w:footnote w:id="2">
    <w:p w:rsidR="00327923" w:rsidRDefault="00327923" w:rsidP="00327923">
      <w:pPr>
        <w:pStyle w:val="Textonotapie"/>
      </w:pPr>
      <w:r w:rsidRPr="00177F8E">
        <w:rPr>
          <w:rStyle w:val="Refdenotaalpie"/>
          <w:color w:val="2E74B5" w:themeColor="accent1" w:themeShade="BF"/>
        </w:rPr>
        <w:footnoteRef/>
      </w:r>
      <w:r w:rsidRPr="00177F8E">
        <w:rPr>
          <w:color w:val="2E74B5" w:themeColor="accent1" w:themeShade="BF"/>
        </w:rPr>
        <w:t xml:space="preserve"> </w:t>
      </w:r>
      <w:r w:rsidRPr="00177F8E">
        <w:rPr>
          <w:rFonts w:ascii="Arial" w:hAnsi="Arial" w:cs="Arial"/>
          <w:color w:val="2E74B5" w:themeColor="accent1" w:themeShade="BF"/>
          <w:sz w:val="16"/>
          <w:szCs w:val="16"/>
        </w:rPr>
        <w:t>Visible en la foja 1</w:t>
      </w:r>
      <w:r w:rsidR="00177F8E">
        <w:rPr>
          <w:rFonts w:ascii="Arial" w:hAnsi="Arial" w:cs="Arial"/>
          <w:color w:val="2E74B5" w:themeColor="accent1" w:themeShade="BF"/>
          <w:sz w:val="16"/>
          <w:szCs w:val="16"/>
        </w:rPr>
        <w:t>,5,6 y 7</w:t>
      </w:r>
      <w:r w:rsidRPr="00177F8E">
        <w:rPr>
          <w:rFonts w:ascii="Arial" w:hAnsi="Arial" w:cs="Arial"/>
          <w:color w:val="2E74B5" w:themeColor="accent1" w:themeShade="BF"/>
          <w:sz w:val="16"/>
          <w:szCs w:val="16"/>
        </w:rPr>
        <w:t xml:space="preserve"> de autos. </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0E02" w:rsidRPr="00D370FD" w:rsidRDefault="0076244A" w:rsidP="00020E02">
    <w:pPr>
      <w:pStyle w:val="Encabezado"/>
      <w:tabs>
        <w:tab w:val="clear" w:pos="4419"/>
        <w:tab w:val="left" w:pos="6804"/>
      </w:tabs>
      <w:jc w:val="right"/>
      <w:rPr>
        <w:rFonts w:ascii="Arial" w:hAnsi="Arial" w:cs="Arial"/>
        <w:color w:val="2E74B5" w:themeColor="accent1" w:themeShade="BF"/>
        <w:sz w:val="18"/>
        <w:szCs w:val="18"/>
      </w:rPr>
    </w:pPr>
    <w:r>
      <w:t xml:space="preserve">                                                                                                                    </w:t>
    </w:r>
    <w:r w:rsidRPr="00DE7FC2">
      <w:rPr>
        <w:rFonts w:ascii="Arial" w:hAnsi="Arial" w:cs="Arial"/>
      </w:rPr>
      <w:t xml:space="preserve">                                                    </w:t>
    </w:r>
    <w:r>
      <w:rPr>
        <w:rFonts w:ascii="Arial" w:hAnsi="Arial" w:cs="Arial"/>
      </w:rPr>
      <w:t xml:space="preserve">                  </w:t>
    </w:r>
    <w:r w:rsidRPr="0034472B">
      <w:rPr>
        <w:rFonts w:ascii="Arial" w:hAnsi="Arial" w:cs="Arial"/>
        <w:sz w:val="18"/>
        <w:szCs w:val="18"/>
      </w:rPr>
      <w:fldChar w:fldCharType="begin"/>
    </w:r>
    <w:r w:rsidRPr="0034472B">
      <w:rPr>
        <w:rFonts w:ascii="Arial" w:hAnsi="Arial" w:cs="Arial"/>
        <w:sz w:val="18"/>
        <w:szCs w:val="18"/>
      </w:rPr>
      <w:instrText xml:space="preserve"> PAGE   \* MERGEFORMAT </w:instrText>
    </w:r>
    <w:r w:rsidRPr="0034472B">
      <w:rPr>
        <w:rFonts w:ascii="Arial" w:hAnsi="Arial" w:cs="Arial"/>
        <w:sz w:val="18"/>
        <w:szCs w:val="18"/>
      </w:rPr>
      <w:fldChar w:fldCharType="separate"/>
    </w:r>
    <w:r w:rsidR="009075BE">
      <w:rPr>
        <w:rFonts w:ascii="Arial" w:hAnsi="Arial" w:cs="Arial"/>
        <w:noProof/>
        <w:sz w:val="18"/>
        <w:szCs w:val="18"/>
      </w:rPr>
      <w:t>9</w:t>
    </w:r>
    <w:r w:rsidRPr="0034472B">
      <w:rPr>
        <w:rFonts w:ascii="Arial" w:hAnsi="Arial" w:cs="Arial"/>
        <w:sz w:val="18"/>
        <w:szCs w:val="18"/>
      </w:rPr>
      <w:fldChar w:fldCharType="end"/>
    </w:r>
    <w:r w:rsidRPr="0034472B">
      <w:rPr>
        <w:rFonts w:ascii="Arial" w:hAnsi="Arial" w:cs="Arial"/>
        <w:sz w:val="18"/>
        <w:szCs w:val="18"/>
      </w:rPr>
      <w:t xml:space="preserve">                                          </w:t>
    </w:r>
    <w:r w:rsidRPr="00D370FD">
      <w:rPr>
        <w:rFonts w:ascii="Arial" w:hAnsi="Arial" w:cs="Arial"/>
        <w:b/>
        <w:color w:val="2E74B5" w:themeColor="accent1" w:themeShade="BF"/>
        <w:sz w:val="18"/>
        <w:szCs w:val="18"/>
      </w:rPr>
      <w:t xml:space="preserve">RECURSO DE REVISIÓN  </w:t>
    </w:r>
    <w:r w:rsidR="00327923">
      <w:rPr>
        <w:rFonts w:ascii="Arial" w:hAnsi="Arial" w:cs="Arial"/>
        <w:b/>
        <w:color w:val="2E74B5" w:themeColor="accent1" w:themeShade="BF"/>
        <w:sz w:val="18"/>
        <w:szCs w:val="18"/>
      </w:rPr>
      <w:t>605</w:t>
    </w:r>
    <w:r w:rsidRPr="00D370FD">
      <w:rPr>
        <w:rFonts w:ascii="Arial" w:hAnsi="Arial" w:cs="Arial"/>
        <w:b/>
        <w:color w:val="2E74B5" w:themeColor="accent1" w:themeShade="BF"/>
        <w:sz w:val="18"/>
        <w:szCs w:val="18"/>
      </w:rPr>
      <w:t>/2018</w:t>
    </w:r>
    <w:r w:rsidR="00327923">
      <w:rPr>
        <w:rFonts w:ascii="Arial" w:hAnsi="Arial" w:cs="Arial"/>
        <w:b/>
        <w:color w:val="2E74B5" w:themeColor="accent1" w:themeShade="BF"/>
        <w:sz w:val="18"/>
        <w:szCs w:val="18"/>
      </w:rPr>
      <w:t>-2</w:t>
    </w:r>
  </w:p>
  <w:p w:rsidR="00020E02" w:rsidRPr="00D370FD" w:rsidRDefault="0076244A">
    <w:pPr>
      <w:pStyle w:val="Encabezado"/>
      <w:rPr>
        <w:color w:val="2E74B5" w:themeColor="accent1" w:themeShade="BF"/>
      </w:rPr>
    </w:pPr>
    <w:r w:rsidRPr="00D370FD">
      <w:rPr>
        <w:color w:val="2E74B5" w:themeColor="accent1" w:themeShade="BF"/>
      </w:rPr>
      <w:t xml:space="preserve">       </w:t>
    </w:r>
  </w:p>
  <w:p w:rsidR="00020E02" w:rsidRDefault="002D0140">
    <w:pPr>
      <w:pStyle w:val="Encabezado"/>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8C24D7"/>
    <w:multiLevelType w:val="hybridMultilevel"/>
    <w:tmpl w:val="FCAA98C6"/>
    <w:lvl w:ilvl="0" w:tplc="080A0001">
      <w:start w:val="1"/>
      <w:numFmt w:val="bullet"/>
      <w:lvlText w:val=""/>
      <w:lvlJc w:val="left"/>
      <w:pPr>
        <w:ind w:left="1510" w:hanging="360"/>
      </w:pPr>
      <w:rPr>
        <w:rFonts w:ascii="Symbol" w:hAnsi="Symbol" w:hint="default"/>
      </w:rPr>
    </w:lvl>
    <w:lvl w:ilvl="1" w:tplc="080A0003" w:tentative="1">
      <w:start w:val="1"/>
      <w:numFmt w:val="bullet"/>
      <w:lvlText w:val="o"/>
      <w:lvlJc w:val="left"/>
      <w:pPr>
        <w:ind w:left="2230" w:hanging="360"/>
      </w:pPr>
      <w:rPr>
        <w:rFonts w:ascii="Courier New" w:hAnsi="Courier New" w:cs="Courier New" w:hint="default"/>
      </w:rPr>
    </w:lvl>
    <w:lvl w:ilvl="2" w:tplc="080A0005" w:tentative="1">
      <w:start w:val="1"/>
      <w:numFmt w:val="bullet"/>
      <w:lvlText w:val=""/>
      <w:lvlJc w:val="left"/>
      <w:pPr>
        <w:ind w:left="2950" w:hanging="360"/>
      </w:pPr>
      <w:rPr>
        <w:rFonts w:ascii="Wingdings" w:hAnsi="Wingdings" w:hint="default"/>
      </w:rPr>
    </w:lvl>
    <w:lvl w:ilvl="3" w:tplc="080A0001" w:tentative="1">
      <w:start w:val="1"/>
      <w:numFmt w:val="bullet"/>
      <w:lvlText w:val=""/>
      <w:lvlJc w:val="left"/>
      <w:pPr>
        <w:ind w:left="3670" w:hanging="360"/>
      </w:pPr>
      <w:rPr>
        <w:rFonts w:ascii="Symbol" w:hAnsi="Symbol" w:hint="default"/>
      </w:rPr>
    </w:lvl>
    <w:lvl w:ilvl="4" w:tplc="080A0003" w:tentative="1">
      <w:start w:val="1"/>
      <w:numFmt w:val="bullet"/>
      <w:lvlText w:val="o"/>
      <w:lvlJc w:val="left"/>
      <w:pPr>
        <w:ind w:left="4390" w:hanging="360"/>
      </w:pPr>
      <w:rPr>
        <w:rFonts w:ascii="Courier New" w:hAnsi="Courier New" w:cs="Courier New" w:hint="default"/>
      </w:rPr>
    </w:lvl>
    <w:lvl w:ilvl="5" w:tplc="080A0005" w:tentative="1">
      <w:start w:val="1"/>
      <w:numFmt w:val="bullet"/>
      <w:lvlText w:val=""/>
      <w:lvlJc w:val="left"/>
      <w:pPr>
        <w:ind w:left="5110" w:hanging="360"/>
      </w:pPr>
      <w:rPr>
        <w:rFonts w:ascii="Wingdings" w:hAnsi="Wingdings" w:hint="default"/>
      </w:rPr>
    </w:lvl>
    <w:lvl w:ilvl="6" w:tplc="080A0001" w:tentative="1">
      <w:start w:val="1"/>
      <w:numFmt w:val="bullet"/>
      <w:lvlText w:val=""/>
      <w:lvlJc w:val="left"/>
      <w:pPr>
        <w:ind w:left="5830" w:hanging="360"/>
      </w:pPr>
      <w:rPr>
        <w:rFonts w:ascii="Symbol" w:hAnsi="Symbol" w:hint="default"/>
      </w:rPr>
    </w:lvl>
    <w:lvl w:ilvl="7" w:tplc="080A0003" w:tentative="1">
      <w:start w:val="1"/>
      <w:numFmt w:val="bullet"/>
      <w:lvlText w:val="o"/>
      <w:lvlJc w:val="left"/>
      <w:pPr>
        <w:ind w:left="6550" w:hanging="360"/>
      </w:pPr>
      <w:rPr>
        <w:rFonts w:ascii="Courier New" w:hAnsi="Courier New" w:cs="Courier New" w:hint="default"/>
      </w:rPr>
    </w:lvl>
    <w:lvl w:ilvl="8" w:tplc="080A0005" w:tentative="1">
      <w:start w:val="1"/>
      <w:numFmt w:val="bullet"/>
      <w:lvlText w:val=""/>
      <w:lvlJc w:val="left"/>
      <w:pPr>
        <w:ind w:left="7270" w:hanging="360"/>
      </w:pPr>
      <w:rPr>
        <w:rFonts w:ascii="Wingdings" w:hAnsi="Wingdings" w:hint="default"/>
      </w:rPr>
    </w:lvl>
  </w:abstractNum>
  <w:abstractNum w:abstractNumId="1" w15:restartNumberingAfterBreak="0">
    <w:nsid w:val="195741D5"/>
    <w:multiLevelType w:val="hybridMultilevel"/>
    <w:tmpl w:val="86AE2AA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2D820CD2"/>
    <w:multiLevelType w:val="hybridMultilevel"/>
    <w:tmpl w:val="322C474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3" w15:restartNumberingAfterBreak="0">
    <w:nsid w:val="4AD629EE"/>
    <w:multiLevelType w:val="hybridMultilevel"/>
    <w:tmpl w:val="B6E28C1C"/>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4" w15:restartNumberingAfterBreak="0">
    <w:nsid w:val="51450401"/>
    <w:multiLevelType w:val="hybridMultilevel"/>
    <w:tmpl w:val="356CD4D8"/>
    <w:lvl w:ilvl="0" w:tplc="7E783B8E">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5" w15:restartNumberingAfterBreak="0">
    <w:nsid w:val="702745E5"/>
    <w:multiLevelType w:val="hybridMultilevel"/>
    <w:tmpl w:val="25D4AD80"/>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num w:numId="1">
    <w:abstractNumId w:val="3"/>
  </w:num>
  <w:num w:numId="2">
    <w:abstractNumId w:val="2"/>
  </w:num>
  <w:num w:numId="3">
    <w:abstractNumId w:val="5"/>
  </w:num>
  <w:num w:numId="4">
    <w:abstractNumId w:val="0"/>
  </w:num>
  <w:num w:numId="5">
    <w:abstractNumId w:val="1"/>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mirrorMargin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7923"/>
    <w:rsid w:val="00004708"/>
    <w:rsid w:val="00010CB0"/>
    <w:rsid w:val="00021226"/>
    <w:rsid w:val="000264B9"/>
    <w:rsid w:val="000C2098"/>
    <w:rsid w:val="000F488A"/>
    <w:rsid w:val="00177F8E"/>
    <w:rsid w:val="00187DA7"/>
    <w:rsid w:val="001A0F80"/>
    <w:rsid w:val="001B1F2E"/>
    <w:rsid w:val="001D55A2"/>
    <w:rsid w:val="002B2800"/>
    <w:rsid w:val="002D0140"/>
    <w:rsid w:val="00327923"/>
    <w:rsid w:val="00465EC0"/>
    <w:rsid w:val="004D20C2"/>
    <w:rsid w:val="004E1DED"/>
    <w:rsid w:val="005568F8"/>
    <w:rsid w:val="005631DC"/>
    <w:rsid w:val="005A6E75"/>
    <w:rsid w:val="005C5AE2"/>
    <w:rsid w:val="00663DF6"/>
    <w:rsid w:val="006C6608"/>
    <w:rsid w:val="0076244A"/>
    <w:rsid w:val="007C2DA2"/>
    <w:rsid w:val="007D12BF"/>
    <w:rsid w:val="00825E37"/>
    <w:rsid w:val="00827EC8"/>
    <w:rsid w:val="008537E3"/>
    <w:rsid w:val="0087735B"/>
    <w:rsid w:val="009075BE"/>
    <w:rsid w:val="00995B21"/>
    <w:rsid w:val="009C1894"/>
    <w:rsid w:val="009F24CA"/>
    <w:rsid w:val="00A0226E"/>
    <w:rsid w:val="00AF2CE6"/>
    <w:rsid w:val="00B305C5"/>
    <w:rsid w:val="00BB7C89"/>
    <w:rsid w:val="00BC294D"/>
    <w:rsid w:val="00C37E69"/>
    <w:rsid w:val="00C422F0"/>
    <w:rsid w:val="00C926D7"/>
    <w:rsid w:val="00D479F8"/>
    <w:rsid w:val="00E47FAA"/>
    <w:rsid w:val="00F576EA"/>
    <w:rsid w:val="00FA0ABD"/>
    <w:rsid w:val="00FD4961"/>
    <w:rsid w:val="00FD5946"/>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3ADC9C"/>
  <w15:chartTrackingRefBased/>
  <w15:docId w15:val="{BF64F794-A4D5-4D3C-A042-2039352DE5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27923"/>
    <w:rPr>
      <w:rFonts w:ascii="Calibri" w:eastAsia="Calibri" w:hAnsi="Calibri" w:cs="Times New Roma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pie">
    <w:name w:val="footnote text"/>
    <w:aliases w:val="Footnote Text Char Char Char Char Char,Footnote Text Char Char Char Char,Ref. de nota al pie1,FA Fu,Footnote Text Char Char Char,Footnote Text Cha,FA Fußnotentext,FA Fu?notentext,Footnote Text Char Char,FA Fuﬂnotentext,Ca,FA Fu?notente"/>
    <w:basedOn w:val="Normal"/>
    <w:link w:val="TextonotapieCar"/>
    <w:uiPriority w:val="99"/>
    <w:unhideWhenUsed/>
    <w:rsid w:val="00327923"/>
    <w:pPr>
      <w:spacing w:after="0" w:line="240" w:lineRule="auto"/>
    </w:pPr>
    <w:rPr>
      <w:sz w:val="20"/>
      <w:szCs w:val="20"/>
    </w:rPr>
  </w:style>
  <w:style w:type="character" w:customStyle="1" w:styleId="TextonotapieCar">
    <w:name w:val="Texto nota pie Car"/>
    <w:aliases w:val="Footnote Text Char Char Char Char Char Car,Footnote Text Char Char Char Char Car,Ref. de nota al pie1 Car,FA Fu Car,Footnote Text Char Char Char Car,Footnote Text Cha Car,FA Fußnotentext Car,FA Fu?notentext Car,FA Fuﬂnotentext Car"/>
    <w:basedOn w:val="Fuentedeprrafopredeter"/>
    <w:link w:val="Textonotapie"/>
    <w:uiPriority w:val="99"/>
    <w:rsid w:val="00327923"/>
    <w:rPr>
      <w:rFonts w:ascii="Calibri" w:eastAsia="Calibri" w:hAnsi="Calibri" w:cs="Times New Roman"/>
      <w:sz w:val="20"/>
      <w:szCs w:val="20"/>
    </w:rPr>
  </w:style>
  <w:style w:type="paragraph" w:styleId="Encabezado">
    <w:name w:val="header"/>
    <w:basedOn w:val="Normal"/>
    <w:link w:val="EncabezadoCar"/>
    <w:unhideWhenUsed/>
    <w:rsid w:val="00327923"/>
    <w:pPr>
      <w:tabs>
        <w:tab w:val="center" w:pos="4419"/>
        <w:tab w:val="right" w:pos="8838"/>
      </w:tabs>
      <w:spacing w:after="0" w:line="240" w:lineRule="auto"/>
    </w:pPr>
  </w:style>
  <w:style w:type="character" w:customStyle="1" w:styleId="EncabezadoCar">
    <w:name w:val="Encabezado Car"/>
    <w:basedOn w:val="Fuentedeprrafopredeter"/>
    <w:link w:val="Encabezado"/>
    <w:rsid w:val="00327923"/>
    <w:rPr>
      <w:rFonts w:ascii="Calibri" w:eastAsia="Calibri" w:hAnsi="Calibri" w:cs="Times New Roman"/>
    </w:rPr>
  </w:style>
  <w:style w:type="character" w:styleId="Refdenotaalpie">
    <w:name w:val="footnote reference"/>
    <w:aliases w:val="Footnotes refss,Texto de nota al pie,Ref. de nota al pie 2,Appel note de bas de page,referencia nota al pie,BVI fnr,Footnote number,f,4_G,16 Point,Superscript 6 Point,Texto nota al pie,Footnote Reference Char3"/>
    <w:basedOn w:val="Fuentedeprrafopredeter"/>
    <w:uiPriority w:val="99"/>
    <w:unhideWhenUsed/>
    <w:rsid w:val="00327923"/>
    <w:rPr>
      <w:vertAlign w:val="superscript"/>
    </w:rPr>
  </w:style>
  <w:style w:type="paragraph" w:customStyle="1" w:styleId="corte4fondo">
    <w:name w:val="corte4 fondo"/>
    <w:basedOn w:val="Normal"/>
    <w:link w:val="corte4fondoCar1"/>
    <w:qFormat/>
    <w:rsid w:val="00327923"/>
    <w:pPr>
      <w:spacing w:after="0" w:line="360" w:lineRule="auto"/>
      <w:ind w:firstLine="709"/>
      <w:jc w:val="both"/>
    </w:pPr>
    <w:rPr>
      <w:rFonts w:ascii="Arial" w:eastAsia="Times New Roman" w:hAnsi="Arial"/>
      <w:sz w:val="30"/>
      <w:szCs w:val="20"/>
      <w:lang w:val="x-none" w:eastAsia="es-MX"/>
    </w:rPr>
  </w:style>
  <w:style w:type="character" w:customStyle="1" w:styleId="corte4fondoCar1">
    <w:name w:val="corte4 fondo Car1"/>
    <w:link w:val="corte4fondo"/>
    <w:rsid w:val="00327923"/>
    <w:rPr>
      <w:rFonts w:ascii="Arial" w:eastAsia="Times New Roman" w:hAnsi="Arial" w:cs="Times New Roman"/>
      <w:sz w:val="30"/>
      <w:szCs w:val="20"/>
      <w:lang w:val="x-none" w:eastAsia="es-MX"/>
    </w:rPr>
  </w:style>
  <w:style w:type="paragraph" w:customStyle="1" w:styleId="corte2ponente">
    <w:name w:val="corte2 ponente"/>
    <w:basedOn w:val="Normal"/>
    <w:link w:val="corte2ponenteCar"/>
    <w:uiPriority w:val="99"/>
    <w:rsid w:val="00327923"/>
    <w:pPr>
      <w:spacing w:after="0" w:line="240" w:lineRule="auto"/>
    </w:pPr>
    <w:rPr>
      <w:rFonts w:ascii="Arial" w:eastAsia="Times New Roman" w:hAnsi="Arial"/>
      <w:b/>
      <w:caps/>
      <w:sz w:val="30"/>
      <w:szCs w:val="20"/>
      <w:lang w:val="x-none" w:eastAsia="es-MX"/>
    </w:rPr>
  </w:style>
  <w:style w:type="character" w:customStyle="1" w:styleId="corte2ponenteCar">
    <w:name w:val="corte2 ponente Car"/>
    <w:link w:val="corte2ponente"/>
    <w:uiPriority w:val="99"/>
    <w:rsid w:val="00327923"/>
    <w:rPr>
      <w:rFonts w:ascii="Arial" w:eastAsia="Times New Roman" w:hAnsi="Arial" w:cs="Times New Roman"/>
      <w:b/>
      <w:caps/>
      <w:sz w:val="30"/>
      <w:szCs w:val="20"/>
      <w:lang w:val="x-none" w:eastAsia="es-MX"/>
    </w:rPr>
  </w:style>
  <w:style w:type="paragraph" w:styleId="Piedepgina">
    <w:name w:val="footer"/>
    <w:basedOn w:val="Normal"/>
    <w:link w:val="PiedepginaCar"/>
    <w:uiPriority w:val="99"/>
    <w:unhideWhenUsed/>
    <w:rsid w:val="0032792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327923"/>
    <w:rPr>
      <w:rFonts w:ascii="Calibri" w:eastAsia="Calibri" w:hAnsi="Calibri" w:cs="Times New Roman"/>
    </w:rPr>
  </w:style>
  <w:style w:type="paragraph" w:customStyle="1" w:styleId="Default">
    <w:name w:val="Default"/>
    <w:rsid w:val="001B1F2E"/>
    <w:pPr>
      <w:autoSpaceDE w:val="0"/>
      <w:autoSpaceDN w:val="0"/>
      <w:adjustRightInd w:val="0"/>
      <w:spacing w:after="0" w:line="240" w:lineRule="auto"/>
    </w:pPr>
    <w:rPr>
      <w:rFonts w:ascii="Arial" w:eastAsia="Calibri" w:hAnsi="Arial" w:cs="Arial"/>
      <w:color w:val="000000"/>
      <w:sz w:val="24"/>
      <w:szCs w:val="24"/>
      <w:lang w:eastAsia="es-MX"/>
    </w:rPr>
  </w:style>
  <w:style w:type="paragraph" w:styleId="Prrafodelista">
    <w:name w:val="List Paragraph"/>
    <w:basedOn w:val="Normal"/>
    <w:uiPriority w:val="34"/>
    <w:qFormat/>
    <w:rsid w:val="001B1F2E"/>
    <w:pPr>
      <w:spacing w:after="200" w:line="276" w:lineRule="auto"/>
      <w:ind w:left="708"/>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327</TotalTime>
  <Pages>9</Pages>
  <Words>3019</Words>
  <Characters>16608</Characters>
  <Application>Microsoft Office Word</Application>
  <DocSecurity>0</DocSecurity>
  <Lines>138</Lines>
  <Paragraphs>39</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19588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cegaip</dc:creator>
  <cp:keywords/>
  <dc:description/>
  <cp:lastModifiedBy>cegaip</cp:lastModifiedBy>
  <cp:revision>12</cp:revision>
  <dcterms:created xsi:type="dcterms:W3CDTF">2018-10-03T17:41:00Z</dcterms:created>
  <dcterms:modified xsi:type="dcterms:W3CDTF">2018-10-25T18:44:00Z</dcterms:modified>
</cp:coreProperties>
</file>