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0" w:type="auto"/>
        <w:tblInd w:w="3510" w:type="dxa"/>
        <w:tblLook w:val="04A0"/>
      </w:tblPr>
      <w:tblGrid>
        <w:gridCol w:w="5184"/>
      </w:tblGrid>
      <w:tr w:rsidR="00547C44" w:rsidRPr="00A13D1B"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A13D1B" w:rsidRDefault="00547C44" w:rsidP="00C63190">
            <w:pPr>
              <w:ind w:left="-108"/>
              <w:rPr>
                <w:rFonts w:ascii="Arial" w:hAnsi="Arial" w:cs="Arial"/>
                <w:color w:val="4F81BD" w:themeColor="accent1"/>
                <w:lang w:val="es-MX"/>
              </w:rPr>
            </w:pPr>
            <w:r w:rsidRPr="00A13D1B">
              <w:rPr>
                <w:rFonts w:ascii="Arial" w:hAnsi="Arial" w:cs="Arial"/>
                <w:b/>
                <w:color w:val="4F81BD" w:themeColor="accent1"/>
                <w:lang w:val="es-MX"/>
              </w:rPr>
              <w:t xml:space="preserve">RECURSO DE REVISIÓN: </w:t>
            </w:r>
            <w:r w:rsidR="00146107" w:rsidRPr="00A13D1B">
              <w:rPr>
                <w:rFonts w:ascii="Arial" w:hAnsi="Arial" w:cs="Arial"/>
                <w:color w:val="4F81BD" w:themeColor="accent1"/>
                <w:lang w:val="es-MX"/>
              </w:rPr>
              <w:t>RR-051/2017</w:t>
            </w:r>
            <w:r w:rsidRPr="00A13D1B">
              <w:rPr>
                <w:rFonts w:ascii="Arial" w:hAnsi="Arial" w:cs="Arial"/>
                <w:color w:val="4F81BD" w:themeColor="accent1"/>
                <w:lang w:val="es-MX"/>
              </w:rPr>
              <w:t>-3</w:t>
            </w:r>
          </w:p>
        </w:tc>
      </w:tr>
      <w:tr w:rsidR="00547C44" w:rsidRPr="00A13D1B"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A13D1B" w:rsidRDefault="00547C44" w:rsidP="00146107">
            <w:pPr>
              <w:ind w:left="-108"/>
              <w:rPr>
                <w:rFonts w:ascii="Arial" w:hAnsi="Arial" w:cs="Arial"/>
                <w:color w:val="4F81BD" w:themeColor="accent1"/>
                <w:lang w:val="es-MX"/>
              </w:rPr>
            </w:pPr>
            <w:r w:rsidRPr="00A13D1B">
              <w:rPr>
                <w:rFonts w:ascii="Arial" w:hAnsi="Arial" w:cs="Arial"/>
                <w:b/>
                <w:color w:val="4F81BD" w:themeColor="accent1"/>
                <w:lang w:val="es-MX"/>
              </w:rPr>
              <w:t>ENTE OBLIGADO:</w:t>
            </w:r>
            <w:r w:rsidRPr="00A13D1B">
              <w:rPr>
                <w:rFonts w:ascii="Arial" w:hAnsi="Arial" w:cs="Arial"/>
                <w:color w:val="4F81BD" w:themeColor="accent1"/>
                <w:lang w:val="es-MX"/>
              </w:rPr>
              <w:t xml:space="preserve"> </w:t>
            </w:r>
            <w:r w:rsidR="00146107" w:rsidRPr="00A13D1B">
              <w:rPr>
                <w:rFonts w:ascii="Arial" w:eastAsia="Arial Unicode MS" w:hAnsi="Arial" w:cs="Arial"/>
                <w:color w:val="4F81BD" w:themeColor="accent1"/>
                <w:szCs w:val="26"/>
                <w:lang w:val="es-MX"/>
              </w:rPr>
              <w:t>COMISIÓN ESTATAL DE GARANTÍA Y ACCESO A LA INFORMACIÓN PÚBLICA DEL ESTADO.</w:t>
            </w:r>
          </w:p>
        </w:tc>
      </w:tr>
      <w:tr w:rsidR="00547C44" w:rsidRPr="00A13D1B"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A13D1B" w:rsidRDefault="00547C44" w:rsidP="006121A8">
            <w:pPr>
              <w:ind w:left="-108"/>
              <w:rPr>
                <w:rFonts w:ascii="Arial" w:hAnsi="Arial" w:cs="Arial"/>
                <w:color w:val="4F81BD" w:themeColor="accent1"/>
                <w:lang w:val="es-MX"/>
              </w:rPr>
            </w:pPr>
            <w:r w:rsidRPr="00A13D1B">
              <w:rPr>
                <w:rFonts w:ascii="Arial" w:hAnsi="Arial" w:cs="Arial"/>
                <w:b/>
                <w:color w:val="4F81BD" w:themeColor="accent1"/>
                <w:lang w:val="es-MX"/>
              </w:rPr>
              <w:t>COMISIONADO PONENTE:</w:t>
            </w:r>
            <w:r w:rsidR="006121A8" w:rsidRPr="00A13D1B">
              <w:rPr>
                <w:rFonts w:ascii="Arial" w:hAnsi="Arial" w:cs="Arial"/>
                <w:color w:val="4F81BD" w:themeColor="accent1"/>
                <w:lang w:val="es-MX"/>
              </w:rPr>
              <w:t xml:space="preserve"> </w:t>
            </w:r>
            <w:r w:rsidR="00E11985" w:rsidRPr="00A13D1B">
              <w:rPr>
                <w:rFonts w:ascii="Arial" w:hAnsi="Arial" w:cs="Arial"/>
                <w:color w:val="4F81BD" w:themeColor="accent1"/>
                <w:lang w:val="es-MX"/>
              </w:rPr>
              <w:t>CLAUDIA ELIZABETH ÁVALOS CEDILLO</w:t>
            </w:r>
          </w:p>
        </w:tc>
      </w:tr>
    </w:tbl>
    <w:p w:rsidR="00547C44" w:rsidRPr="00A13D1B" w:rsidRDefault="00547C44" w:rsidP="00547C44">
      <w:pPr>
        <w:jc w:val="right"/>
        <w:rPr>
          <w:rFonts w:ascii="Arial" w:hAnsi="Arial" w:cs="Arial"/>
          <w:b/>
          <w:color w:val="4F81BD" w:themeColor="accent1"/>
          <w:lang w:val="es-MX"/>
        </w:rPr>
      </w:pPr>
    </w:p>
    <w:p w:rsidR="00757558" w:rsidRPr="00A13D1B" w:rsidRDefault="00547C44" w:rsidP="00757558">
      <w:pPr>
        <w:pStyle w:val="Textoindependienteprimerasangra"/>
        <w:spacing w:after="0"/>
        <w:ind w:firstLine="0"/>
        <w:rPr>
          <w:rFonts w:ascii="Arial" w:eastAsia="Arial Unicode MS" w:hAnsi="Arial" w:cs="Arial"/>
          <w:color w:val="4F81BD" w:themeColor="accent1"/>
          <w:szCs w:val="26"/>
          <w:lang w:val="es-MX"/>
        </w:rPr>
      </w:pPr>
      <w:r w:rsidRPr="00A13D1B">
        <w:rPr>
          <w:rFonts w:ascii="Arial" w:hAnsi="Arial" w:cs="Arial"/>
          <w:b/>
          <w:color w:val="4F81BD" w:themeColor="accent1"/>
          <w:lang w:val="es-MX"/>
        </w:rPr>
        <w:tab/>
      </w:r>
      <w:r w:rsidRPr="00A13D1B">
        <w:rPr>
          <w:rFonts w:ascii="Arial" w:eastAsia="Arial Unicode MS" w:hAnsi="Arial" w:cs="Arial"/>
          <w:color w:val="4F81BD" w:themeColor="accent1"/>
          <w:szCs w:val="26"/>
          <w:lang w:val="es-MX"/>
        </w:rPr>
        <w:t>San Luis Potosí,</w:t>
      </w:r>
      <w:r w:rsidR="00952A3F" w:rsidRPr="00A13D1B">
        <w:rPr>
          <w:rFonts w:ascii="Arial" w:eastAsia="Arial Unicode MS" w:hAnsi="Arial" w:cs="Arial"/>
          <w:color w:val="4F81BD" w:themeColor="accent1"/>
          <w:szCs w:val="26"/>
          <w:lang w:val="es-MX"/>
        </w:rPr>
        <w:t xml:space="preserve"> San Luis Potosí</w:t>
      </w:r>
      <w:r w:rsidR="005E43CB" w:rsidRPr="00A13D1B">
        <w:rPr>
          <w:rFonts w:ascii="Arial" w:eastAsia="Arial Unicode MS" w:hAnsi="Arial" w:cs="Arial"/>
          <w:color w:val="4F81BD" w:themeColor="accent1"/>
          <w:szCs w:val="26"/>
          <w:lang w:val="es-MX"/>
        </w:rPr>
        <w:t xml:space="preserve">, </w:t>
      </w:r>
      <w:r w:rsidR="00146107" w:rsidRPr="00A13D1B">
        <w:rPr>
          <w:rFonts w:ascii="Arial" w:eastAsia="Arial Unicode MS" w:hAnsi="Arial" w:cs="Arial"/>
          <w:color w:val="4F81BD" w:themeColor="accent1"/>
          <w:szCs w:val="26"/>
          <w:lang w:val="es-MX"/>
        </w:rPr>
        <w:t>07 siete de marzo de dos mil dieciocho 2018</w:t>
      </w:r>
      <w:r w:rsidR="00757558" w:rsidRPr="00A13D1B">
        <w:rPr>
          <w:rFonts w:ascii="Arial" w:eastAsia="Arial Unicode MS" w:hAnsi="Arial" w:cs="Arial"/>
          <w:color w:val="4F81BD" w:themeColor="accent1"/>
          <w:szCs w:val="26"/>
          <w:lang w:val="es-MX"/>
        </w:rPr>
        <w:t>.</w:t>
      </w:r>
    </w:p>
    <w:p w:rsidR="00757558" w:rsidRPr="00A13D1B" w:rsidRDefault="00757558" w:rsidP="00757558">
      <w:pPr>
        <w:pStyle w:val="Textoindependienteprimerasangra"/>
        <w:spacing w:after="0"/>
        <w:ind w:firstLine="0"/>
        <w:rPr>
          <w:rFonts w:ascii="Arial" w:eastAsia="Arial Unicode MS" w:hAnsi="Arial" w:cs="Arial"/>
          <w:b/>
          <w:color w:val="4F81BD" w:themeColor="accent1"/>
          <w:szCs w:val="26"/>
          <w:lang w:val="es-MX"/>
        </w:rPr>
      </w:pPr>
    </w:p>
    <w:p w:rsidR="006402AF" w:rsidRPr="00A13D1B" w:rsidRDefault="006C2047" w:rsidP="00757558">
      <w:pPr>
        <w:pStyle w:val="Textoindependienteprimerasangra"/>
        <w:spacing w:after="0"/>
        <w:ind w:firstLine="708"/>
        <w:rPr>
          <w:rFonts w:ascii="Arial" w:eastAsia="Arial Unicode MS" w:hAnsi="Arial" w:cs="Arial"/>
          <w:color w:val="4F81BD" w:themeColor="accent1"/>
          <w:szCs w:val="26"/>
          <w:lang w:val="es-MX"/>
        </w:rPr>
      </w:pPr>
      <w:r w:rsidRPr="00A13D1B">
        <w:rPr>
          <w:rFonts w:ascii="Arial" w:eastAsia="Arial Unicode MS" w:hAnsi="Arial" w:cs="Arial"/>
          <w:b/>
          <w:color w:val="4F81BD" w:themeColor="accent1"/>
          <w:szCs w:val="26"/>
          <w:lang w:val="es-MX"/>
        </w:rPr>
        <w:t xml:space="preserve">VISTOS </w:t>
      </w:r>
      <w:r w:rsidRPr="00A13D1B">
        <w:rPr>
          <w:rFonts w:ascii="Arial" w:eastAsia="Arial Unicode MS" w:hAnsi="Arial" w:cs="Arial"/>
          <w:color w:val="4F81BD" w:themeColor="accent1"/>
          <w:szCs w:val="26"/>
          <w:lang w:val="es-MX"/>
        </w:rPr>
        <w:t>para</w:t>
      </w:r>
      <w:r w:rsidR="00547C44" w:rsidRPr="00A13D1B">
        <w:rPr>
          <w:rFonts w:ascii="Arial" w:eastAsia="Arial Unicode MS" w:hAnsi="Arial" w:cs="Arial"/>
          <w:color w:val="4F81BD" w:themeColor="accent1"/>
          <w:szCs w:val="26"/>
          <w:lang w:val="es-MX"/>
        </w:rPr>
        <w:t xml:space="preserve"> resolver los autos que conforman el expediente </w:t>
      </w:r>
      <w:r w:rsidR="008D5290" w:rsidRPr="00A13D1B">
        <w:rPr>
          <w:rFonts w:ascii="Arial" w:eastAsia="Arial Unicode MS" w:hAnsi="Arial" w:cs="Arial"/>
          <w:b/>
          <w:color w:val="4F81BD" w:themeColor="accent1"/>
          <w:szCs w:val="26"/>
          <w:lang w:val="es-MX"/>
        </w:rPr>
        <w:t>051</w:t>
      </w:r>
      <w:r w:rsidR="00146107" w:rsidRPr="00A13D1B">
        <w:rPr>
          <w:rFonts w:ascii="Arial" w:eastAsia="Arial Unicode MS" w:hAnsi="Arial" w:cs="Arial"/>
          <w:b/>
          <w:color w:val="4F81BD" w:themeColor="accent1"/>
          <w:szCs w:val="26"/>
          <w:lang w:val="es-MX"/>
        </w:rPr>
        <w:t>/2018-3</w:t>
      </w:r>
      <w:r w:rsidR="00547C44" w:rsidRPr="00A13D1B">
        <w:rPr>
          <w:rFonts w:ascii="Arial" w:hAnsi="Arial" w:cs="Arial"/>
          <w:b/>
          <w:color w:val="4F81BD" w:themeColor="accent1"/>
          <w:lang w:val="es-MX"/>
        </w:rPr>
        <w:t xml:space="preserve"> </w:t>
      </w:r>
      <w:r w:rsidR="004C0E05" w:rsidRPr="00A13D1B">
        <w:rPr>
          <w:rFonts w:ascii="Arial" w:eastAsia="Arial Unicode MS" w:hAnsi="Arial" w:cs="Arial"/>
          <w:color w:val="4F81BD" w:themeColor="accent1"/>
          <w:szCs w:val="26"/>
          <w:lang w:val="es-MX"/>
        </w:rPr>
        <w:t>del índice de esta C</w:t>
      </w:r>
      <w:r w:rsidR="00547C44" w:rsidRPr="00A13D1B">
        <w:rPr>
          <w:rFonts w:ascii="Arial" w:eastAsia="Arial Unicode MS" w:hAnsi="Arial" w:cs="Arial"/>
          <w:color w:val="4F81BD" w:themeColor="accent1"/>
          <w:szCs w:val="26"/>
          <w:lang w:val="es-MX"/>
        </w:rPr>
        <w:t xml:space="preserve">omisión, relativo al </w:t>
      </w:r>
      <w:r w:rsidR="00AF428B" w:rsidRPr="00A13D1B">
        <w:rPr>
          <w:rFonts w:ascii="Arial" w:eastAsia="Arial Unicode MS" w:hAnsi="Arial" w:cs="Arial"/>
          <w:b/>
          <w:color w:val="4F81BD" w:themeColor="accent1"/>
          <w:szCs w:val="26"/>
          <w:lang w:val="es-MX"/>
        </w:rPr>
        <w:t>recurso de r</w:t>
      </w:r>
      <w:r w:rsidR="00547C44" w:rsidRPr="00A13D1B">
        <w:rPr>
          <w:rFonts w:ascii="Arial" w:eastAsia="Arial Unicode MS" w:hAnsi="Arial" w:cs="Arial"/>
          <w:b/>
          <w:color w:val="4F81BD" w:themeColor="accent1"/>
          <w:szCs w:val="26"/>
          <w:lang w:val="es-MX"/>
        </w:rPr>
        <w:t>evisión</w:t>
      </w:r>
      <w:r w:rsidR="00DE6392" w:rsidRPr="00A13D1B">
        <w:rPr>
          <w:rFonts w:ascii="Arial" w:eastAsia="Arial Unicode MS" w:hAnsi="Arial" w:cs="Arial"/>
          <w:color w:val="4F81BD" w:themeColor="accent1"/>
          <w:szCs w:val="26"/>
          <w:lang w:val="es-MX"/>
        </w:rPr>
        <w:t xml:space="preserve">, interpuesto </w:t>
      </w:r>
      <w:r w:rsidRPr="00A13D1B">
        <w:rPr>
          <w:rFonts w:ascii="Arial" w:eastAsia="Arial Unicode MS" w:hAnsi="Arial" w:cs="Arial"/>
          <w:color w:val="4F81BD" w:themeColor="accent1"/>
          <w:szCs w:val="26"/>
          <w:lang w:val="es-MX"/>
        </w:rPr>
        <w:t xml:space="preserve">en </w:t>
      </w:r>
      <w:r w:rsidR="00DE6392" w:rsidRPr="00A13D1B">
        <w:rPr>
          <w:rFonts w:ascii="Arial" w:eastAsia="Arial Unicode MS" w:hAnsi="Arial" w:cs="Arial"/>
          <w:color w:val="4F81BD" w:themeColor="accent1"/>
          <w:szCs w:val="26"/>
          <w:lang w:val="es-MX"/>
        </w:rPr>
        <w:t xml:space="preserve">contra </w:t>
      </w:r>
      <w:r w:rsidRPr="00A13D1B">
        <w:rPr>
          <w:rFonts w:ascii="Arial" w:eastAsia="Arial Unicode MS" w:hAnsi="Arial" w:cs="Arial"/>
          <w:color w:val="4F81BD" w:themeColor="accent1"/>
          <w:szCs w:val="26"/>
          <w:lang w:val="es-MX"/>
        </w:rPr>
        <w:t>de</w:t>
      </w:r>
      <w:r w:rsidR="00146107" w:rsidRPr="00A13D1B">
        <w:rPr>
          <w:rFonts w:ascii="Arial" w:eastAsia="Arial Unicode MS" w:hAnsi="Arial" w:cs="Arial"/>
          <w:color w:val="4F81BD" w:themeColor="accent1"/>
          <w:szCs w:val="26"/>
          <w:lang w:val="es-MX"/>
        </w:rPr>
        <w:t xml:space="preserve"> la </w:t>
      </w:r>
      <w:r w:rsidR="00146107" w:rsidRPr="00A13D1B">
        <w:rPr>
          <w:rFonts w:ascii="Arial" w:eastAsia="Arial Unicode MS" w:hAnsi="Arial" w:cs="Arial"/>
          <w:b/>
          <w:color w:val="4F81BD" w:themeColor="accent1"/>
          <w:szCs w:val="26"/>
          <w:lang w:val="es-MX"/>
        </w:rPr>
        <w:t>COMISIÓN ESTATAL DE GARANTÍA Y ACCESO A LA INFORMACIÓN PÚBLICA DEL ESTADO (CEGAIP)</w:t>
      </w:r>
      <w:r w:rsidR="00AF428B" w:rsidRPr="00A13D1B">
        <w:rPr>
          <w:rFonts w:ascii="Arial" w:eastAsia="Arial Unicode MS" w:hAnsi="Arial" w:cs="Arial"/>
          <w:b/>
          <w:color w:val="4F81BD" w:themeColor="accent1"/>
          <w:szCs w:val="26"/>
          <w:lang w:val="es-MX"/>
        </w:rPr>
        <w:t>,</w:t>
      </w:r>
      <w:r w:rsidR="00376ABA" w:rsidRPr="00A13D1B">
        <w:rPr>
          <w:rFonts w:ascii="Arial" w:eastAsia="Arial Unicode MS" w:hAnsi="Arial" w:cs="Arial"/>
          <w:b/>
          <w:color w:val="4F81BD" w:themeColor="accent1"/>
          <w:szCs w:val="26"/>
          <w:lang w:val="es-MX"/>
        </w:rPr>
        <w:t xml:space="preserve"> </w:t>
      </w:r>
      <w:r w:rsidR="00AF428B" w:rsidRPr="00A13D1B">
        <w:rPr>
          <w:rFonts w:ascii="Arial" w:eastAsia="Arial Unicode MS" w:hAnsi="Arial" w:cs="Arial"/>
          <w:color w:val="4F81BD" w:themeColor="accent1"/>
          <w:szCs w:val="26"/>
          <w:lang w:val="es-MX"/>
        </w:rPr>
        <w:t>y:</w:t>
      </w:r>
    </w:p>
    <w:p w:rsidR="00547C44" w:rsidRPr="00A13D1B" w:rsidRDefault="00547C44" w:rsidP="00547C44">
      <w:pPr>
        <w:pStyle w:val="Textoindependienteprimerasangra"/>
        <w:spacing w:before="240"/>
        <w:ind w:firstLine="900"/>
        <w:jc w:val="center"/>
        <w:rPr>
          <w:rFonts w:ascii="Arial" w:eastAsia="Arial Unicode MS" w:hAnsi="Arial" w:cs="Arial"/>
          <w:b/>
          <w:color w:val="4F81BD" w:themeColor="accent1"/>
          <w:szCs w:val="26"/>
          <w:lang w:val="es-MX"/>
        </w:rPr>
      </w:pPr>
      <w:r w:rsidRPr="00A13D1B">
        <w:rPr>
          <w:rFonts w:ascii="Arial" w:eastAsia="Arial Unicode MS" w:hAnsi="Arial" w:cs="Arial"/>
          <w:b/>
          <w:color w:val="4F81BD" w:themeColor="accent1"/>
          <w:szCs w:val="26"/>
          <w:lang w:val="es-MX"/>
        </w:rPr>
        <w:t>A N T E C E D E N T E S:</w:t>
      </w:r>
    </w:p>
    <w:p w:rsidR="00EC2D02" w:rsidRPr="00A13D1B" w:rsidRDefault="00547C44" w:rsidP="00C00C60">
      <w:pPr>
        <w:pStyle w:val="Textoindependienteprimerasangra"/>
        <w:spacing w:before="240"/>
        <w:ind w:firstLine="900"/>
        <w:rPr>
          <w:rFonts w:ascii="Arial" w:eastAsia="Arial Unicode MS" w:hAnsi="Arial" w:cs="Arial"/>
          <w:color w:val="4F81BD" w:themeColor="accent1"/>
          <w:szCs w:val="26"/>
          <w:lang w:val="es-MX"/>
        </w:rPr>
      </w:pPr>
      <w:r w:rsidRPr="00A13D1B">
        <w:rPr>
          <w:rFonts w:ascii="Arial" w:eastAsia="Arial Unicode MS" w:hAnsi="Arial" w:cs="Arial"/>
          <w:b/>
          <w:color w:val="4F81BD" w:themeColor="accent1"/>
          <w:szCs w:val="26"/>
          <w:lang w:val="es-MX"/>
        </w:rPr>
        <w:t xml:space="preserve">PRIMERO. Solicitud de Información. </w:t>
      </w:r>
      <w:r w:rsidRPr="00A13D1B">
        <w:rPr>
          <w:rFonts w:ascii="Arial" w:eastAsia="Arial Unicode MS" w:hAnsi="Arial" w:cs="Arial"/>
          <w:color w:val="4F81BD" w:themeColor="accent1"/>
          <w:szCs w:val="26"/>
          <w:lang w:val="es-MX"/>
        </w:rPr>
        <w:t xml:space="preserve">El </w:t>
      </w:r>
      <w:r w:rsidR="00146107" w:rsidRPr="00A13D1B">
        <w:rPr>
          <w:rFonts w:ascii="Arial" w:eastAsia="Arial Unicode MS" w:hAnsi="Arial" w:cs="Arial"/>
          <w:color w:val="4F81BD" w:themeColor="accent1"/>
          <w:szCs w:val="26"/>
          <w:lang w:val="es-MX"/>
        </w:rPr>
        <w:t>17 diecisiete de enero de 2018 dos mil dieciocho</w:t>
      </w:r>
      <w:r w:rsidRPr="00A13D1B">
        <w:rPr>
          <w:rFonts w:ascii="Arial" w:eastAsia="Arial Unicode MS" w:hAnsi="Arial" w:cs="Arial"/>
          <w:color w:val="4F81BD" w:themeColor="accent1"/>
          <w:szCs w:val="26"/>
          <w:lang w:val="es-MX"/>
        </w:rPr>
        <w:t xml:space="preserve">, </w:t>
      </w:r>
      <w:r w:rsidR="001C2CCE" w:rsidRPr="00A13D1B">
        <w:rPr>
          <w:rFonts w:ascii="Arial" w:eastAsia="Arial Unicode MS" w:hAnsi="Arial" w:cs="Arial"/>
          <w:color w:val="4F81BD" w:themeColor="accent1"/>
          <w:szCs w:val="26"/>
          <w:lang w:val="es-MX"/>
        </w:rPr>
        <w:t>el</w:t>
      </w:r>
      <w:r w:rsidR="00820601" w:rsidRPr="00A13D1B">
        <w:rPr>
          <w:rFonts w:ascii="Arial" w:eastAsia="Arial Unicode MS" w:hAnsi="Arial" w:cs="Arial"/>
          <w:color w:val="4F81BD" w:themeColor="accent1"/>
          <w:szCs w:val="26"/>
          <w:lang w:val="es-MX"/>
        </w:rPr>
        <w:t xml:space="preserve"> </w:t>
      </w:r>
      <w:r w:rsidR="003542FF" w:rsidRPr="00A13D1B">
        <w:rPr>
          <w:rFonts w:ascii="Arial" w:eastAsia="Arial Unicode MS" w:hAnsi="Arial" w:cs="Arial"/>
          <w:color w:val="4F81BD" w:themeColor="accent1"/>
          <w:szCs w:val="26"/>
          <w:lang w:val="es-MX"/>
        </w:rPr>
        <w:t>hoy recurrente</w:t>
      </w:r>
      <w:r w:rsidR="00820601" w:rsidRPr="00A13D1B">
        <w:rPr>
          <w:rFonts w:ascii="Arial" w:eastAsia="Arial Unicode MS" w:hAnsi="Arial" w:cs="Arial"/>
          <w:color w:val="4F81BD" w:themeColor="accent1"/>
          <w:szCs w:val="26"/>
          <w:lang w:val="es-MX"/>
        </w:rPr>
        <w:t>,</w:t>
      </w:r>
      <w:r w:rsidR="00C63190" w:rsidRPr="00A13D1B">
        <w:rPr>
          <w:rFonts w:ascii="Arial" w:eastAsia="Arial Unicode MS" w:hAnsi="Arial" w:cs="Arial"/>
          <w:b/>
          <w:color w:val="4F81BD" w:themeColor="accent1"/>
          <w:szCs w:val="26"/>
          <w:lang w:val="es-MX"/>
        </w:rPr>
        <w:t xml:space="preserve"> </w:t>
      </w:r>
      <w:r w:rsidR="00EC2D02" w:rsidRPr="00A13D1B">
        <w:rPr>
          <w:rFonts w:ascii="Arial" w:eastAsia="Arial Unicode MS" w:hAnsi="Arial" w:cs="Arial"/>
          <w:color w:val="4F81BD" w:themeColor="accent1"/>
          <w:szCs w:val="26"/>
          <w:lang w:val="es-MX"/>
        </w:rPr>
        <w:t xml:space="preserve">presentó </w:t>
      </w:r>
      <w:r w:rsidR="008F7CBE" w:rsidRPr="00A13D1B">
        <w:rPr>
          <w:rFonts w:ascii="Arial" w:eastAsia="Arial Unicode MS" w:hAnsi="Arial" w:cs="Arial"/>
          <w:color w:val="4F81BD" w:themeColor="accent1"/>
          <w:szCs w:val="26"/>
          <w:lang w:val="es-MX"/>
        </w:rPr>
        <w:t>una solicitud de información, a trav</w:t>
      </w:r>
      <w:r w:rsidR="002A59A9" w:rsidRPr="00A13D1B">
        <w:rPr>
          <w:rFonts w:ascii="Arial" w:eastAsia="Arial Unicode MS" w:hAnsi="Arial" w:cs="Arial"/>
          <w:color w:val="4F81BD" w:themeColor="accent1"/>
          <w:szCs w:val="26"/>
          <w:lang w:val="es-MX"/>
        </w:rPr>
        <w:t xml:space="preserve">és de la </w:t>
      </w:r>
      <w:r w:rsidR="00EC2D02" w:rsidRPr="00A13D1B">
        <w:rPr>
          <w:rFonts w:ascii="Arial" w:eastAsia="Arial Unicode MS" w:hAnsi="Arial" w:cs="Arial"/>
          <w:color w:val="4F81BD" w:themeColor="accent1"/>
          <w:szCs w:val="26"/>
          <w:lang w:val="es-MX"/>
        </w:rPr>
        <w:t>Plata</w:t>
      </w:r>
      <w:r w:rsidR="00146107" w:rsidRPr="00A13D1B">
        <w:rPr>
          <w:rFonts w:ascii="Arial" w:eastAsia="Arial Unicode MS" w:hAnsi="Arial" w:cs="Arial"/>
          <w:color w:val="4F81BD" w:themeColor="accent1"/>
          <w:szCs w:val="26"/>
          <w:lang w:val="es-MX"/>
        </w:rPr>
        <w:t>forma Nacional de Transparencia a la Comisión Estatal de Garantía y Acceso a la Información Pública del Estado</w:t>
      </w:r>
      <w:r w:rsidR="00376ABA" w:rsidRPr="00A13D1B">
        <w:rPr>
          <w:rFonts w:ascii="Arial" w:eastAsia="Arial Unicode MS" w:hAnsi="Arial" w:cs="Arial"/>
          <w:color w:val="4F81BD" w:themeColor="accent1"/>
          <w:szCs w:val="26"/>
          <w:lang w:val="es-MX"/>
        </w:rPr>
        <w:t xml:space="preserve">, </w:t>
      </w:r>
      <w:r w:rsidR="00EC2D02" w:rsidRPr="00A13D1B">
        <w:rPr>
          <w:rFonts w:ascii="Arial" w:eastAsia="Arial Unicode MS" w:hAnsi="Arial" w:cs="Arial"/>
          <w:color w:val="4F81BD" w:themeColor="accent1"/>
          <w:szCs w:val="26"/>
          <w:lang w:val="es-MX"/>
        </w:rPr>
        <w:t xml:space="preserve">la cual </w:t>
      </w:r>
      <w:r w:rsidR="009C7DD9" w:rsidRPr="00A13D1B">
        <w:rPr>
          <w:rFonts w:ascii="Arial" w:eastAsia="Arial Unicode MS" w:hAnsi="Arial" w:cs="Arial"/>
          <w:color w:val="4F81BD" w:themeColor="accent1"/>
          <w:szCs w:val="26"/>
          <w:lang w:val="es-MX"/>
        </w:rPr>
        <w:t xml:space="preserve">quedó registrada bajo el folio </w:t>
      </w:r>
      <w:r w:rsidR="00146107" w:rsidRPr="00A13D1B">
        <w:rPr>
          <w:rFonts w:ascii="Arial" w:eastAsia="Arial Unicode MS" w:hAnsi="Arial" w:cs="Arial"/>
          <w:color w:val="4F81BD" w:themeColor="accent1"/>
          <w:szCs w:val="26"/>
          <w:lang w:val="es-MX"/>
        </w:rPr>
        <w:t>00019618</w:t>
      </w:r>
      <w:r w:rsidR="004B132D" w:rsidRPr="00A13D1B">
        <w:rPr>
          <w:rFonts w:ascii="Arial" w:eastAsia="Arial Unicode MS" w:hAnsi="Arial" w:cs="Arial"/>
          <w:color w:val="4F81BD" w:themeColor="accent1"/>
          <w:szCs w:val="26"/>
          <w:lang w:val="es-MX"/>
        </w:rPr>
        <w:t>, en</w:t>
      </w:r>
      <w:r w:rsidR="009C7DD9" w:rsidRPr="00A13D1B">
        <w:rPr>
          <w:rFonts w:ascii="Arial" w:eastAsia="Arial Unicode MS" w:hAnsi="Arial" w:cs="Arial"/>
          <w:color w:val="4F81BD" w:themeColor="accent1"/>
          <w:szCs w:val="26"/>
          <w:lang w:val="es-MX"/>
        </w:rPr>
        <w:t xml:space="preserve"> la que </w:t>
      </w:r>
      <w:r w:rsidR="00EC2D02" w:rsidRPr="00A13D1B">
        <w:rPr>
          <w:rFonts w:ascii="Arial" w:eastAsia="Arial Unicode MS" w:hAnsi="Arial" w:cs="Arial"/>
          <w:color w:val="4F81BD" w:themeColor="accent1"/>
          <w:szCs w:val="26"/>
          <w:lang w:val="es-MX"/>
        </w:rPr>
        <w:t>l</w:t>
      </w:r>
      <w:r w:rsidR="00DE6392" w:rsidRPr="00A13D1B">
        <w:rPr>
          <w:rFonts w:ascii="Arial" w:eastAsia="Arial Unicode MS" w:hAnsi="Arial" w:cs="Arial"/>
          <w:color w:val="4F81BD" w:themeColor="accent1"/>
          <w:szCs w:val="26"/>
          <w:lang w:val="es-MX"/>
        </w:rPr>
        <w:t>a</w:t>
      </w:r>
      <w:r w:rsidR="00EC2D02" w:rsidRPr="00A13D1B">
        <w:rPr>
          <w:rFonts w:ascii="Arial" w:eastAsia="Arial Unicode MS" w:hAnsi="Arial" w:cs="Arial"/>
          <w:color w:val="4F81BD" w:themeColor="accent1"/>
          <w:szCs w:val="26"/>
          <w:lang w:val="es-MX"/>
        </w:rPr>
        <w:t xml:space="preserve"> solicitante </w:t>
      </w:r>
      <w:r w:rsidR="009C7DD9" w:rsidRPr="00A13D1B">
        <w:rPr>
          <w:rFonts w:ascii="Arial" w:eastAsia="Arial Unicode MS" w:hAnsi="Arial" w:cs="Arial"/>
          <w:color w:val="4F81BD" w:themeColor="accent1"/>
          <w:szCs w:val="26"/>
          <w:lang w:val="es-MX"/>
        </w:rPr>
        <w:t xml:space="preserve">requirió lo siguiente: </w:t>
      </w:r>
    </w:p>
    <w:p w:rsidR="00E66497" w:rsidRPr="00A13D1B" w:rsidRDefault="00547C44" w:rsidP="001C2CCE">
      <w:pPr>
        <w:pStyle w:val="Textoindependienteprimerasangra"/>
        <w:spacing w:before="240" w:line="276" w:lineRule="auto"/>
        <w:ind w:left="284" w:firstLine="283"/>
        <w:rPr>
          <w:rFonts w:ascii="Arial" w:eastAsia="Arial Unicode MS" w:hAnsi="Arial" w:cs="Arial"/>
          <w:i/>
          <w:color w:val="4F81BD" w:themeColor="accent1"/>
          <w:sz w:val="24"/>
          <w:szCs w:val="26"/>
          <w:lang w:val="es-MX"/>
        </w:rPr>
      </w:pPr>
      <w:r w:rsidRPr="00A13D1B">
        <w:rPr>
          <w:rFonts w:ascii="Arial" w:eastAsia="Arial Unicode MS" w:hAnsi="Arial" w:cs="Arial"/>
          <w:i/>
          <w:color w:val="4F81BD" w:themeColor="accent1"/>
          <w:sz w:val="24"/>
          <w:szCs w:val="26"/>
          <w:lang w:val="es-MX"/>
        </w:rPr>
        <w:t>“</w:t>
      </w:r>
      <w:r w:rsidR="009349BD">
        <w:rPr>
          <w:rFonts w:ascii="Arial" w:eastAsia="Arial Unicode MS" w:hAnsi="Arial" w:cs="Arial"/>
          <w:i/>
          <w:color w:val="4F81BD" w:themeColor="accent1"/>
          <w:sz w:val="24"/>
          <w:szCs w:val="26"/>
          <w:lang w:val="es-MX"/>
        </w:rPr>
        <w:t>E</w:t>
      </w:r>
      <w:r w:rsidR="00146107" w:rsidRPr="00A13D1B">
        <w:rPr>
          <w:rFonts w:ascii="Arial" w:eastAsia="Arial Unicode MS" w:hAnsi="Arial" w:cs="Arial"/>
          <w:i/>
          <w:color w:val="4F81BD" w:themeColor="accent1"/>
          <w:sz w:val="24"/>
          <w:szCs w:val="26"/>
          <w:lang w:val="es-MX"/>
        </w:rPr>
        <w:t>n su página es evidente que hay muchos sujetos obligados que ni siquiera llegan a un 50% de sus obligaciones de transparencia, solicito las evidencias en las que se muestren las acciones que ha tomado esta comisión para que dichos sujetos obligados cumplan con sus obligaciones en materia de transparencia, ya que están demasiado concentrados en ciertos sujetos obligados que pareciera que no interesan todos aquellos que no cuentan con información que brindar a la ciudadanía y la CEGAIP no comunica nada</w:t>
      </w:r>
      <w:r w:rsidR="00EC2D02" w:rsidRPr="00A13D1B">
        <w:rPr>
          <w:rFonts w:ascii="Arial" w:eastAsia="Arial Unicode MS" w:hAnsi="Arial" w:cs="Arial"/>
          <w:i/>
          <w:color w:val="4F81BD" w:themeColor="accent1"/>
          <w:sz w:val="24"/>
          <w:szCs w:val="26"/>
          <w:lang w:val="es-MX"/>
        </w:rPr>
        <w:t>”</w:t>
      </w:r>
    </w:p>
    <w:p w:rsidR="00AC6D55" w:rsidRPr="00A13D1B" w:rsidRDefault="00AC6D55" w:rsidP="00E66497">
      <w:pPr>
        <w:pStyle w:val="Textoindependienteprimerasangra"/>
        <w:spacing w:line="240" w:lineRule="auto"/>
        <w:ind w:left="851" w:firstLine="900"/>
        <w:rPr>
          <w:rFonts w:ascii="Arial" w:eastAsia="Arial Unicode MS" w:hAnsi="Arial" w:cs="Arial"/>
          <w:i/>
          <w:color w:val="4F81BD" w:themeColor="accent1"/>
          <w:sz w:val="22"/>
          <w:szCs w:val="26"/>
          <w:lang w:val="es-MX"/>
        </w:rPr>
      </w:pPr>
    </w:p>
    <w:p w:rsidR="00EA7087" w:rsidRPr="00A13D1B" w:rsidRDefault="00C00C60" w:rsidP="00FD2E01">
      <w:pPr>
        <w:pStyle w:val="Textoindependienteprimerasangra"/>
        <w:spacing w:before="240"/>
        <w:ind w:firstLine="900"/>
        <w:rPr>
          <w:rFonts w:ascii="Arial" w:hAnsi="Arial" w:cs="Arial"/>
          <w:color w:val="4F81BD" w:themeColor="accent1"/>
        </w:rPr>
      </w:pPr>
      <w:r w:rsidRPr="00A13D1B">
        <w:rPr>
          <w:rFonts w:ascii="Arial" w:hAnsi="Arial" w:cs="Arial"/>
          <w:b/>
          <w:color w:val="4F81BD" w:themeColor="accent1"/>
          <w:szCs w:val="26"/>
          <w:lang w:val="es-MX"/>
        </w:rPr>
        <w:t>SEGUNDO. Respuesta a la solicitud de acceso a la información pública.</w:t>
      </w:r>
      <w:r w:rsidR="009C7DD9" w:rsidRPr="00A13D1B">
        <w:rPr>
          <w:rFonts w:ascii="Arial" w:hAnsi="Arial" w:cs="Arial"/>
          <w:b/>
          <w:color w:val="4F81BD" w:themeColor="accent1"/>
          <w:szCs w:val="26"/>
          <w:lang w:val="es-MX"/>
        </w:rPr>
        <w:t xml:space="preserve"> </w:t>
      </w:r>
      <w:r w:rsidR="009C7DD9" w:rsidRPr="00A13D1B">
        <w:rPr>
          <w:rFonts w:ascii="Arial" w:hAnsi="Arial" w:cs="Arial"/>
          <w:color w:val="4F81BD" w:themeColor="accent1"/>
        </w:rPr>
        <w:t>Según consta registrado en la Plataforma Nacional de Transparencia, el s</w:t>
      </w:r>
      <w:r w:rsidR="00FD2E01" w:rsidRPr="00A13D1B">
        <w:rPr>
          <w:rFonts w:ascii="Arial" w:hAnsi="Arial" w:cs="Arial"/>
          <w:color w:val="4F81BD" w:themeColor="accent1"/>
        </w:rPr>
        <w:t>u</w:t>
      </w:r>
      <w:r w:rsidR="009C7DD9" w:rsidRPr="00A13D1B">
        <w:rPr>
          <w:rFonts w:ascii="Arial" w:hAnsi="Arial" w:cs="Arial"/>
          <w:color w:val="4F81BD" w:themeColor="accent1"/>
        </w:rPr>
        <w:t>je</w:t>
      </w:r>
      <w:r w:rsidR="00146107" w:rsidRPr="00A13D1B">
        <w:rPr>
          <w:rFonts w:ascii="Arial" w:hAnsi="Arial" w:cs="Arial"/>
          <w:color w:val="4F81BD" w:themeColor="accent1"/>
        </w:rPr>
        <w:t xml:space="preserve">to notificó su respuesta al particular en 24 </w:t>
      </w:r>
      <w:r w:rsidR="00146107" w:rsidRPr="00A13D1B">
        <w:rPr>
          <w:rFonts w:ascii="Arial" w:hAnsi="Arial" w:cs="Arial"/>
          <w:color w:val="4F81BD" w:themeColor="accent1"/>
        </w:rPr>
        <w:lastRenderedPageBreak/>
        <w:t>veinticuatro de enero de 2018 dos mil dieciocho</w:t>
      </w:r>
      <w:r w:rsidR="00EA7087" w:rsidRPr="00A13D1B">
        <w:rPr>
          <w:rFonts w:ascii="Arial" w:hAnsi="Arial" w:cs="Arial"/>
          <w:color w:val="4F81BD" w:themeColor="accent1"/>
        </w:rPr>
        <w:t xml:space="preserve">, </w:t>
      </w:r>
      <w:r w:rsidR="00FD2E01" w:rsidRPr="00A13D1B">
        <w:rPr>
          <w:rFonts w:ascii="Arial" w:hAnsi="Arial" w:cs="Arial"/>
          <w:color w:val="4F81BD" w:themeColor="accent1"/>
        </w:rPr>
        <w:t xml:space="preserve">en los siguientes términos: </w:t>
      </w:r>
    </w:p>
    <w:p w:rsidR="001C2CCE" w:rsidRPr="00A13D1B" w:rsidRDefault="00EA7087" w:rsidP="00146107">
      <w:pPr>
        <w:pStyle w:val="Textoindependienteprimerasangra"/>
        <w:spacing w:before="240" w:line="276" w:lineRule="auto"/>
        <w:ind w:firstLine="900"/>
        <w:rPr>
          <w:rFonts w:ascii="Arial" w:eastAsia="Arial Unicode MS" w:hAnsi="Arial" w:cs="Arial"/>
          <w:i/>
          <w:color w:val="4F81BD" w:themeColor="accent1"/>
          <w:sz w:val="22"/>
          <w:szCs w:val="22"/>
          <w:lang w:val="es-MX"/>
        </w:rPr>
      </w:pPr>
      <w:r w:rsidRPr="00A13D1B">
        <w:rPr>
          <w:rFonts w:ascii="Arial" w:eastAsia="Arial Unicode MS" w:hAnsi="Arial" w:cs="Arial"/>
          <w:i/>
          <w:color w:val="4F81BD" w:themeColor="accent1"/>
          <w:sz w:val="22"/>
          <w:szCs w:val="22"/>
          <w:lang w:val="es-MX"/>
        </w:rPr>
        <w:t>“</w:t>
      </w:r>
      <w:r w:rsidR="00146107" w:rsidRPr="00A13D1B">
        <w:rPr>
          <w:rFonts w:ascii="Arial" w:eastAsia="Arial Unicode MS" w:hAnsi="Arial" w:cs="Arial"/>
          <w:i/>
          <w:color w:val="4F81BD" w:themeColor="accent1"/>
          <w:sz w:val="22"/>
          <w:szCs w:val="22"/>
          <w:lang w:val="es-MX"/>
        </w:rPr>
        <w:t>Me permito remitir en archivo adjunto, la respuesta proporcionada por la Unidad Administrativa correspondiente.</w:t>
      </w:r>
      <w:r w:rsidR="001C2CCE" w:rsidRPr="00A13D1B">
        <w:rPr>
          <w:rFonts w:ascii="Arial" w:eastAsia="Arial Unicode MS" w:hAnsi="Arial" w:cs="Arial"/>
          <w:i/>
          <w:color w:val="4F81BD" w:themeColor="accent1"/>
          <w:sz w:val="22"/>
          <w:szCs w:val="22"/>
          <w:lang w:val="es-MX"/>
        </w:rPr>
        <w:t>”</w:t>
      </w:r>
    </w:p>
    <w:p w:rsidR="000A7F35" w:rsidRPr="00A13D1B" w:rsidRDefault="000A7F35" w:rsidP="001C2CCE">
      <w:pPr>
        <w:pStyle w:val="Textoindependienteprimerasangra"/>
        <w:spacing w:after="0" w:line="240" w:lineRule="auto"/>
        <w:ind w:firstLine="0"/>
        <w:rPr>
          <w:rFonts w:ascii="Arial" w:eastAsia="Arial Unicode MS" w:hAnsi="Arial" w:cs="Arial"/>
          <w:color w:val="4F81BD" w:themeColor="accent1"/>
          <w:sz w:val="18"/>
          <w:szCs w:val="18"/>
          <w:lang w:val="es-MX"/>
        </w:rPr>
      </w:pPr>
    </w:p>
    <w:p w:rsidR="001C2CCE" w:rsidRPr="00A13D1B" w:rsidRDefault="0066632E" w:rsidP="00CF4889">
      <w:pPr>
        <w:ind w:firstLine="708"/>
        <w:rPr>
          <w:rFonts w:ascii="Arial" w:eastAsia="Arial Unicode MS" w:hAnsi="Arial" w:cs="Arial"/>
          <w:color w:val="4F81BD" w:themeColor="accent1"/>
          <w:sz w:val="22"/>
          <w:szCs w:val="26"/>
          <w:lang w:val="es-MX"/>
        </w:rPr>
      </w:pPr>
      <w:r w:rsidRPr="00A13D1B">
        <w:rPr>
          <w:rFonts w:ascii="Arial" w:eastAsia="Arial Unicode MS" w:hAnsi="Arial" w:cs="Arial"/>
          <w:b/>
          <w:color w:val="4F81BD" w:themeColor="accent1"/>
        </w:rPr>
        <w:t>TERCERO</w:t>
      </w:r>
      <w:r w:rsidR="00547C44" w:rsidRPr="00A13D1B">
        <w:rPr>
          <w:rFonts w:ascii="Arial" w:hAnsi="Arial" w:cs="Arial"/>
          <w:b/>
          <w:color w:val="4F81BD" w:themeColor="accent1"/>
          <w:szCs w:val="26"/>
        </w:rPr>
        <w:t xml:space="preserve">. Interposición del recurso de revisión. </w:t>
      </w:r>
      <w:r w:rsidR="00FD7C4C" w:rsidRPr="00A13D1B">
        <w:rPr>
          <w:rFonts w:ascii="Arial" w:eastAsia="Arial Unicode MS" w:hAnsi="Arial" w:cs="Arial"/>
          <w:color w:val="4F81BD" w:themeColor="accent1"/>
          <w:szCs w:val="26"/>
          <w:lang w:val="es-MX"/>
        </w:rPr>
        <w:t xml:space="preserve">El </w:t>
      </w:r>
      <w:r w:rsidR="00072E88" w:rsidRPr="00A13D1B">
        <w:rPr>
          <w:rFonts w:ascii="Arial" w:eastAsia="Arial Unicode MS" w:hAnsi="Arial" w:cs="Arial"/>
          <w:color w:val="4F81BD" w:themeColor="accent1"/>
          <w:szCs w:val="26"/>
          <w:lang w:val="es-MX"/>
        </w:rPr>
        <w:t>25 veinticinco de enero de 2018 dos mil dieciocho</w:t>
      </w:r>
      <w:r w:rsidR="00547C44" w:rsidRPr="00A13D1B">
        <w:rPr>
          <w:rFonts w:ascii="Arial" w:hAnsi="Arial" w:cs="Arial"/>
          <w:color w:val="4F81BD" w:themeColor="accent1"/>
          <w:szCs w:val="26"/>
        </w:rPr>
        <w:t xml:space="preserve">, </w:t>
      </w:r>
      <w:r w:rsidR="00CF4889" w:rsidRPr="00A13D1B">
        <w:rPr>
          <w:rFonts w:ascii="Arial" w:hAnsi="Arial" w:cs="Arial"/>
          <w:color w:val="4F81BD" w:themeColor="accent1"/>
          <w:szCs w:val="26"/>
        </w:rPr>
        <w:t>se interpuso el recurso de revisión en la Plata</w:t>
      </w:r>
      <w:r w:rsidR="00072E88" w:rsidRPr="00A13D1B">
        <w:rPr>
          <w:rFonts w:ascii="Arial" w:hAnsi="Arial" w:cs="Arial"/>
          <w:color w:val="4F81BD" w:themeColor="accent1"/>
          <w:szCs w:val="26"/>
        </w:rPr>
        <w:t>forma Nacional de Transparencia,</w:t>
      </w:r>
      <w:r w:rsidR="00CF4889" w:rsidRPr="00A13D1B">
        <w:rPr>
          <w:rFonts w:ascii="Arial" w:hAnsi="Arial" w:cs="Arial"/>
          <w:color w:val="4F81BD" w:themeColor="accent1"/>
          <w:szCs w:val="26"/>
        </w:rPr>
        <w:t xml:space="preserve"> y señaló como motivos de inconformidad: </w:t>
      </w:r>
    </w:p>
    <w:p w:rsidR="00CF4889" w:rsidRPr="00A13D1B" w:rsidRDefault="00CF4889" w:rsidP="00E22573">
      <w:pPr>
        <w:spacing w:line="240" w:lineRule="auto"/>
        <w:ind w:firstLine="708"/>
        <w:rPr>
          <w:rFonts w:ascii="Arial" w:eastAsia="Arial Unicode MS" w:hAnsi="Arial" w:cs="Arial"/>
          <w:i/>
          <w:color w:val="4F81BD" w:themeColor="accent1"/>
          <w:sz w:val="22"/>
          <w:szCs w:val="26"/>
          <w:lang w:val="es-MX"/>
        </w:rPr>
      </w:pPr>
    </w:p>
    <w:p w:rsidR="00073266" w:rsidRPr="00A13D1B" w:rsidRDefault="000657E0" w:rsidP="00E22573">
      <w:pPr>
        <w:spacing w:line="240" w:lineRule="auto"/>
        <w:ind w:firstLine="708"/>
        <w:rPr>
          <w:rFonts w:ascii="Arial" w:eastAsia="Arial Unicode MS" w:hAnsi="Arial" w:cs="Arial"/>
          <w:i/>
          <w:color w:val="4F81BD" w:themeColor="accent1"/>
          <w:sz w:val="22"/>
          <w:szCs w:val="26"/>
          <w:lang w:val="es-MX"/>
        </w:rPr>
      </w:pPr>
      <w:r w:rsidRPr="00A13D1B">
        <w:rPr>
          <w:rFonts w:ascii="Arial" w:eastAsia="Arial Unicode MS" w:hAnsi="Arial" w:cs="Arial"/>
          <w:i/>
          <w:color w:val="4F81BD" w:themeColor="accent1"/>
          <w:sz w:val="22"/>
          <w:szCs w:val="26"/>
          <w:lang w:val="es-MX"/>
        </w:rPr>
        <w:t>“</w:t>
      </w:r>
      <w:r w:rsidR="00072E88" w:rsidRPr="00A13D1B">
        <w:rPr>
          <w:rFonts w:ascii="Arial" w:eastAsia="Arial Unicode MS" w:hAnsi="Arial" w:cs="Arial"/>
          <w:i/>
          <w:color w:val="4F81BD" w:themeColor="accent1"/>
          <w:sz w:val="22"/>
          <w:szCs w:val="26"/>
          <w:lang w:val="es-MX"/>
        </w:rPr>
        <w:t xml:space="preserve">NO SE ME DIIO LO QUE SOLICITÉ PEDÍ EVIDENCIA  Y NO SE ME DAN, ADEMAS DE QUE DICE QUE A PARTIR DEL PRIMER DÍA DE ESTE AÑO ES FECHA 25 Y SE SUPONE DEBE DE TENER YA LAS ACCIONES IMPLEMENTADAS Y DICE QUE SE ESTA YA EN VERIFICACIÓN Y NO SE ME DICE A </w:t>
      </w:r>
      <w:proofErr w:type="spellStart"/>
      <w:r w:rsidR="00072E88" w:rsidRPr="00A13D1B">
        <w:rPr>
          <w:rFonts w:ascii="Arial" w:eastAsia="Arial Unicode MS" w:hAnsi="Arial" w:cs="Arial"/>
          <w:i/>
          <w:color w:val="4F81BD" w:themeColor="accent1"/>
          <w:sz w:val="22"/>
          <w:szCs w:val="26"/>
          <w:lang w:val="es-MX"/>
        </w:rPr>
        <w:t>A</w:t>
      </w:r>
      <w:proofErr w:type="spellEnd"/>
      <w:r w:rsidR="00072E88" w:rsidRPr="00A13D1B">
        <w:rPr>
          <w:rFonts w:ascii="Arial" w:eastAsia="Arial Unicode MS" w:hAnsi="Arial" w:cs="Arial"/>
          <w:i/>
          <w:color w:val="4F81BD" w:themeColor="accent1"/>
          <w:sz w:val="22"/>
          <w:szCs w:val="26"/>
          <w:lang w:val="es-MX"/>
        </w:rPr>
        <w:t xml:space="preserve"> QUIEN Y CUANDO TERMINA LA VERIFICACIÓN DEBE DE SER CONCRETO TENER FECHAS Y NO SOLO DECIR QUE SE ESTA TRABAJANDO DEBE DE TENER UN PLAN DE TRABAJO CON FECHAS ESO ES LO QUE NECESITO UNA EVIDENCIA DE LAS ACCIONES QUE ESTA TOMANDO NO SOLO DECIR QUE SE ESTA VERIFICANDO CUANTO DURA ESE PROCEDO DE VERIFICACIÓN "ACCIONES COMISIONADOS QUEREMOS ACCIONES"</w:t>
      </w:r>
      <w:r w:rsidR="0011618F" w:rsidRPr="00A13D1B">
        <w:rPr>
          <w:rFonts w:ascii="Arial" w:eastAsia="Arial Unicode MS" w:hAnsi="Arial" w:cs="Arial"/>
          <w:i/>
          <w:color w:val="4F81BD" w:themeColor="accent1"/>
          <w:sz w:val="22"/>
          <w:szCs w:val="26"/>
          <w:lang w:val="es-MX"/>
        </w:rPr>
        <w:t>.</w:t>
      </w:r>
    </w:p>
    <w:p w:rsidR="00072E88" w:rsidRPr="00A13D1B" w:rsidRDefault="00072E88" w:rsidP="00073266">
      <w:pPr>
        <w:spacing w:after="240"/>
        <w:ind w:firstLine="708"/>
        <w:rPr>
          <w:rFonts w:ascii="Arial" w:hAnsi="Arial" w:cs="Arial"/>
          <w:b/>
          <w:color w:val="4F81BD" w:themeColor="accent1"/>
        </w:rPr>
      </w:pPr>
    </w:p>
    <w:p w:rsidR="00547C44" w:rsidRPr="00A13D1B" w:rsidRDefault="00E13F78" w:rsidP="00073266">
      <w:pPr>
        <w:spacing w:after="240"/>
        <w:ind w:firstLine="708"/>
        <w:rPr>
          <w:rFonts w:ascii="Arial" w:hAnsi="Arial" w:cs="Arial"/>
          <w:color w:val="4F81BD" w:themeColor="accent1"/>
        </w:rPr>
      </w:pPr>
      <w:r w:rsidRPr="00A13D1B">
        <w:rPr>
          <w:rFonts w:ascii="Arial" w:hAnsi="Arial" w:cs="Arial"/>
          <w:b/>
          <w:color w:val="4F81BD" w:themeColor="accent1"/>
        </w:rPr>
        <w:t xml:space="preserve">CUARTO. </w:t>
      </w:r>
      <w:r w:rsidR="00547C44" w:rsidRPr="00A13D1B">
        <w:rPr>
          <w:rFonts w:ascii="Arial" w:hAnsi="Arial" w:cs="Arial"/>
          <w:b/>
          <w:color w:val="4F81BD" w:themeColor="accent1"/>
        </w:rPr>
        <w:t>Turno.</w:t>
      </w:r>
      <w:r w:rsidR="00547C44" w:rsidRPr="00A13D1B">
        <w:rPr>
          <w:rFonts w:ascii="Arial" w:hAnsi="Arial" w:cs="Arial"/>
          <w:color w:val="4F81BD" w:themeColor="accent1"/>
        </w:rPr>
        <w:t xml:space="preserve"> De conformidad con el artículo 174, fracción I de la Ley de Transparencia y Acceso a la Información Pública del Estado, el recurso de revisión R</w:t>
      </w:r>
      <w:r w:rsidR="00072E88" w:rsidRPr="00A13D1B">
        <w:rPr>
          <w:rFonts w:ascii="Arial" w:hAnsi="Arial" w:cs="Arial"/>
          <w:color w:val="4F81BD" w:themeColor="accent1"/>
        </w:rPr>
        <w:t>R-051/2018</w:t>
      </w:r>
      <w:r w:rsidR="00547C44" w:rsidRPr="00A13D1B">
        <w:rPr>
          <w:rFonts w:ascii="Arial" w:hAnsi="Arial" w:cs="Arial"/>
          <w:color w:val="4F81BD" w:themeColor="accent1"/>
        </w:rPr>
        <w:t>-3 fue turnado a la Comisionada Ponente, para que sustanciara el periodo de instrucción, y en su momento presentara al Pleno el proyecto de resolución correspondiente.</w:t>
      </w:r>
    </w:p>
    <w:p w:rsidR="00547C44" w:rsidRPr="00A13D1B" w:rsidRDefault="00DE2F30" w:rsidP="00547C44">
      <w:pPr>
        <w:spacing w:after="240"/>
        <w:rPr>
          <w:rFonts w:ascii="Arial" w:hAnsi="Arial" w:cs="Arial"/>
          <w:color w:val="4F81BD" w:themeColor="accent1"/>
        </w:rPr>
      </w:pPr>
      <w:r w:rsidRPr="00A13D1B">
        <w:rPr>
          <w:rFonts w:ascii="Arial" w:hAnsi="Arial" w:cs="Arial"/>
          <w:b/>
          <w:color w:val="4F81BD" w:themeColor="accent1"/>
        </w:rPr>
        <w:tab/>
      </w:r>
      <w:r w:rsidR="00E13F78" w:rsidRPr="00A13D1B">
        <w:rPr>
          <w:rFonts w:ascii="Arial" w:hAnsi="Arial" w:cs="Arial"/>
          <w:b/>
          <w:color w:val="4F81BD" w:themeColor="accent1"/>
        </w:rPr>
        <w:t>QUINTO</w:t>
      </w:r>
      <w:r w:rsidR="00547C44" w:rsidRPr="00A13D1B">
        <w:rPr>
          <w:rFonts w:ascii="Arial" w:hAnsi="Arial" w:cs="Arial"/>
          <w:b/>
          <w:color w:val="4F81BD" w:themeColor="accent1"/>
        </w:rPr>
        <w:t xml:space="preserve">. Admisión. </w:t>
      </w:r>
      <w:r w:rsidR="00547C44" w:rsidRPr="00A13D1B">
        <w:rPr>
          <w:rFonts w:ascii="Arial" w:hAnsi="Arial" w:cs="Arial"/>
          <w:color w:val="4F81BD" w:themeColor="accent1"/>
        </w:rPr>
        <w:t xml:space="preserve">El </w:t>
      </w:r>
      <w:r w:rsidR="00072E88" w:rsidRPr="00A13D1B">
        <w:rPr>
          <w:rFonts w:ascii="Arial" w:hAnsi="Arial" w:cs="Arial"/>
          <w:color w:val="4F81BD" w:themeColor="accent1"/>
        </w:rPr>
        <w:t>06 seis de febrero de 2018 dos mil dieciocho</w:t>
      </w:r>
      <w:r w:rsidR="00547C44" w:rsidRPr="00A13D1B">
        <w:rPr>
          <w:rFonts w:ascii="Arial" w:hAnsi="Arial" w:cs="Arial"/>
          <w:color w:val="4F81BD" w:themeColor="accent1"/>
        </w:rPr>
        <w:t xml:space="preserve">, esta Comisión, con base en el artículo 174, fracción II de la Ley de Transparencia del Estado, admitió el presente medio de impugnación, a fin de integrar el expediente respectivo y ponerlo a disposición de las partes para que en el plazo que reconoce la ley manifestaran y ofrecieran las pruebas que a su derecho correspondía. </w:t>
      </w:r>
    </w:p>
    <w:p w:rsidR="000D711D" w:rsidRPr="00A13D1B" w:rsidRDefault="00DE2F30" w:rsidP="0036174A">
      <w:pPr>
        <w:spacing w:before="240" w:after="240"/>
        <w:rPr>
          <w:rFonts w:ascii="Arial" w:hAnsi="Arial" w:cs="Arial"/>
          <w:color w:val="4F81BD" w:themeColor="accent1"/>
        </w:rPr>
      </w:pPr>
      <w:r w:rsidRPr="00A13D1B">
        <w:rPr>
          <w:rFonts w:ascii="Arial" w:hAnsi="Arial" w:cs="Arial"/>
          <w:b/>
          <w:color w:val="4F81BD" w:themeColor="accent1"/>
        </w:rPr>
        <w:tab/>
      </w:r>
      <w:r w:rsidR="00E13F78" w:rsidRPr="00A13D1B">
        <w:rPr>
          <w:rFonts w:ascii="Arial" w:hAnsi="Arial" w:cs="Arial"/>
          <w:b/>
          <w:color w:val="4F81BD" w:themeColor="accent1"/>
        </w:rPr>
        <w:t>SEXTO</w:t>
      </w:r>
      <w:r w:rsidR="00547C44" w:rsidRPr="00A13D1B">
        <w:rPr>
          <w:rFonts w:ascii="Arial" w:hAnsi="Arial" w:cs="Arial"/>
          <w:b/>
          <w:color w:val="4F81BD" w:themeColor="accent1"/>
        </w:rPr>
        <w:t xml:space="preserve">. </w:t>
      </w:r>
      <w:r w:rsidR="005678A3" w:rsidRPr="00A13D1B">
        <w:rPr>
          <w:rFonts w:ascii="Arial" w:hAnsi="Arial" w:cs="Arial"/>
          <w:b/>
          <w:color w:val="4F81BD" w:themeColor="accent1"/>
        </w:rPr>
        <w:t>Manifestaciones de las partes</w:t>
      </w:r>
      <w:r w:rsidR="00547C44" w:rsidRPr="00A13D1B">
        <w:rPr>
          <w:rFonts w:ascii="Arial" w:hAnsi="Arial" w:cs="Arial"/>
          <w:b/>
          <w:color w:val="4F81BD" w:themeColor="accent1"/>
        </w:rPr>
        <w:t>.</w:t>
      </w:r>
      <w:r w:rsidR="00547C44" w:rsidRPr="00A13D1B">
        <w:rPr>
          <w:rFonts w:ascii="Arial" w:hAnsi="Arial" w:cs="Arial"/>
          <w:color w:val="4F81BD" w:themeColor="accent1"/>
        </w:rPr>
        <w:t xml:space="preserve"> </w:t>
      </w:r>
      <w:r w:rsidR="004159CF" w:rsidRPr="00A13D1B">
        <w:rPr>
          <w:rFonts w:ascii="Arial" w:hAnsi="Arial" w:cs="Arial"/>
          <w:color w:val="4F81BD" w:themeColor="accent1"/>
        </w:rPr>
        <w:t xml:space="preserve">Mediante acuerdo </w:t>
      </w:r>
      <w:r w:rsidR="0036174A" w:rsidRPr="00A13D1B">
        <w:rPr>
          <w:rFonts w:ascii="Arial" w:hAnsi="Arial" w:cs="Arial"/>
          <w:color w:val="4F81BD" w:themeColor="accent1"/>
        </w:rPr>
        <w:t xml:space="preserve">23 veintitrés </w:t>
      </w:r>
      <w:r w:rsidR="006A5EBB" w:rsidRPr="00A13D1B">
        <w:rPr>
          <w:rFonts w:ascii="Arial" w:hAnsi="Arial" w:cs="Arial"/>
          <w:color w:val="4F81BD" w:themeColor="accent1"/>
        </w:rPr>
        <w:t xml:space="preserve">de </w:t>
      </w:r>
      <w:r w:rsidR="00072E88" w:rsidRPr="00A13D1B">
        <w:rPr>
          <w:rFonts w:ascii="Arial" w:hAnsi="Arial" w:cs="Arial"/>
          <w:color w:val="4F81BD" w:themeColor="accent1"/>
        </w:rPr>
        <w:t>febrero</w:t>
      </w:r>
      <w:r w:rsidR="0036174A" w:rsidRPr="00A13D1B">
        <w:rPr>
          <w:rFonts w:ascii="Arial" w:hAnsi="Arial" w:cs="Arial"/>
          <w:color w:val="4F81BD" w:themeColor="accent1"/>
        </w:rPr>
        <w:t xml:space="preserve"> de 201</w:t>
      </w:r>
      <w:r w:rsidR="00072E88" w:rsidRPr="00A13D1B">
        <w:rPr>
          <w:rFonts w:ascii="Arial" w:hAnsi="Arial" w:cs="Arial"/>
          <w:color w:val="4F81BD" w:themeColor="accent1"/>
        </w:rPr>
        <w:t>8</w:t>
      </w:r>
      <w:r w:rsidR="00547C44" w:rsidRPr="00A13D1B">
        <w:rPr>
          <w:rFonts w:ascii="Arial" w:hAnsi="Arial" w:cs="Arial"/>
          <w:color w:val="4F81BD" w:themeColor="accent1"/>
        </w:rPr>
        <w:t xml:space="preserve"> dos mil dieci</w:t>
      </w:r>
      <w:r w:rsidR="00072E88" w:rsidRPr="00A13D1B">
        <w:rPr>
          <w:rFonts w:ascii="Arial" w:hAnsi="Arial" w:cs="Arial"/>
          <w:color w:val="4F81BD" w:themeColor="accent1"/>
        </w:rPr>
        <w:t>ocho</w:t>
      </w:r>
      <w:r w:rsidR="00547C44" w:rsidRPr="00A13D1B">
        <w:rPr>
          <w:rFonts w:ascii="Arial" w:hAnsi="Arial" w:cs="Arial"/>
          <w:color w:val="4F81BD" w:themeColor="accent1"/>
        </w:rPr>
        <w:t xml:space="preserve">, </w:t>
      </w:r>
      <w:r w:rsidR="00015997" w:rsidRPr="00A13D1B">
        <w:rPr>
          <w:rFonts w:ascii="Arial" w:hAnsi="Arial" w:cs="Arial"/>
          <w:color w:val="4F81BD" w:themeColor="accent1"/>
        </w:rPr>
        <w:t xml:space="preserve">se tuvo por recibido </w:t>
      </w:r>
      <w:r w:rsidR="0036174A" w:rsidRPr="00A13D1B">
        <w:rPr>
          <w:rFonts w:ascii="Arial" w:hAnsi="Arial" w:cs="Arial"/>
          <w:color w:val="4F81BD" w:themeColor="accent1"/>
        </w:rPr>
        <w:t>el</w:t>
      </w:r>
      <w:r w:rsidR="005E6EF8" w:rsidRPr="00A13D1B">
        <w:rPr>
          <w:rFonts w:ascii="Arial" w:hAnsi="Arial" w:cs="Arial"/>
          <w:color w:val="4F81BD" w:themeColor="accent1"/>
        </w:rPr>
        <w:t xml:space="preserve"> </w:t>
      </w:r>
      <w:r w:rsidR="00015997" w:rsidRPr="00A13D1B">
        <w:rPr>
          <w:rFonts w:ascii="Arial" w:hAnsi="Arial" w:cs="Arial"/>
          <w:color w:val="4F81BD" w:themeColor="accent1"/>
        </w:rPr>
        <w:t xml:space="preserve">oficio </w:t>
      </w:r>
      <w:r w:rsidR="00072E88" w:rsidRPr="00A13D1B">
        <w:rPr>
          <w:rFonts w:ascii="Arial" w:hAnsi="Arial" w:cs="Arial"/>
          <w:color w:val="4F81BD" w:themeColor="accent1"/>
        </w:rPr>
        <w:t>Cegaip-R-UT063/18</w:t>
      </w:r>
      <w:r w:rsidR="005E6EF8" w:rsidRPr="00A13D1B">
        <w:rPr>
          <w:rFonts w:ascii="Arial" w:hAnsi="Arial" w:cs="Arial"/>
          <w:color w:val="4F81BD" w:themeColor="accent1"/>
        </w:rPr>
        <w:t>,</w:t>
      </w:r>
      <w:r w:rsidR="004E5342" w:rsidRPr="00A13D1B">
        <w:rPr>
          <w:rFonts w:ascii="Arial" w:hAnsi="Arial" w:cs="Arial"/>
          <w:color w:val="4F81BD" w:themeColor="accent1"/>
        </w:rPr>
        <w:t xml:space="preserve"> </w:t>
      </w:r>
      <w:r w:rsidR="0036174A" w:rsidRPr="00A13D1B">
        <w:rPr>
          <w:rFonts w:ascii="Arial" w:hAnsi="Arial" w:cs="Arial"/>
          <w:color w:val="4F81BD" w:themeColor="accent1"/>
        </w:rPr>
        <w:t xml:space="preserve">signado por </w:t>
      </w:r>
      <w:r w:rsidR="00072E88" w:rsidRPr="00A13D1B">
        <w:rPr>
          <w:rFonts w:ascii="Arial" w:hAnsi="Arial" w:cs="Arial"/>
          <w:color w:val="4F81BD" w:themeColor="accent1"/>
        </w:rPr>
        <w:t>la Titular de la Unidad de Transparencia de este Órgano Garante</w:t>
      </w:r>
      <w:r w:rsidR="0036174A" w:rsidRPr="00A13D1B">
        <w:rPr>
          <w:rFonts w:ascii="Arial" w:hAnsi="Arial" w:cs="Arial"/>
          <w:color w:val="4F81BD" w:themeColor="accent1"/>
        </w:rPr>
        <w:t>, el cual se recibió</w:t>
      </w:r>
      <w:r w:rsidR="004159CF" w:rsidRPr="00A13D1B">
        <w:rPr>
          <w:rFonts w:ascii="Arial" w:hAnsi="Arial" w:cs="Arial"/>
          <w:color w:val="4F81BD" w:themeColor="accent1"/>
        </w:rPr>
        <w:t xml:space="preserve"> </w:t>
      </w:r>
      <w:r w:rsidR="00CE08DF" w:rsidRPr="00A13D1B">
        <w:rPr>
          <w:rFonts w:ascii="Arial" w:hAnsi="Arial" w:cs="Arial"/>
          <w:color w:val="4F81BD" w:themeColor="accent1"/>
        </w:rPr>
        <w:t>d</w:t>
      </w:r>
      <w:r w:rsidR="004159CF" w:rsidRPr="00A13D1B">
        <w:rPr>
          <w:rFonts w:ascii="Arial" w:hAnsi="Arial" w:cs="Arial"/>
          <w:color w:val="4F81BD" w:themeColor="accent1"/>
        </w:rPr>
        <w:t>en</w:t>
      </w:r>
      <w:r w:rsidR="00CE08DF" w:rsidRPr="00A13D1B">
        <w:rPr>
          <w:rFonts w:ascii="Arial" w:hAnsi="Arial" w:cs="Arial"/>
          <w:color w:val="4F81BD" w:themeColor="accent1"/>
        </w:rPr>
        <w:t xml:space="preserve">tro del </w:t>
      </w:r>
      <w:r w:rsidR="00CE08DF" w:rsidRPr="00A13D1B">
        <w:rPr>
          <w:rFonts w:ascii="Arial" w:hAnsi="Arial" w:cs="Arial"/>
          <w:color w:val="4F81BD" w:themeColor="accent1"/>
        </w:rPr>
        <w:lastRenderedPageBreak/>
        <w:t xml:space="preserve">término concedido para las partes, tal y como se asentó en </w:t>
      </w:r>
      <w:r w:rsidR="004159CF" w:rsidRPr="00A13D1B">
        <w:rPr>
          <w:rFonts w:ascii="Arial" w:hAnsi="Arial" w:cs="Arial"/>
          <w:color w:val="4F81BD" w:themeColor="accent1"/>
        </w:rPr>
        <w:t xml:space="preserve">la certificación que obra a foja </w:t>
      </w:r>
      <w:r w:rsidR="00072E88" w:rsidRPr="00A13D1B">
        <w:rPr>
          <w:rFonts w:ascii="Arial" w:hAnsi="Arial" w:cs="Arial"/>
          <w:color w:val="4F81BD" w:themeColor="accent1"/>
        </w:rPr>
        <w:t>30</w:t>
      </w:r>
      <w:r w:rsidR="00545919" w:rsidRPr="00A13D1B">
        <w:rPr>
          <w:rFonts w:ascii="Arial" w:hAnsi="Arial" w:cs="Arial"/>
          <w:color w:val="4F81BD" w:themeColor="accent1"/>
        </w:rPr>
        <w:t xml:space="preserve"> del presente sumario</w:t>
      </w:r>
      <w:r w:rsidR="004159CF" w:rsidRPr="00A13D1B">
        <w:rPr>
          <w:rFonts w:ascii="Arial" w:hAnsi="Arial" w:cs="Arial"/>
          <w:color w:val="4F81BD" w:themeColor="accent1"/>
        </w:rPr>
        <w:t xml:space="preserve">. </w:t>
      </w:r>
    </w:p>
    <w:p w:rsidR="00547C44" w:rsidRPr="00A13D1B" w:rsidRDefault="00547C44" w:rsidP="00547C44">
      <w:pPr>
        <w:rPr>
          <w:rFonts w:ascii="Arial" w:hAnsi="Arial" w:cs="Arial"/>
          <w:color w:val="4F81BD" w:themeColor="accent1"/>
        </w:rPr>
      </w:pPr>
      <w:r w:rsidRPr="00A13D1B">
        <w:rPr>
          <w:rFonts w:ascii="Arial" w:hAnsi="Arial" w:cs="Arial"/>
          <w:color w:val="4F81BD" w:themeColor="accent1"/>
        </w:rPr>
        <w:tab/>
        <w:t>Por lo que toca a</w:t>
      </w:r>
      <w:r w:rsidR="00086D3C" w:rsidRPr="00A13D1B">
        <w:rPr>
          <w:rFonts w:ascii="Arial" w:hAnsi="Arial" w:cs="Arial"/>
          <w:color w:val="4F81BD" w:themeColor="accent1"/>
        </w:rPr>
        <w:t xml:space="preserve"> </w:t>
      </w:r>
      <w:r w:rsidRPr="00A13D1B">
        <w:rPr>
          <w:rFonts w:ascii="Arial" w:hAnsi="Arial" w:cs="Arial"/>
          <w:color w:val="4F81BD" w:themeColor="accent1"/>
        </w:rPr>
        <w:t>l</w:t>
      </w:r>
      <w:r w:rsidR="00086D3C" w:rsidRPr="00A13D1B">
        <w:rPr>
          <w:rFonts w:ascii="Arial" w:hAnsi="Arial" w:cs="Arial"/>
          <w:color w:val="4F81BD" w:themeColor="accent1"/>
        </w:rPr>
        <w:t>a</w:t>
      </w:r>
      <w:r w:rsidRPr="00A13D1B">
        <w:rPr>
          <w:rFonts w:ascii="Arial" w:hAnsi="Arial" w:cs="Arial"/>
          <w:color w:val="4F81BD" w:themeColor="accent1"/>
        </w:rPr>
        <w:t xml:space="preserve"> </w:t>
      </w:r>
      <w:r w:rsidR="004159CF" w:rsidRPr="00A13D1B">
        <w:rPr>
          <w:rFonts w:ascii="Arial" w:hAnsi="Arial" w:cs="Arial"/>
          <w:color w:val="4F81BD" w:themeColor="accent1"/>
        </w:rPr>
        <w:t>recurrente,</w:t>
      </w:r>
      <w:r w:rsidRPr="00A13D1B">
        <w:rPr>
          <w:rFonts w:ascii="Arial" w:hAnsi="Arial" w:cs="Arial"/>
          <w:color w:val="4F81BD" w:themeColor="accent1"/>
        </w:rPr>
        <w:t xml:space="preserve"> no hizo uso de su derecho contenido en el artículo 174, fracción III de la Ley de Transparencia del Estado.</w:t>
      </w:r>
    </w:p>
    <w:p w:rsidR="00B66746" w:rsidRPr="00A13D1B" w:rsidRDefault="00547C44" w:rsidP="0036174A">
      <w:pPr>
        <w:spacing w:before="240"/>
        <w:rPr>
          <w:rFonts w:ascii="Arial" w:hAnsi="Arial" w:cs="Arial"/>
          <w:b/>
          <w:color w:val="4F81BD" w:themeColor="accent1"/>
        </w:rPr>
      </w:pPr>
      <w:r w:rsidRPr="00A13D1B">
        <w:rPr>
          <w:rFonts w:ascii="Arial" w:hAnsi="Arial" w:cs="Arial"/>
          <w:color w:val="4F81BD" w:themeColor="accent1"/>
        </w:rPr>
        <w:tab/>
      </w:r>
      <w:r w:rsidR="00EF50D9" w:rsidRPr="00A13D1B">
        <w:rPr>
          <w:rFonts w:ascii="Arial" w:hAnsi="Arial" w:cs="Arial"/>
          <w:b/>
          <w:color w:val="4F81BD" w:themeColor="accent1"/>
        </w:rPr>
        <w:t xml:space="preserve">SÉPTIMO. </w:t>
      </w:r>
      <w:r w:rsidRPr="00A13D1B">
        <w:rPr>
          <w:rFonts w:ascii="Arial" w:hAnsi="Arial" w:cs="Arial"/>
          <w:b/>
          <w:color w:val="4F81BD" w:themeColor="accent1"/>
        </w:rPr>
        <w:t xml:space="preserve">Cierre de Instrucción. </w:t>
      </w:r>
      <w:r w:rsidR="000A6C1C" w:rsidRPr="00A13D1B">
        <w:rPr>
          <w:rFonts w:ascii="Arial" w:hAnsi="Arial" w:cs="Arial"/>
          <w:color w:val="4F81BD" w:themeColor="accent1"/>
        </w:rPr>
        <w:t xml:space="preserve">El </w:t>
      </w:r>
      <w:r w:rsidR="0036174A" w:rsidRPr="00A13D1B">
        <w:rPr>
          <w:rFonts w:ascii="Arial" w:hAnsi="Arial" w:cs="Arial"/>
          <w:color w:val="4F81BD" w:themeColor="accent1"/>
        </w:rPr>
        <w:t xml:space="preserve">23 veintitrés de </w:t>
      </w:r>
      <w:r w:rsidR="00072E88" w:rsidRPr="00A13D1B">
        <w:rPr>
          <w:rFonts w:ascii="Arial" w:hAnsi="Arial" w:cs="Arial"/>
          <w:color w:val="4F81BD" w:themeColor="accent1"/>
        </w:rPr>
        <w:t>febrero de 2018 dos mil dieciocho</w:t>
      </w:r>
      <w:r w:rsidRPr="00A13D1B">
        <w:rPr>
          <w:rFonts w:ascii="Arial" w:hAnsi="Arial" w:cs="Arial"/>
          <w:color w:val="4F81BD" w:themeColor="accent1"/>
        </w:rPr>
        <w:t>, se decretó el Cierre de Instrucción del expediente formado con motivo del presente recurso de revisión, a fin de que la ponente presentara el proyecto de resolución correspondiente.</w:t>
      </w:r>
      <w:r w:rsidR="006121A8" w:rsidRPr="00A13D1B">
        <w:rPr>
          <w:rFonts w:ascii="Arial" w:hAnsi="Arial" w:cs="Arial"/>
          <w:b/>
          <w:color w:val="4F81BD" w:themeColor="accent1"/>
        </w:rPr>
        <w:t xml:space="preserve"> </w:t>
      </w:r>
    </w:p>
    <w:p w:rsidR="00831D71" w:rsidRPr="00A13D1B" w:rsidRDefault="00547C44" w:rsidP="00DE2F30">
      <w:pPr>
        <w:spacing w:before="240"/>
        <w:jc w:val="center"/>
        <w:outlineLvl w:val="0"/>
        <w:rPr>
          <w:rFonts w:ascii="Arial" w:hAnsi="Arial" w:cs="Arial"/>
          <w:b/>
          <w:color w:val="4F81BD" w:themeColor="accent1"/>
        </w:rPr>
      </w:pPr>
      <w:r w:rsidRPr="00A13D1B">
        <w:rPr>
          <w:rFonts w:ascii="Arial" w:hAnsi="Arial" w:cs="Arial"/>
          <w:b/>
          <w:color w:val="4F81BD" w:themeColor="accent1"/>
        </w:rPr>
        <w:t xml:space="preserve">C O N S I D E R A N D O </w:t>
      </w:r>
    </w:p>
    <w:p w:rsidR="0072714A" w:rsidRPr="005B7D88" w:rsidRDefault="00547C44" w:rsidP="005B7D88">
      <w:pPr>
        <w:pStyle w:val="Textoindependienteprimerasangra"/>
        <w:spacing w:before="240"/>
        <w:ind w:firstLine="900"/>
        <w:rPr>
          <w:rFonts w:ascii="Arial" w:hAnsi="Arial" w:cs="Arial"/>
          <w:color w:val="4F81BD" w:themeColor="accent1"/>
          <w:szCs w:val="26"/>
        </w:rPr>
      </w:pPr>
      <w:r w:rsidRPr="005B7D88">
        <w:rPr>
          <w:rFonts w:ascii="Arial" w:eastAsia="Arial Unicode MS" w:hAnsi="Arial" w:cs="Arial"/>
          <w:b/>
          <w:color w:val="4F81BD" w:themeColor="accent1"/>
          <w:szCs w:val="26"/>
        </w:rPr>
        <w:t>PRIMERO. Competencia.</w:t>
      </w:r>
      <w:r w:rsidRPr="005B7D88">
        <w:rPr>
          <w:rFonts w:ascii="Arial" w:eastAsia="Arial Unicode MS" w:hAnsi="Arial" w:cs="Arial"/>
          <w:color w:val="4F81BD" w:themeColor="accent1"/>
          <w:szCs w:val="26"/>
        </w:rPr>
        <w:t xml:space="preserve"> El Pleno de esta Comisión Estatal de Garantía de Acceso a la Información Pública es competente para resolver el presente recurso de revisión de conformidad c</w:t>
      </w:r>
      <w:r w:rsidR="0047108E" w:rsidRPr="005B7D88">
        <w:rPr>
          <w:rFonts w:ascii="Arial" w:eastAsia="Arial Unicode MS" w:hAnsi="Arial" w:cs="Arial"/>
          <w:color w:val="4F81BD" w:themeColor="accent1"/>
          <w:szCs w:val="26"/>
        </w:rPr>
        <w:t>on los artículos 6°, apartado A</w:t>
      </w:r>
      <w:r w:rsidRPr="005B7D88">
        <w:rPr>
          <w:rFonts w:ascii="Arial" w:eastAsia="Arial Unicode MS" w:hAnsi="Arial" w:cs="Arial"/>
          <w:color w:val="4F81BD" w:themeColor="accent1"/>
          <w:szCs w:val="26"/>
        </w:rPr>
        <w:t>, fracción IV de la Constitución Política de los Estados Unidos Mexicanos; 17, fracción III, párrafo tercero de la Constitución Política del Estado Libre y Soberano de San Luis Potosí; 37, 42, fracciones I y II, 142 y 151 de la Ley General de Transparencia y Acceso a la Información Pública; 27, 34, fracciones I y II, 166 y 175 de la Ley de Transparencia y Acceso a la Información Pública</w:t>
      </w:r>
      <w:r w:rsidR="00470EC1" w:rsidRPr="005B7D88">
        <w:rPr>
          <w:rFonts w:ascii="Arial" w:eastAsia="Arial Unicode MS" w:hAnsi="Arial" w:cs="Arial"/>
          <w:color w:val="4F81BD" w:themeColor="accent1"/>
          <w:szCs w:val="26"/>
        </w:rPr>
        <w:t xml:space="preserve"> del Estado de San Luis </w:t>
      </w:r>
      <w:r w:rsidR="00663AF7" w:rsidRPr="005B7D88">
        <w:rPr>
          <w:rFonts w:ascii="Arial" w:eastAsia="Arial Unicode MS" w:hAnsi="Arial" w:cs="Arial"/>
          <w:color w:val="4F81BD" w:themeColor="accent1"/>
          <w:szCs w:val="26"/>
        </w:rPr>
        <w:t>P</w:t>
      </w:r>
      <w:r w:rsidR="00470EC1" w:rsidRPr="005B7D88">
        <w:rPr>
          <w:rFonts w:ascii="Arial" w:eastAsia="Arial Unicode MS" w:hAnsi="Arial" w:cs="Arial"/>
          <w:color w:val="4F81BD" w:themeColor="accent1"/>
          <w:szCs w:val="26"/>
        </w:rPr>
        <w:t>otosí.</w:t>
      </w:r>
    </w:p>
    <w:p w:rsidR="00C617A6" w:rsidRPr="005B7D88" w:rsidRDefault="00C617A6" w:rsidP="005B7D88">
      <w:pPr>
        <w:pStyle w:val="Textoindependienteprimerasangra"/>
        <w:spacing w:before="240"/>
        <w:ind w:firstLine="708"/>
        <w:rPr>
          <w:rFonts w:ascii="Arial" w:hAnsi="Arial" w:cs="Arial"/>
          <w:color w:val="4F81BD" w:themeColor="accent1"/>
          <w:szCs w:val="26"/>
        </w:rPr>
      </w:pPr>
      <w:r w:rsidRPr="005B7D88">
        <w:rPr>
          <w:rFonts w:ascii="Arial" w:eastAsia="Arial Unicode MS" w:hAnsi="Arial" w:cs="Arial"/>
          <w:color w:val="4F81BD" w:themeColor="accent1"/>
          <w:szCs w:val="26"/>
        </w:rPr>
        <w:t xml:space="preserve">Sin embargo, esta Comisión </w:t>
      </w:r>
      <w:r w:rsidRPr="005B7D88">
        <w:rPr>
          <w:rFonts w:ascii="Arial" w:hAnsi="Arial" w:cs="Arial"/>
          <w:color w:val="4F81BD" w:themeColor="accent1"/>
          <w:szCs w:val="26"/>
        </w:rPr>
        <w:t>está impedida para conocer y resolver de las inconformidades hechas valer por el solicitante, lo anterior en términos de lo dispuesto por el artículo 8° de la Constitución Política de los Estados Unidos Mexicanos, es decir, cuando se formule una solicitud ejerciendo el Derecho de Petición, lo anterior se robustece por el criterio 329/2009 de esta Comisión:</w:t>
      </w:r>
    </w:p>
    <w:p w:rsidR="00C617A6" w:rsidRPr="00FC2319" w:rsidRDefault="00C617A6" w:rsidP="00FC2319">
      <w:pPr>
        <w:spacing w:line="240" w:lineRule="auto"/>
        <w:ind w:left="708" w:firstLine="708"/>
        <w:rPr>
          <w:rFonts w:ascii="Arial" w:hAnsi="Arial" w:cs="Arial"/>
          <w:i/>
          <w:color w:val="4F81BD" w:themeColor="accent1"/>
          <w:sz w:val="22"/>
          <w:szCs w:val="22"/>
        </w:rPr>
      </w:pPr>
      <w:r w:rsidRPr="00FC2319">
        <w:rPr>
          <w:rFonts w:ascii="Arial" w:hAnsi="Arial" w:cs="Arial"/>
          <w:i/>
          <w:color w:val="4F81BD" w:themeColor="accent1"/>
          <w:sz w:val="22"/>
          <w:szCs w:val="22"/>
        </w:rPr>
        <w:t>“</w:t>
      </w:r>
      <w:r w:rsidRPr="00FC2319">
        <w:rPr>
          <w:rFonts w:ascii="Arial" w:hAnsi="Arial" w:cs="Arial"/>
          <w:b/>
          <w:i/>
          <w:color w:val="4F81BD" w:themeColor="accent1"/>
          <w:sz w:val="22"/>
          <w:szCs w:val="22"/>
        </w:rPr>
        <w:t>DIFERENCIA ENTRE DERECHO DE PETICIÓN Y DERECHO DE ACCESO A LA INFORMACIÓN PÚBLICA</w:t>
      </w:r>
      <w:r w:rsidRPr="00FC2319">
        <w:rPr>
          <w:rFonts w:ascii="Arial" w:hAnsi="Arial" w:cs="Arial"/>
          <w:i/>
          <w:color w:val="4F81BD" w:themeColor="accent1"/>
          <w:sz w:val="22"/>
          <w:szCs w:val="22"/>
        </w:rPr>
        <w:t xml:space="preserve"> “En virtud de algunas de las resoluciones que esta Comisión Estatal de Garantía y Acceso a la Información Pública del Estado de San Luis Potosí ha emitido en el sentido de declararse incompetente para conocer de los asuntos que se presentan relacionados con el ejercicio del derecho de petición consagrado en el artículo 8 de la Constitución Política de los Estados Unidos Mexicanos derivado de la confusión generada entre los habitantes del Estado con el ejercicio de su derecho de </w:t>
      </w:r>
      <w:r w:rsidRPr="00FC2319">
        <w:rPr>
          <w:rFonts w:ascii="Arial" w:hAnsi="Arial" w:cs="Arial"/>
          <w:i/>
          <w:color w:val="4F81BD" w:themeColor="accent1"/>
          <w:sz w:val="22"/>
          <w:szCs w:val="22"/>
        </w:rPr>
        <w:lastRenderedPageBreak/>
        <w:t xml:space="preserve">acceso a la información pública, por ello, es que este Órgano Colegiado preocupado de que las personas hagan efectivo dicho derecho de acceso a la información pública de conformidad con los artículos 6, párrafo segundo, fracción IV, de la Constitución Política de los Estados Unidos Mexicanos; 17 Bis, Constitución Política del Estado Libre y Soberano del Estado de San Luis Potosí, 2, fracción I, 3, fracción XII, 5, 81, 82, 84, fracción I, de la Ley de Transparencia y Acceso a la Información Pública vigente en el Estado, </w:t>
      </w:r>
      <w:proofErr w:type="gramStart"/>
      <w:r w:rsidRPr="00FC2319">
        <w:rPr>
          <w:rFonts w:ascii="Arial" w:hAnsi="Arial" w:cs="Arial"/>
          <w:i/>
          <w:color w:val="4F81BD" w:themeColor="accent1"/>
          <w:sz w:val="22"/>
          <w:szCs w:val="22"/>
        </w:rPr>
        <w:t>establece</w:t>
      </w:r>
      <w:proofErr w:type="gramEnd"/>
      <w:r w:rsidRPr="00FC2319">
        <w:rPr>
          <w:rFonts w:ascii="Arial" w:hAnsi="Arial" w:cs="Arial"/>
          <w:i/>
          <w:color w:val="4F81BD" w:themeColor="accent1"/>
          <w:sz w:val="22"/>
          <w:szCs w:val="22"/>
        </w:rPr>
        <w:t xml:space="preserve"> las diferencias esenciales entre el derecho de petición y el de acceso a la información precisamente para garantizar los principios constitucionales tanto a nivel federal como local en cuanto al derecho de información se refiere. </w:t>
      </w:r>
    </w:p>
    <w:p w:rsidR="00C617A6" w:rsidRPr="00FC2319" w:rsidRDefault="00C617A6" w:rsidP="00FC2319">
      <w:pPr>
        <w:spacing w:line="240" w:lineRule="auto"/>
        <w:ind w:left="708" w:firstLine="708"/>
        <w:rPr>
          <w:rFonts w:ascii="Arial" w:hAnsi="Arial" w:cs="Arial"/>
          <w:i/>
          <w:color w:val="4F81BD" w:themeColor="accent1"/>
          <w:sz w:val="22"/>
          <w:szCs w:val="22"/>
        </w:rPr>
      </w:pPr>
    </w:p>
    <w:p w:rsidR="00C617A6" w:rsidRPr="00FC2319" w:rsidRDefault="00C617A6" w:rsidP="00FC2319">
      <w:pPr>
        <w:spacing w:line="240" w:lineRule="auto"/>
        <w:ind w:left="708" w:firstLine="708"/>
        <w:rPr>
          <w:rFonts w:ascii="Arial" w:hAnsi="Arial" w:cs="Arial"/>
          <w:i/>
          <w:color w:val="4F81BD" w:themeColor="accent1"/>
          <w:sz w:val="22"/>
          <w:szCs w:val="22"/>
        </w:rPr>
      </w:pPr>
      <w:r w:rsidRPr="00FC2319">
        <w:rPr>
          <w:rFonts w:ascii="Arial" w:hAnsi="Arial" w:cs="Arial"/>
          <w:i/>
          <w:color w:val="4F81BD" w:themeColor="accent1"/>
          <w:sz w:val="22"/>
          <w:szCs w:val="22"/>
        </w:rPr>
        <w:t xml:space="preserve">En primer lugar se debe dejar en claro que los conceptos de derecho a la información y el derecho de acceso a la información no deben ser necesariamente sinónimos, ya que en cuanto al derecho a la información no existe una respuesta que ofrezca un concepto válido, pues el derecho a la información, en su sentido amplio de acuerdo con el artículo 19 de la Declaración Universal de los Derecho Humanos es la garantía fundamental que toda persona posee a atraerse información, a informar y a ser informada y, el derecho de acceso a la información pública puede definirse como la prerrogativa de la persona para acceder a datos, registros y todo tipo de informaciones en poder de los Entes Obligados y que ejercen gasto público y cumplen funciones auxiliares. </w:t>
      </w:r>
    </w:p>
    <w:p w:rsidR="00C617A6" w:rsidRPr="00FC2319" w:rsidRDefault="00C617A6" w:rsidP="00FC2319">
      <w:pPr>
        <w:spacing w:line="240" w:lineRule="auto"/>
        <w:ind w:left="708" w:firstLine="708"/>
        <w:rPr>
          <w:rFonts w:ascii="Arial" w:hAnsi="Arial" w:cs="Arial"/>
          <w:i/>
          <w:color w:val="4F81BD" w:themeColor="accent1"/>
          <w:sz w:val="22"/>
          <w:szCs w:val="22"/>
        </w:rPr>
      </w:pPr>
    </w:p>
    <w:p w:rsidR="00C617A6" w:rsidRPr="00FC2319" w:rsidRDefault="00C617A6" w:rsidP="00FC2319">
      <w:pPr>
        <w:spacing w:line="240" w:lineRule="auto"/>
        <w:ind w:left="708" w:firstLine="708"/>
        <w:rPr>
          <w:rFonts w:ascii="Arial" w:hAnsi="Arial" w:cs="Arial"/>
          <w:i/>
          <w:color w:val="4F81BD" w:themeColor="accent1"/>
          <w:sz w:val="22"/>
          <w:szCs w:val="22"/>
        </w:rPr>
      </w:pPr>
      <w:r w:rsidRPr="00FC2319">
        <w:rPr>
          <w:rFonts w:ascii="Arial" w:hAnsi="Arial" w:cs="Arial"/>
          <w:i/>
          <w:color w:val="4F81BD" w:themeColor="accent1"/>
          <w:sz w:val="22"/>
          <w:szCs w:val="22"/>
        </w:rPr>
        <w:t xml:space="preserve">En efecto, el acceso a la información pública es un derecho fundamental por medio del cual toda persona puede </w:t>
      </w:r>
      <w:r w:rsidRPr="00FC2319">
        <w:rPr>
          <w:rFonts w:ascii="Arial" w:hAnsi="Arial" w:cs="Arial"/>
          <w:i/>
          <w:color w:val="4F81BD" w:themeColor="accent1"/>
          <w:sz w:val="22"/>
          <w:szCs w:val="22"/>
          <w:u w:val="single"/>
        </w:rPr>
        <w:t>tener conocimiento de la información que se encuentra en cualquier entidad obligada, dicho derecho se encuentra establecido en el segundo párrafo, fracción I, del artículo 6 Constitucional que establece</w:t>
      </w:r>
      <w:r w:rsidRPr="00FC2319">
        <w:rPr>
          <w:rFonts w:ascii="Arial" w:hAnsi="Arial" w:cs="Arial"/>
          <w:i/>
          <w:color w:val="4F81BD" w:themeColor="accent1"/>
          <w:sz w:val="22"/>
          <w:szCs w:val="22"/>
        </w:rPr>
        <w:t xml:space="preserve">: </w:t>
      </w:r>
    </w:p>
    <w:p w:rsidR="00C617A6" w:rsidRPr="00FC2319" w:rsidRDefault="00C617A6" w:rsidP="00FC2319">
      <w:pPr>
        <w:spacing w:line="240" w:lineRule="auto"/>
        <w:ind w:left="708" w:firstLine="708"/>
        <w:rPr>
          <w:rFonts w:ascii="Arial" w:hAnsi="Arial" w:cs="Arial"/>
          <w:i/>
          <w:color w:val="4F81BD" w:themeColor="accent1"/>
          <w:sz w:val="22"/>
          <w:szCs w:val="22"/>
        </w:rPr>
      </w:pPr>
    </w:p>
    <w:p w:rsidR="00C617A6" w:rsidRPr="00FC2319" w:rsidRDefault="00C617A6" w:rsidP="00FC2319">
      <w:pPr>
        <w:spacing w:line="240" w:lineRule="auto"/>
        <w:ind w:left="708" w:firstLine="708"/>
        <w:rPr>
          <w:rFonts w:ascii="Arial" w:hAnsi="Arial" w:cs="Arial"/>
          <w:i/>
          <w:color w:val="4F81BD" w:themeColor="accent1"/>
          <w:sz w:val="22"/>
          <w:szCs w:val="22"/>
        </w:rPr>
      </w:pPr>
      <w:r w:rsidRPr="00FC2319">
        <w:rPr>
          <w:rFonts w:ascii="Arial" w:hAnsi="Arial" w:cs="Arial"/>
          <w:i/>
          <w:color w:val="4F81BD" w:themeColor="accent1"/>
          <w:sz w:val="22"/>
          <w:szCs w:val="22"/>
        </w:rPr>
        <w:t xml:space="preserve">“[…] Para el ejercicio del derecho de acceso a la información, la Federación, los Estados y el Distrito Federal, en el ámbito de sus respectivas competencias, se regirán por los siguientes principios y bases: I. Toda la información en posesión de cualquier autoridad, entidad, órgano y organismo federal, estatal y municipal, es pública y sólo podrá ser reservada temporalmente por razones de interés público en los términos que fijen las leyes. En la interpretación de este derecho deberá prevalecer el principio de máxima publicidad. II. La información que se refiere a la vida privada y los datos personales será protegida en los términos y con las excepciones que fijen las leyes. III. Toda persona, sin necesidad de acreditar interés alguno o justificar su utilización, tendrá acceso gratuito a la información pública, a sus datos personales o a la rectificación de éstos. IV. Se establecerán mecanismos de acceso a la información y procedimientos de revisión expeditos. Estos procedimientos se sustanciarán ante órganos u organismos especializados e imparciales, y con autonomía operativa, de gestión y de decisión. V. Los sujetos obligados deberán preservar sus documentos en archivos administrativos actualizados y publicarán a través de los medios electrónicos disponibles, la información completa y actualizada sobre sus indicadores de gestión y el ejercicio de los recursos públicos. VI. Las leyes determinarán la manera en que los sujetos obligados deberán hacer pública la información relativa a los recursos públicos que entreguen a personas 2 físicas o morales. VII. La inobservancia a las disposiciones en materia de acceso a la información pública será sancionada en los términos que dispongan las leyes.” </w:t>
      </w:r>
    </w:p>
    <w:p w:rsidR="00C617A6" w:rsidRPr="00FC2319" w:rsidRDefault="00C617A6" w:rsidP="00FC2319">
      <w:pPr>
        <w:spacing w:line="240" w:lineRule="auto"/>
        <w:ind w:left="708" w:firstLine="708"/>
        <w:rPr>
          <w:rFonts w:ascii="Arial" w:hAnsi="Arial" w:cs="Arial"/>
          <w:i/>
          <w:color w:val="4F81BD" w:themeColor="accent1"/>
          <w:sz w:val="22"/>
          <w:szCs w:val="22"/>
        </w:rPr>
      </w:pPr>
    </w:p>
    <w:p w:rsidR="00C617A6" w:rsidRPr="00FC2319" w:rsidRDefault="00C617A6" w:rsidP="00FC2319">
      <w:pPr>
        <w:spacing w:line="240" w:lineRule="auto"/>
        <w:ind w:left="708" w:firstLine="708"/>
        <w:rPr>
          <w:rFonts w:ascii="Arial" w:hAnsi="Arial" w:cs="Arial"/>
          <w:i/>
          <w:color w:val="4F81BD" w:themeColor="accent1"/>
          <w:sz w:val="22"/>
          <w:szCs w:val="22"/>
        </w:rPr>
      </w:pPr>
      <w:r w:rsidRPr="00FC2319">
        <w:rPr>
          <w:rFonts w:ascii="Arial" w:hAnsi="Arial" w:cs="Arial"/>
          <w:i/>
          <w:color w:val="4F81BD" w:themeColor="accent1"/>
          <w:sz w:val="22"/>
          <w:szCs w:val="22"/>
        </w:rPr>
        <w:t xml:space="preserve">Sobre este tema se encuentra la tesis: 2a. I/92, Octava Época, publicada en agosto de 1992, en el Semanario Judicial de la Federación, página 44, con registro IUS 206,435, cuyo rubro y texto es “INFORMACIÓN. DERECHO A LA, ESTABLECIDO POR EL ARTICULO 6o. DE LA CONSTITUCIÓN FEDERAL.” </w:t>
      </w:r>
    </w:p>
    <w:p w:rsidR="00C617A6" w:rsidRPr="00FC2319" w:rsidRDefault="00C617A6" w:rsidP="00FC2319">
      <w:pPr>
        <w:spacing w:line="240" w:lineRule="auto"/>
        <w:ind w:left="708" w:firstLine="708"/>
        <w:rPr>
          <w:rFonts w:ascii="Arial" w:hAnsi="Arial" w:cs="Arial"/>
          <w:i/>
          <w:color w:val="4F81BD" w:themeColor="accent1"/>
          <w:sz w:val="22"/>
          <w:szCs w:val="22"/>
        </w:rPr>
      </w:pPr>
    </w:p>
    <w:p w:rsidR="00C617A6" w:rsidRPr="00FC2319" w:rsidRDefault="00C617A6" w:rsidP="00FC2319">
      <w:pPr>
        <w:spacing w:line="240" w:lineRule="auto"/>
        <w:ind w:left="708" w:firstLine="708"/>
        <w:rPr>
          <w:rFonts w:ascii="Arial" w:hAnsi="Arial" w:cs="Arial"/>
          <w:i/>
          <w:color w:val="4F81BD" w:themeColor="accent1"/>
          <w:sz w:val="22"/>
          <w:szCs w:val="22"/>
        </w:rPr>
      </w:pPr>
      <w:r w:rsidRPr="00FC2319">
        <w:rPr>
          <w:rFonts w:ascii="Arial" w:hAnsi="Arial" w:cs="Arial"/>
          <w:i/>
          <w:color w:val="4F81BD" w:themeColor="accent1"/>
          <w:sz w:val="22"/>
          <w:szCs w:val="22"/>
        </w:rPr>
        <w:t xml:space="preserve">Ahora bien, dentro de la legislación local, se encuentran el párrafo primero el artículo 17 bis de la Constitución Política para el Estado Libre y Soberano de San Luis Potosí; los artículos 1, 2, fracción I, 3, fracciones I, X, XI y XVII, 5, 6, 10, 11, 13, 14, 16, fracción I, 67, 68, fracción II, 76 y 77 de la Ley de Transparencia y Acceso a la Información Pública del Estado de San Luis Potosí. </w:t>
      </w:r>
    </w:p>
    <w:p w:rsidR="00C617A6" w:rsidRPr="00FC2319" w:rsidRDefault="00C617A6" w:rsidP="00FC2319">
      <w:pPr>
        <w:spacing w:line="240" w:lineRule="auto"/>
        <w:ind w:left="708" w:firstLine="708"/>
        <w:rPr>
          <w:rFonts w:ascii="Arial" w:hAnsi="Arial" w:cs="Arial"/>
          <w:i/>
          <w:color w:val="4F81BD" w:themeColor="accent1"/>
          <w:sz w:val="22"/>
          <w:szCs w:val="22"/>
        </w:rPr>
      </w:pPr>
    </w:p>
    <w:p w:rsidR="00C617A6" w:rsidRPr="00FC2319" w:rsidRDefault="00C617A6" w:rsidP="00FC2319">
      <w:pPr>
        <w:spacing w:line="240" w:lineRule="auto"/>
        <w:ind w:left="708" w:firstLine="708"/>
        <w:rPr>
          <w:rFonts w:ascii="Arial" w:hAnsi="Arial" w:cs="Arial"/>
          <w:i/>
          <w:color w:val="4F81BD" w:themeColor="accent1"/>
          <w:sz w:val="22"/>
          <w:szCs w:val="22"/>
        </w:rPr>
      </w:pPr>
      <w:r w:rsidRPr="00FC2319">
        <w:rPr>
          <w:rFonts w:ascii="Arial" w:hAnsi="Arial" w:cs="Arial"/>
          <w:i/>
          <w:color w:val="4F81BD" w:themeColor="accent1"/>
          <w:sz w:val="22"/>
          <w:szCs w:val="22"/>
        </w:rPr>
        <w:t xml:space="preserve">Los artículos anteriores, en esencia establecen que en este Estado es prerrogativa de todas las personas, conocer y acceder a la información pública, con las excepciones previstas en la misma Constitución local y en la ley de la materia; que la Ley de Transparencia y Acceso a la Información Pública del Estado es reglamentaria del artículo 17 Bis de la Constitución local y que tiene por objeto garantizar el ejercicio del derecho de acceso a la información pública; que debe entenderse por administración documental todos los actos o hechos que tengan por objeto la creación, adquisición, entrega, recepción, organización, control, distribución, conservación, custodia, resguardo, restauración, transferencia, selección, depuración, eliminación de documentos, así como las actividades enfocadas a regular, coordinar y dinamizar su uso y divulgación; además es la propia ley la que da la definición de derecho de acceso a la información pública y que es precisamente la prerrogativa de las personas para acceder a la información pública en posesión de los Entes Obligados; que debe entenderse por documento todos aquellos oficios, acuerdos, correspondencia, directivas, circulares, minutas, expedientes, reportes, estudios, contratos, actas, convenios, resoluciones, instructivos, memorandos, notas, estadísticas, sondeos, encuestas, expresiones y representaciones materiales que den constancia de un hecho o acto del pasado o del presente, de las entidades y servidores públicos en el ejercicio de sus funciones o cualquier otro registro que documente la existencia y actividades de los Entes Obligados, sin excepción de su fuente, tipo o fecha de elaboración que los documentos pueden ser papeles escritos, o en cualquier medio o formato impreso, sonoro, electrónico, fotográfico, gráfico, visual, holográfico, electrónico o digital y que es información pública la información creada, administrada o en posesión de los sujetos obligados, exceptuando la clasificada como reservada o confidencial. </w:t>
      </w:r>
    </w:p>
    <w:p w:rsidR="00C617A6" w:rsidRPr="00FC2319" w:rsidRDefault="00C617A6" w:rsidP="00FC2319">
      <w:pPr>
        <w:spacing w:line="240" w:lineRule="auto"/>
        <w:ind w:left="708" w:firstLine="708"/>
        <w:rPr>
          <w:rFonts w:ascii="Arial" w:hAnsi="Arial" w:cs="Arial"/>
          <w:i/>
          <w:color w:val="4F81BD" w:themeColor="accent1"/>
          <w:sz w:val="22"/>
          <w:szCs w:val="22"/>
        </w:rPr>
      </w:pPr>
    </w:p>
    <w:p w:rsidR="00C617A6" w:rsidRPr="00FC2319" w:rsidRDefault="00C617A6" w:rsidP="00FC2319">
      <w:pPr>
        <w:spacing w:line="240" w:lineRule="auto"/>
        <w:ind w:left="708" w:firstLine="708"/>
        <w:rPr>
          <w:rFonts w:ascii="Arial" w:hAnsi="Arial" w:cs="Arial"/>
          <w:i/>
          <w:color w:val="4F81BD" w:themeColor="accent1"/>
          <w:sz w:val="22"/>
          <w:szCs w:val="22"/>
        </w:rPr>
      </w:pPr>
      <w:r w:rsidRPr="00FC2319">
        <w:rPr>
          <w:rFonts w:ascii="Arial" w:hAnsi="Arial" w:cs="Arial"/>
          <w:i/>
          <w:color w:val="4F81BD" w:themeColor="accent1"/>
          <w:sz w:val="22"/>
          <w:szCs w:val="22"/>
        </w:rPr>
        <w:t xml:space="preserve">Además, toda la información creada, administrada o en posesión de los Entes Obligados, es un bien público cuya titularidad radica en la sociedad y que por tanto, debe estar a disposición de cualquier persona, con sus excepciones y que por ello los Entes Obligados deben proporcionar la información solicitada en el tipo de documento en que se encuentre; que el solicitante puede reproducir por cualquier medio dichos documentos; que para hacer efectivo el derecho de acceso a la información pública, la interpretación de la ley de la materia y de su reglamentación, se orientará a favorecer los principios de máxima publicidad y disponibilidad de la información en posesión de los Entes Obligados y que se atenderá a los principios constitucionales y a los instrumentos internacionales suscritos y ratificados en esta materia por el Estado Mexicano, y a la interpretación que de los mismos hayan realizado los órganos nacionales e internacionales especializados; que salvo las excepciones previstas en la Constitución Política de los Estados Unidos Mexicanos, y en la Constitución Política del Estado Libre y Soberano de San Luis Potosí, es prerrogativa de todas las personas, saber, conocer y acceder a la información pública, en los términos dispuestos por la propia Ley de Transparencia y Acceso a la Información Pública del Estado; que cualquier persona podrá acceder a la documentación e información relativas al uso de recursos públicos, de los Entes Obligados del este Estado. </w:t>
      </w:r>
    </w:p>
    <w:p w:rsidR="00C617A6" w:rsidRPr="00FC2319" w:rsidRDefault="00C617A6" w:rsidP="00FC2319">
      <w:pPr>
        <w:spacing w:line="240" w:lineRule="auto"/>
        <w:ind w:left="708" w:firstLine="708"/>
        <w:rPr>
          <w:rFonts w:ascii="Arial" w:hAnsi="Arial" w:cs="Arial"/>
          <w:i/>
          <w:color w:val="4F81BD" w:themeColor="accent1"/>
          <w:sz w:val="22"/>
          <w:szCs w:val="22"/>
        </w:rPr>
      </w:pPr>
    </w:p>
    <w:p w:rsidR="00C617A6" w:rsidRPr="00FC2319" w:rsidRDefault="00C617A6" w:rsidP="00FC2319">
      <w:pPr>
        <w:spacing w:line="240" w:lineRule="auto"/>
        <w:ind w:left="708" w:firstLine="708"/>
        <w:rPr>
          <w:rFonts w:ascii="Arial" w:hAnsi="Arial" w:cs="Arial"/>
          <w:i/>
          <w:color w:val="4F81BD" w:themeColor="accent1"/>
          <w:sz w:val="22"/>
          <w:szCs w:val="22"/>
        </w:rPr>
      </w:pPr>
      <w:r w:rsidRPr="00FC2319">
        <w:rPr>
          <w:rFonts w:ascii="Arial" w:hAnsi="Arial" w:cs="Arial"/>
          <w:i/>
          <w:color w:val="4F81BD" w:themeColor="accent1"/>
          <w:sz w:val="22"/>
          <w:szCs w:val="22"/>
        </w:rPr>
        <w:lastRenderedPageBreak/>
        <w:t xml:space="preserve">Igualmente, todos los servidores públicos que participen en la formulación, producción, procesamiento, administración, archivo y resguardo de información pública, se consideran Entes Obligados, por lo tanto, el ejercicio de su función pública deberá someterse al principio de máxima publicidad, y a respetar y facilitar el ejercicio del derecho de acceso a la información y que son obligaciones de aquéllos, entre otras, la de entregar la información solicitada en el estado en que se encuentre y que esta obligación no implica el procesamiento, ni la adecuación de la información al interés del solicitante, salvo la producción de versiones públicas del documento, por lo tanto, la consulta, búsqueda y localización de la información serán gratuitas y que los Entes Obligados podrán cobrar la reproducción de documentos. </w:t>
      </w:r>
    </w:p>
    <w:p w:rsidR="00C617A6" w:rsidRPr="00FC2319" w:rsidRDefault="00C617A6" w:rsidP="00FC2319">
      <w:pPr>
        <w:spacing w:line="240" w:lineRule="auto"/>
        <w:ind w:left="708" w:firstLine="708"/>
        <w:rPr>
          <w:rFonts w:ascii="Arial" w:hAnsi="Arial" w:cs="Arial"/>
          <w:i/>
          <w:color w:val="4F81BD" w:themeColor="accent1"/>
          <w:sz w:val="22"/>
          <w:szCs w:val="22"/>
        </w:rPr>
      </w:pPr>
    </w:p>
    <w:p w:rsidR="00C617A6" w:rsidRPr="00FC2319" w:rsidRDefault="00C617A6" w:rsidP="00FC2319">
      <w:pPr>
        <w:spacing w:line="240" w:lineRule="auto"/>
        <w:ind w:left="708" w:firstLine="708"/>
        <w:rPr>
          <w:rFonts w:ascii="Arial" w:hAnsi="Arial" w:cs="Arial"/>
          <w:i/>
          <w:color w:val="4F81BD" w:themeColor="accent1"/>
          <w:sz w:val="22"/>
          <w:szCs w:val="22"/>
        </w:rPr>
      </w:pPr>
      <w:r w:rsidRPr="00FC2319">
        <w:rPr>
          <w:rFonts w:ascii="Arial" w:hAnsi="Arial" w:cs="Arial"/>
          <w:i/>
          <w:color w:val="4F81BD" w:themeColor="accent1"/>
          <w:sz w:val="22"/>
          <w:szCs w:val="22"/>
        </w:rPr>
        <w:t xml:space="preserve">Que las personas que requieran información pública deberán presentar una solicitud en escrito libre, o en los formatos sencillos que apruebe la Comisión Estatal de Garantía de Acceso a la Información Pública y que dicha solicitud deberá contener, cuando menos, entre otros requisitos la descripción clara y precisa de los documentos e información que solicita y, que no obstante lo anterior, </w:t>
      </w:r>
      <w:r w:rsidRPr="00FC2319">
        <w:rPr>
          <w:rFonts w:ascii="Arial" w:hAnsi="Arial" w:cs="Arial"/>
          <w:b/>
          <w:i/>
          <w:color w:val="4F81BD" w:themeColor="accent1"/>
          <w:sz w:val="22"/>
          <w:szCs w:val="22"/>
        </w:rPr>
        <w:t>las unidades de información pública de cada entidad sólo estarán obligadas a entregar documentos que se encuentren en sus archivos y que de no estar en sus archivos</w:t>
      </w:r>
      <w:r w:rsidRPr="00FC2319">
        <w:rPr>
          <w:rFonts w:ascii="Arial" w:hAnsi="Arial" w:cs="Arial"/>
          <w:i/>
          <w:color w:val="4F81BD" w:themeColor="accent1"/>
          <w:sz w:val="22"/>
          <w:szCs w:val="22"/>
        </w:rPr>
        <w:t xml:space="preserve">, las unidades deberán justificar la inexistencia o pérdida de la información solicitada y que la obligación de acceso se cumplirá cuando el solicitante tenga a su disposición las copias simples, certificadas o cualquier otro soporte técnico, en el que se encuentre contenida la información solicitada, o cuando realice la consulta de la información en el lugar en el que ésta se encuentre; que cuando la información solicitada ya esté disponible para consulta, se le hará saber por escrito al solicitante, el lugar donde puede consultarla y las formas para reproducir o adquirir dicha información y una vez entregada la información, el solicitante acusará recibo por escrito en el formato que le proporcione la unidad; que sólo para el caso de que la entidad pública no localice la información solicitada, la Comisión Estatal de Garantía de Acceso a la Información Pública podrá ordenar la búsqueda exhaustiva de esa información. </w:t>
      </w:r>
    </w:p>
    <w:p w:rsidR="00C617A6" w:rsidRPr="00FC2319" w:rsidRDefault="00C617A6" w:rsidP="00FC2319">
      <w:pPr>
        <w:spacing w:line="240" w:lineRule="auto"/>
        <w:ind w:left="708" w:firstLine="708"/>
        <w:rPr>
          <w:rFonts w:ascii="Arial" w:hAnsi="Arial" w:cs="Arial"/>
          <w:i/>
          <w:color w:val="4F81BD" w:themeColor="accent1"/>
          <w:sz w:val="22"/>
          <w:szCs w:val="22"/>
        </w:rPr>
      </w:pPr>
    </w:p>
    <w:p w:rsidR="00C617A6" w:rsidRPr="00FC2319" w:rsidRDefault="00C617A6" w:rsidP="00FC2319">
      <w:pPr>
        <w:spacing w:line="240" w:lineRule="auto"/>
        <w:ind w:left="708" w:firstLine="708"/>
        <w:rPr>
          <w:rFonts w:ascii="Arial" w:hAnsi="Arial" w:cs="Arial"/>
          <w:i/>
          <w:color w:val="4F81BD" w:themeColor="accent1"/>
          <w:sz w:val="22"/>
          <w:szCs w:val="22"/>
        </w:rPr>
      </w:pPr>
      <w:r w:rsidRPr="00FC2319">
        <w:rPr>
          <w:rFonts w:ascii="Arial" w:hAnsi="Arial" w:cs="Arial"/>
          <w:i/>
          <w:color w:val="4F81BD" w:themeColor="accent1"/>
          <w:sz w:val="22"/>
          <w:szCs w:val="22"/>
        </w:rPr>
        <w:t xml:space="preserve">Por otra parte, el </w:t>
      </w:r>
      <w:r w:rsidRPr="00FC2319">
        <w:rPr>
          <w:rFonts w:ascii="Arial" w:hAnsi="Arial" w:cs="Arial"/>
          <w:b/>
          <w:i/>
          <w:color w:val="4F81BD" w:themeColor="accent1"/>
          <w:sz w:val="22"/>
          <w:szCs w:val="22"/>
        </w:rPr>
        <w:t>artículo 8</w:t>
      </w:r>
      <w:r w:rsidRPr="00FC2319">
        <w:rPr>
          <w:rFonts w:ascii="Arial" w:hAnsi="Arial" w:cs="Arial"/>
          <w:i/>
          <w:color w:val="4F81BD" w:themeColor="accent1"/>
          <w:sz w:val="22"/>
          <w:szCs w:val="22"/>
        </w:rPr>
        <w:t xml:space="preserve"> de nuestra Carta Magna dispone que: </w:t>
      </w:r>
    </w:p>
    <w:p w:rsidR="00C617A6" w:rsidRPr="00FC2319" w:rsidRDefault="00C617A6" w:rsidP="00FC2319">
      <w:pPr>
        <w:spacing w:line="240" w:lineRule="auto"/>
        <w:ind w:left="708" w:firstLine="708"/>
        <w:rPr>
          <w:rFonts w:ascii="Arial" w:hAnsi="Arial" w:cs="Arial"/>
          <w:i/>
          <w:color w:val="4F81BD" w:themeColor="accent1"/>
          <w:sz w:val="22"/>
          <w:szCs w:val="22"/>
        </w:rPr>
      </w:pPr>
    </w:p>
    <w:p w:rsidR="00C617A6" w:rsidRPr="00FC2319" w:rsidRDefault="00C617A6" w:rsidP="00FC2319">
      <w:pPr>
        <w:spacing w:line="240" w:lineRule="auto"/>
        <w:ind w:left="708" w:firstLine="708"/>
        <w:rPr>
          <w:rFonts w:ascii="Arial" w:hAnsi="Arial" w:cs="Arial"/>
          <w:i/>
          <w:color w:val="4F81BD" w:themeColor="accent1"/>
          <w:sz w:val="22"/>
          <w:szCs w:val="22"/>
        </w:rPr>
      </w:pPr>
      <w:r w:rsidRPr="00FC2319">
        <w:rPr>
          <w:rFonts w:ascii="Arial" w:hAnsi="Arial" w:cs="Arial"/>
          <w:i/>
          <w:color w:val="4F81BD" w:themeColor="accent1"/>
          <w:sz w:val="22"/>
          <w:szCs w:val="22"/>
        </w:rPr>
        <w:t xml:space="preserve">“[…] Los funcionarios y empleados públicos </w:t>
      </w:r>
      <w:r w:rsidRPr="00FC2319">
        <w:rPr>
          <w:rFonts w:ascii="Arial" w:hAnsi="Arial" w:cs="Arial"/>
          <w:b/>
          <w:i/>
          <w:color w:val="4F81BD" w:themeColor="accent1"/>
          <w:sz w:val="22"/>
          <w:szCs w:val="22"/>
        </w:rPr>
        <w:t>respetarán el ejercicio del derecho de petición,</w:t>
      </w:r>
      <w:r w:rsidRPr="00FC2319">
        <w:rPr>
          <w:rFonts w:ascii="Arial" w:hAnsi="Arial" w:cs="Arial"/>
          <w:i/>
          <w:color w:val="4F81BD" w:themeColor="accent1"/>
          <w:sz w:val="22"/>
          <w:szCs w:val="22"/>
        </w:rPr>
        <w:t xml:space="preserve"> siempre que ésta se formule por escrito, de manera pacífica y respetuosa; pero en materia política sólo podrán hacer uso de ese derecho los ciudadanos de la República. A toda petición deberá recaer un acuerdo escrito de la autoridad a quien se haya dirigido, la cual tiene obligación de hacerlo conocer en breve término al peticionario.” </w:t>
      </w:r>
    </w:p>
    <w:p w:rsidR="00C617A6" w:rsidRPr="00FC2319" w:rsidRDefault="00C617A6" w:rsidP="00FC2319">
      <w:pPr>
        <w:spacing w:line="240" w:lineRule="auto"/>
        <w:ind w:left="708" w:firstLine="708"/>
        <w:rPr>
          <w:rFonts w:ascii="Arial" w:hAnsi="Arial" w:cs="Arial"/>
          <w:i/>
          <w:color w:val="4F81BD" w:themeColor="accent1"/>
          <w:sz w:val="22"/>
          <w:szCs w:val="22"/>
        </w:rPr>
      </w:pPr>
    </w:p>
    <w:p w:rsidR="00C617A6" w:rsidRPr="00FC2319" w:rsidRDefault="00C617A6" w:rsidP="00FC2319">
      <w:pPr>
        <w:spacing w:line="240" w:lineRule="auto"/>
        <w:ind w:left="708" w:firstLine="708"/>
        <w:rPr>
          <w:rFonts w:ascii="Arial" w:hAnsi="Arial" w:cs="Arial"/>
          <w:b/>
          <w:i/>
          <w:color w:val="4F81BD" w:themeColor="accent1"/>
          <w:sz w:val="22"/>
          <w:szCs w:val="22"/>
        </w:rPr>
      </w:pPr>
      <w:r w:rsidRPr="00FC2319">
        <w:rPr>
          <w:rFonts w:ascii="Arial" w:hAnsi="Arial" w:cs="Arial"/>
          <w:i/>
          <w:color w:val="4F81BD" w:themeColor="accent1"/>
          <w:sz w:val="22"/>
          <w:szCs w:val="22"/>
        </w:rPr>
        <w:t xml:space="preserve">Es decir, de lo anterior se viene en conocimiento que </w:t>
      </w:r>
      <w:r w:rsidRPr="00FC2319">
        <w:rPr>
          <w:rFonts w:ascii="Arial" w:hAnsi="Arial" w:cs="Arial"/>
          <w:b/>
          <w:i/>
          <w:color w:val="4F81BD" w:themeColor="accent1"/>
          <w:sz w:val="22"/>
          <w:szCs w:val="22"/>
        </w:rPr>
        <w:t xml:space="preserve">para poder determinar la competencia de esta Comisión se debe atender a la naturaleza de lo solicitado por los quejosos ya que éstos, en ocasiones hacen valer el derecho de petición consagrado en el mencionado artículo 8 de la Constitución Federal, pues en sus solicitudes al hacer valer este derecho, el mismo no es tutelado por esta Comisión Estatal de Garantía de Acceso a la Información Pública, pues este Órgano Colegiado solamente puede conocer las quejas respecto al párrafo segundo del artículo 6 de la Carta Magna, porque los quejosos en algunas ocasiones al hacer sus solicitudes de información, en realidad hacen peticiones en las que preguntan a la autoridad sus inquietudes, quejas o sugerencias respecto a determinado tema y, en éste sentido lo que realizan es una vía formal de relación y diálogo entre los particulares y las autoridades. </w:t>
      </w:r>
    </w:p>
    <w:p w:rsidR="00C617A6" w:rsidRPr="00FC2319" w:rsidRDefault="00C617A6" w:rsidP="00FC2319">
      <w:pPr>
        <w:spacing w:line="240" w:lineRule="auto"/>
        <w:ind w:left="708" w:firstLine="708"/>
        <w:rPr>
          <w:rFonts w:ascii="Arial" w:hAnsi="Arial" w:cs="Arial"/>
          <w:i/>
          <w:color w:val="4F81BD" w:themeColor="accent1"/>
          <w:sz w:val="22"/>
          <w:szCs w:val="22"/>
        </w:rPr>
      </w:pPr>
    </w:p>
    <w:p w:rsidR="00C617A6" w:rsidRPr="00FC2319" w:rsidRDefault="00C617A6" w:rsidP="00FC2319">
      <w:pPr>
        <w:spacing w:line="240" w:lineRule="auto"/>
        <w:ind w:left="708" w:firstLine="708"/>
        <w:rPr>
          <w:rFonts w:ascii="Arial" w:hAnsi="Arial" w:cs="Arial"/>
          <w:i/>
          <w:color w:val="4F81BD" w:themeColor="accent1"/>
          <w:sz w:val="22"/>
          <w:szCs w:val="22"/>
        </w:rPr>
      </w:pPr>
      <w:r w:rsidRPr="00FC2319">
        <w:rPr>
          <w:rFonts w:ascii="Arial" w:hAnsi="Arial" w:cs="Arial"/>
          <w:i/>
          <w:color w:val="4F81BD" w:themeColor="accent1"/>
          <w:sz w:val="22"/>
          <w:szCs w:val="22"/>
        </w:rPr>
        <w:lastRenderedPageBreak/>
        <w:t>En este contexto, de acuerdo a la definición del Diccionario de la Real Academia Española en su vigésima segunda edición, el significado de la palabra “acceso” en su primera acepción proviene del latín “</w:t>
      </w:r>
      <w:proofErr w:type="spellStart"/>
      <w:r w:rsidRPr="00FC2319">
        <w:rPr>
          <w:rFonts w:ascii="Arial" w:hAnsi="Arial" w:cs="Arial"/>
          <w:i/>
          <w:color w:val="4F81BD" w:themeColor="accent1"/>
          <w:sz w:val="22"/>
          <w:szCs w:val="22"/>
        </w:rPr>
        <w:t>accessus</w:t>
      </w:r>
      <w:proofErr w:type="spellEnd"/>
      <w:r w:rsidRPr="00FC2319">
        <w:rPr>
          <w:rFonts w:ascii="Arial" w:hAnsi="Arial" w:cs="Arial"/>
          <w:i/>
          <w:color w:val="4F81BD" w:themeColor="accent1"/>
          <w:sz w:val="22"/>
          <w:szCs w:val="22"/>
        </w:rPr>
        <w:t>” y significa “[…] acción de llegar o acercarse…” y como se ha dicho el derecho de acceso a la información pública se trata de toda aquella que conste en poder de los Entes Obligados ya sea que dicha información se encuentre en documentos que pueden ser papeles escritos, o en cualquier medio o formato impreso, sonoro, electrónico, fotográfico, gráfico, visual, holográfico, electrónico o digital, es decir, que necesariamente debe de haber un respaldo que sustente la documentación solicitada y la diferencia de la palabra acceso con la de petición, es que esta última de acuerdo con el mencionado diccionario proviene del latín “</w:t>
      </w:r>
      <w:proofErr w:type="spellStart"/>
      <w:r w:rsidRPr="00FC2319">
        <w:rPr>
          <w:rFonts w:ascii="Arial" w:hAnsi="Arial" w:cs="Arial"/>
          <w:i/>
          <w:color w:val="4F81BD" w:themeColor="accent1"/>
          <w:sz w:val="22"/>
          <w:szCs w:val="22"/>
        </w:rPr>
        <w:t>petitio</w:t>
      </w:r>
      <w:proofErr w:type="spellEnd"/>
      <w:r w:rsidRPr="00FC2319">
        <w:rPr>
          <w:rFonts w:ascii="Arial" w:hAnsi="Arial" w:cs="Arial"/>
          <w:i/>
          <w:color w:val="4F81BD" w:themeColor="accent1"/>
          <w:sz w:val="22"/>
          <w:szCs w:val="22"/>
        </w:rPr>
        <w:t xml:space="preserve">, </w:t>
      </w:r>
      <w:proofErr w:type="spellStart"/>
      <w:r w:rsidRPr="00FC2319">
        <w:rPr>
          <w:rFonts w:ascii="Arial" w:hAnsi="Arial" w:cs="Arial"/>
          <w:i/>
          <w:color w:val="4F81BD" w:themeColor="accent1"/>
          <w:sz w:val="22"/>
          <w:szCs w:val="22"/>
        </w:rPr>
        <w:t>onis</w:t>
      </w:r>
      <w:proofErr w:type="spellEnd"/>
      <w:r w:rsidRPr="00FC2319">
        <w:rPr>
          <w:rFonts w:ascii="Arial" w:hAnsi="Arial" w:cs="Arial"/>
          <w:i/>
          <w:color w:val="4F81BD" w:themeColor="accent1"/>
          <w:sz w:val="22"/>
          <w:szCs w:val="22"/>
        </w:rPr>
        <w:t xml:space="preserve">” que es la “[…] Acción de pedir…”, de ahí que la información a la cual se tiene derecho de acceder es toda aquella que se encuentra en poder de los Entes Obligados, independientemente del formato en que se tenga o guarde, la entidad que la creó, administra o que esté en su posesión y, que esta información debe estar a disposición de cualquier persona, empero, </w:t>
      </w:r>
      <w:r w:rsidRPr="00FC2319">
        <w:rPr>
          <w:rFonts w:ascii="Arial" w:hAnsi="Arial" w:cs="Arial"/>
          <w:b/>
          <w:i/>
          <w:color w:val="4F81BD" w:themeColor="accent1"/>
          <w:sz w:val="22"/>
          <w:szCs w:val="22"/>
        </w:rPr>
        <w:t>no como lo pretenden los solicitantes ya que éstos confunden el acceso a la información, pues al hacer interrogantes a las autoridades le manifiestan sus inquietudes, es decir, no deducen derecho alguno de acceso a la información pública, por lo que se pone en evidencia que no se está ante la hipótesis prevista en el artículo 6, párrafo segundo, fracción III, de la Constitución Política de los Estados Unidos Mexicanos</w:t>
      </w:r>
      <w:r w:rsidRPr="00FC2319">
        <w:rPr>
          <w:rFonts w:ascii="Arial" w:hAnsi="Arial" w:cs="Arial"/>
          <w:i/>
          <w:color w:val="4F81BD" w:themeColor="accent1"/>
          <w:sz w:val="22"/>
          <w:szCs w:val="22"/>
        </w:rPr>
        <w:t xml:space="preserve"> y 17 bis de la Constitución Política del Estado Libre y Soberano de San Luis Potosí, ya que al reclamar cuestiones diversas a las previstas en los artículos citados y, habida cuenta que al no estar en algunos de los supuestos del artículo 98 de la Ley de la materia, </w:t>
      </w:r>
      <w:r w:rsidRPr="00FC2319">
        <w:rPr>
          <w:rFonts w:ascii="Arial" w:hAnsi="Arial" w:cs="Arial"/>
          <w:b/>
          <w:i/>
          <w:color w:val="4F81BD" w:themeColor="accent1"/>
          <w:sz w:val="22"/>
          <w:szCs w:val="22"/>
        </w:rPr>
        <w:t>este Órgano Colegiado no puede entrar al estudio de los agravios expuestos por los inconformes, porque su escrito de petición no es materia de esta Comisión,</w:t>
      </w:r>
      <w:r w:rsidRPr="00FC2319">
        <w:rPr>
          <w:rFonts w:ascii="Arial" w:hAnsi="Arial" w:cs="Arial"/>
          <w:i/>
          <w:color w:val="4F81BD" w:themeColor="accent1"/>
          <w:sz w:val="22"/>
          <w:szCs w:val="22"/>
        </w:rPr>
        <w:t xml:space="preserve"> sino que deberá hacer valer sus agravios o inconformidades ante las instancias correspondientes y, en su caso competentes. </w:t>
      </w:r>
    </w:p>
    <w:p w:rsidR="00C617A6" w:rsidRPr="00FC2319" w:rsidRDefault="00C617A6" w:rsidP="00FC2319">
      <w:pPr>
        <w:spacing w:line="240" w:lineRule="auto"/>
        <w:ind w:left="708" w:firstLine="708"/>
        <w:rPr>
          <w:rFonts w:ascii="Arial" w:hAnsi="Arial" w:cs="Arial"/>
          <w:i/>
          <w:color w:val="4F81BD" w:themeColor="accent1"/>
          <w:sz w:val="22"/>
          <w:szCs w:val="22"/>
        </w:rPr>
      </w:pPr>
    </w:p>
    <w:p w:rsidR="00C617A6" w:rsidRPr="00FC2319" w:rsidRDefault="00C617A6" w:rsidP="00FC2319">
      <w:pPr>
        <w:spacing w:line="240" w:lineRule="auto"/>
        <w:ind w:left="708" w:firstLine="708"/>
        <w:rPr>
          <w:rFonts w:ascii="Arial" w:hAnsi="Arial" w:cs="Arial"/>
          <w:i/>
          <w:color w:val="4F81BD" w:themeColor="accent1"/>
          <w:sz w:val="22"/>
          <w:szCs w:val="22"/>
        </w:rPr>
      </w:pPr>
      <w:r w:rsidRPr="00FC2319">
        <w:rPr>
          <w:rFonts w:ascii="Arial" w:hAnsi="Arial" w:cs="Arial"/>
          <w:i/>
          <w:color w:val="4F81BD" w:themeColor="accent1"/>
          <w:sz w:val="22"/>
          <w:szCs w:val="22"/>
        </w:rPr>
        <w:t xml:space="preserve">De todo lo anterior, se pone en conocimiento que los artículos de la Ley de Transparencia y Acceso a la Información Pública del Estado de San Luis Potosí, en síntesis regula el derecho de todas las personas de acceder a la información pública en poder de los Entes Obligado y que esta información esencialmente es realizada en documentos o en cualquier soporte que respalde la información y que ésta debe existir conforme a las facultades, atribuciones y actividades encomendadas a los Ente Obligados por Ministerio de Ley, toda vez que es el propio artículo 5 de la ley de la materia la que establece como requisito que ésta obre en posesión del Ente Obligado, es decir que se encuentre en sus archivos. </w:t>
      </w:r>
    </w:p>
    <w:p w:rsidR="00C617A6" w:rsidRPr="00FC2319" w:rsidRDefault="00C617A6" w:rsidP="00FC2319">
      <w:pPr>
        <w:spacing w:line="240" w:lineRule="auto"/>
        <w:ind w:left="708" w:firstLine="708"/>
        <w:rPr>
          <w:rFonts w:ascii="Arial" w:hAnsi="Arial" w:cs="Arial"/>
          <w:i/>
          <w:color w:val="4F81BD" w:themeColor="accent1"/>
          <w:sz w:val="22"/>
          <w:szCs w:val="22"/>
        </w:rPr>
      </w:pPr>
    </w:p>
    <w:p w:rsidR="00C617A6" w:rsidRPr="00FC2319" w:rsidRDefault="00C617A6" w:rsidP="00FC2319">
      <w:pPr>
        <w:spacing w:line="240" w:lineRule="auto"/>
        <w:ind w:left="708" w:firstLine="708"/>
        <w:rPr>
          <w:rFonts w:ascii="Arial" w:hAnsi="Arial" w:cs="Arial"/>
          <w:i/>
          <w:color w:val="4F81BD" w:themeColor="accent1"/>
          <w:sz w:val="22"/>
          <w:szCs w:val="22"/>
        </w:rPr>
      </w:pPr>
      <w:r w:rsidRPr="00FC2319">
        <w:rPr>
          <w:rFonts w:ascii="Arial" w:hAnsi="Arial" w:cs="Arial"/>
          <w:i/>
          <w:color w:val="4F81BD" w:themeColor="accent1"/>
          <w:sz w:val="22"/>
          <w:szCs w:val="22"/>
        </w:rPr>
        <w:t xml:space="preserve">En conclusión, al tener esta Comisión la facultad de conocer, iniciar, dar trámite y resolver los recursos de Queja que presenten los solicitantes de la información pública ante una negativa de acceso a la misma, o bien que el solicitante considere que la información entregada es incompleta, no corresponda con la requerida en su solicitud o no esté de acuerdo con el tiempo, formato o modalidad de entrega, tal como lo establece el referido artículo 98 de la Ley de la materia, sin embargo para estar en posibilidad de conocer y resolver el medio de impugnación mencionado, éste necesariamente debe derivarse de una solicitud de información en términos de la Ley de Transparencia y Acceso a la Información Pública del Estado de San Luis Potosí y, al momento de que los solicitantes hacen preguntas y si de éstas se advierte que no requieren algún documento, cualquiera que sea su soporte, sino lo que hacen son interrogantes para el efecto de que la autoridad les conteste en los términos precisos en que las realizan, en evidente que esta Comisión no es competente para conocer de estas negativas, precisamente porque se trata de </w:t>
      </w:r>
      <w:r w:rsidRPr="00FC2319">
        <w:rPr>
          <w:rFonts w:ascii="Arial" w:hAnsi="Arial" w:cs="Arial"/>
          <w:i/>
          <w:color w:val="4F81BD" w:themeColor="accent1"/>
          <w:sz w:val="22"/>
          <w:szCs w:val="22"/>
        </w:rPr>
        <w:lastRenderedPageBreak/>
        <w:t xml:space="preserve">un derecho de petición cuya competencia e interpretación corresponde al Poder Judicial de la Federación. </w:t>
      </w:r>
    </w:p>
    <w:p w:rsidR="00C617A6" w:rsidRPr="00FC2319" w:rsidRDefault="00C617A6" w:rsidP="00FC2319">
      <w:pPr>
        <w:spacing w:line="240" w:lineRule="auto"/>
        <w:ind w:left="708" w:firstLine="708"/>
        <w:rPr>
          <w:rFonts w:ascii="Arial" w:hAnsi="Arial" w:cs="Arial"/>
          <w:i/>
          <w:color w:val="4F81BD" w:themeColor="accent1"/>
          <w:sz w:val="22"/>
          <w:szCs w:val="22"/>
        </w:rPr>
      </w:pPr>
    </w:p>
    <w:p w:rsidR="00C617A6" w:rsidRPr="00FC2319" w:rsidRDefault="00C617A6" w:rsidP="00FC2319">
      <w:pPr>
        <w:spacing w:line="240" w:lineRule="auto"/>
        <w:ind w:left="708" w:firstLine="708"/>
        <w:rPr>
          <w:rFonts w:ascii="Arial" w:hAnsi="Arial" w:cs="Arial"/>
          <w:i/>
          <w:color w:val="4F81BD" w:themeColor="accent1"/>
          <w:sz w:val="22"/>
          <w:szCs w:val="22"/>
        </w:rPr>
      </w:pPr>
      <w:r w:rsidRPr="00FC2319">
        <w:rPr>
          <w:rFonts w:ascii="Arial" w:hAnsi="Arial" w:cs="Arial"/>
          <w:i/>
          <w:color w:val="4F81BD" w:themeColor="accent1"/>
          <w:sz w:val="22"/>
          <w:szCs w:val="22"/>
        </w:rPr>
        <w:t>La aplicación del presente criterio entrará en vigor a partir del día siguiente de su aprobación por el Pleno de esa Comisión.</w:t>
      </w:r>
    </w:p>
    <w:p w:rsidR="00C617A6" w:rsidRPr="00FC2319" w:rsidRDefault="00C617A6" w:rsidP="00FC2319">
      <w:pPr>
        <w:spacing w:line="240" w:lineRule="auto"/>
        <w:ind w:left="708" w:firstLine="708"/>
        <w:rPr>
          <w:rFonts w:ascii="Arial" w:hAnsi="Arial" w:cs="Arial"/>
          <w:i/>
          <w:color w:val="4F81BD" w:themeColor="accent1"/>
          <w:sz w:val="22"/>
          <w:szCs w:val="22"/>
        </w:rPr>
      </w:pPr>
    </w:p>
    <w:p w:rsidR="00C617A6" w:rsidRPr="00FC2319" w:rsidRDefault="00C617A6" w:rsidP="00FC2319">
      <w:pPr>
        <w:spacing w:line="240" w:lineRule="auto"/>
        <w:ind w:left="708" w:firstLine="708"/>
        <w:rPr>
          <w:rFonts w:ascii="Arial" w:hAnsi="Arial" w:cs="Arial"/>
          <w:i/>
          <w:color w:val="4F81BD" w:themeColor="accent1"/>
          <w:sz w:val="22"/>
          <w:szCs w:val="22"/>
        </w:rPr>
      </w:pPr>
      <w:r w:rsidRPr="00FC2319">
        <w:rPr>
          <w:rFonts w:ascii="Arial" w:hAnsi="Arial" w:cs="Arial"/>
          <w:i/>
          <w:color w:val="4F81BD" w:themeColor="accent1"/>
          <w:sz w:val="22"/>
          <w:szCs w:val="22"/>
        </w:rPr>
        <w:t>” Así lo aprobaron los Comisionados numerarios que integran el Consejo de la Comisión Estatal de Garantía de Acceso a la Información del Estado de San Luis Potosí, por unanimidad de votos mediante Acuerdo de Pleno en Sesión Pública Ordinaria celebrada el día siete del mes de mayo del año dos mil nueve, en el salón de Pleno de ese Órgano Colegiado, con presencia de la Secretaria Ejecutiva que autoriza y da fe”.</w:t>
      </w:r>
    </w:p>
    <w:p w:rsidR="00C617A6" w:rsidRPr="00FC2319" w:rsidRDefault="00C617A6" w:rsidP="00FC2319">
      <w:pPr>
        <w:spacing w:line="240" w:lineRule="auto"/>
        <w:ind w:left="708" w:firstLine="708"/>
        <w:rPr>
          <w:rFonts w:ascii="Arial" w:hAnsi="Arial" w:cs="Arial"/>
          <w:i/>
          <w:color w:val="4F81BD" w:themeColor="accent1"/>
          <w:sz w:val="22"/>
          <w:szCs w:val="22"/>
        </w:rPr>
      </w:pPr>
    </w:p>
    <w:p w:rsidR="001051BF" w:rsidRPr="00FC2319" w:rsidRDefault="00C617A6" w:rsidP="00FC2319">
      <w:pPr>
        <w:spacing w:line="240" w:lineRule="auto"/>
        <w:rPr>
          <w:rFonts w:ascii="Arial" w:hAnsi="Arial" w:cs="Arial"/>
          <w:color w:val="4F81BD" w:themeColor="accent1"/>
          <w:sz w:val="22"/>
          <w:szCs w:val="22"/>
        </w:rPr>
      </w:pPr>
      <w:r w:rsidRPr="00FC2319">
        <w:rPr>
          <w:rFonts w:ascii="Arial" w:hAnsi="Arial" w:cs="Arial"/>
          <w:color w:val="4F81BD" w:themeColor="accent1"/>
          <w:sz w:val="22"/>
          <w:szCs w:val="22"/>
        </w:rPr>
        <w:tab/>
      </w:r>
    </w:p>
    <w:p w:rsidR="00C617A6" w:rsidRPr="005B7D88" w:rsidRDefault="00C617A6" w:rsidP="005B7D88">
      <w:pPr>
        <w:ind w:firstLine="708"/>
        <w:rPr>
          <w:rFonts w:ascii="Arial" w:hAnsi="Arial" w:cs="Arial"/>
          <w:color w:val="4F81BD" w:themeColor="accent1"/>
          <w:szCs w:val="26"/>
        </w:rPr>
      </w:pPr>
      <w:r w:rsidRPr="005B7D88">
        <w:rPr>
          <w:rFonts w:ascii="Arial" w:hAnsi="Arial" w:cs="Arial"/>
          <w:color w:val="4F81BD" w:themeColor="accent1"/>
          <w:szCs w:val="26"/>
        </w:rPr>
        <w:t>Cabe señalar que el criterio citado fue emitido con base en la interpretación realizada a las disposiciones normativas contenidas en la Ley de Transparencia y Acceso a la Información Pública del Estado de San Luis Potosí publicada en el Diario Oficial del Estado el 18 dieciocho de octubre de 2007 dos mil siete; sin embargo, pese a tal circunstancia resulta aplicable al presente asunto en virtud de que establece las diferencias entre dos derecho de rango constitucional, como lo son el derecho a la información y el derecho de petición.</w:t>
      </w:r>
    </w:p>
    <w:p w:rsidR="00C617A6" w:rsidRPr="005B7D88" w:rsidRDefault="00C617A6" w:rsidP="005B7D88">
      <w:pPr>
        <w:spacing w:before="240"/>
        <w:rPr>
          <w:rFonts w:ascii="Arial" w:hAnsi="Arial" w:cs="Arial"/>
          <w:color w:val="4F81BD" w:themeColor="accent1"/>
          <w:szCs w:val="26"/>
        </w:rPr>
      </w:pPr>
      <w:r w:rsidRPr="005B7D88">
        <w:rPr>
          <w:rFonts w:ascii="Arial" w:hAnsi="Arial" w:cs="Arial"/>
          <w:color w:val="4F81BD" w:themeColor="accent1"/>
          <w:szCs w:val="26"/>
        </w:rPr>
        <w:tab/>
        <w:t>De igual forma, resulta aplicable, la tesis jurisprudencial emitida por el Primer Tribunal Colegiado en Materia Penal y Administrativa del Vigésimo Primer Circuito, la cual obra bajo el número de registro XXI.1o.P.A. J/27, y establece:</w:t>
      </w:r>
    </w:p>
    <w:p w:rsidR="00C617A6" w:rsidRPr="00FC2319" w:rsidRDefault="00C617A6" w:rsidP="00FC2319">
      <w:pPr>
        <w:pStyle w:val="NormalWeb"/>
        <w:ind w:left="709" w:firstLine="709"/>
        <w:jc w:val="both"/>
        <w:rPr>
          <w:rFonts w:ascii="Arial" w:hAnsi="Arial" w:cs="Arial"/>
          <w:b/>
          <w:bCs/>
          <w:i/>
          <w:color w:val="4F81BD" w:themeColor="accent1"/>
          <w:sz w:val="22"/>
          <w:szCs w:val="22"/>
        </w:rPr>
      </w:pPr>
      <w:r w:rsidRPr="00FC2319">
        <w:rPr>
          <w:rFonts w:ascii="Arial" w:hAnsi="Arial" w:cs="Arial"/>
          <w:b/>
          <w:bCs/>
          <w:i/>
          <w:color w:val="4F81BD" w:themeColor="accent1"/>
          <w:sz w:val="22"/>
          <w:szCs w:val="22"/>
        </w:rPr>
        <w:t>DERECHO DE PETICIÓN. SUS ELEMENTOS.</w:t>
      </w:r>
    </w:p>
    <w:p w:rsidR="00C617A6" w:rsidRPr="00FC2319" w:rsidRDefault="00C617A6" w:rsidP="00FC2319">
      <w:pPr>
        <w:pStyle w:val="texto"/>
        <w:ind w:left="709"/>
        <w:jc w:val="both"/>
        <w:rPr>
          <w:rStyle w:val="apple-converted-space"/>
          <w:rFonts w:ascii="Arial" w:hAnsi="Arial" w:cs="Arial"/>
          <w:i/>
          <w:color w:val="4F81BD" w:themeColor="accent1"/>
          <w:sz w:val="22"/>
          <w:szCs w:val="22"/>
        </w:rPr>
      </w:pPr>
      <w:r w:rsidRPr="00FC2319">
        <w:rPr>
          <w:rFonts w:ascii="Arial" w:hAnsi="Arial" w:cs="Arial"/>
          <w:i/>
          <w:color w:val="4F81BD" w:themeColor="accent1"/>
          <w:sz w:val="22"/>
          <w:szCs w:val="22"/>
        </w:rPr>
        <w:tab/>
        <w:t>El denominado "derecho de petición", acorde con los criterios de los tribunales del Poder Judicial de la Federación, es la garantía individual consagrada en el artículo</w:t>
      </w:r>
      <w:r w:rsidRPr="00FC2319">
        <w:rPr>
          <w:rStyle w:val="apple-converted-space"/>
          <w:rFonts w:ascii="Arial" w:hAnsi="Arial" w:cs="Arial"/>
          <w:i/>
          <w:color w:val="4F81BD" w:themeColor="accent1"/>
          <w:sz w:val="22"/>
          <w:szCs w:val="22"/>
        </w:rPr>
        <w:t> </w:t>
      </w:r>
      <w:hyperlink r:id="rId8" w:history="1">
        <w:r w:rsidRPr="00FC2319">
          <w:rPr>
            <w:rStyle w:val="Hipervnculo"/>
            <w:rFonts w:ascii="Arial" w:hAnsi="Arial" w:cs="Arial"/>
            <w:i/>
            <w:color w:val="4F81BD" w:themeColor="accent1"/>
            <w:sz w:val="22"/>
            <w:szCs w:val="22"/>
          </w:rPr>
          <w:t>8o. de la Constitución Política de los Estados Unidos Mexicanos</w:t>
        </w:r>
      </w:hyperlink>
      <w:r w:rsidRPr="00FC2319">
        <w:rPr>
          <w:rFonts w:ascii="Arial" w:hAnsi="Arial" w:cs="Arial"/>
          <w:i/>
          <w:color w:val="4F81BD" w:themeColor="accent1"/>
          <w:sz w:val="22"/>
          <w:szCs w:val="22"/>
        </w:rPr>
        <w:t xml:space="preserve">, en función de la cual cualquier gobernado que presente una petición ante una autoridad, tiene derecho a recibir una respuesta. Así, su ejercicio por el particular y la correlativa obligación de la autoridad de producir una respuesta, se caracterizan por los elementos siguientes: A. La petición: debe formularse de manera pacífica y respetuosa, dirigirse a una autoridad y recabarse la constancia de que fue entregada; además de que el peticionario ha de proporcionar el domicilio para recibir la respuesta. B. La respuesta: la autoridad debe emitir un acuerdo en breve término, entendiéndose por éste el que racionalmente se requiera para estudiar la petición y acordarla, que tendrá que ser congruente con la petición y la autoridad debe notificar el acuerdo recaído a la petición en forma personal al gobernado en el domicilio que señaló para tales efectos, sin que exista obligación de resolver en determinado sentido, esto es, el ejercicio del derecho de petición no constriñe a la autoridad ante quien se formuló, a que provea de conformidad lo solicitado por el promovente, sino que está en libertad de resolver de conformidad con los ordenamientos que </w:t>
      </w:r>
      <w:r w:rsidRPr="00FC2319">
        <w:rPr>
          <w:rFonts w:ascii="Arial" w:hAnsi="Arial" w:cs="Arial"/>
          <w:i/>
          <w:color w:val="4F81BD" w:themeColor="accent1"/>
          <w:sz w:val="22"/>
          <w:szCs w:val="22"/>
        </w:rPr>
        <w:lastRenderedPageBreak/>
        <w:t>resulten aplicables al caso, y la respuesta o trámite que se dé a la petición debe ser comunicada precisamente por la autoridad ante quien se ejercitó el derecho, y no por otra diversa.</w:t>
      </w:r>
      <w:r w:rsidRPr="00FC2319">
        <w:rPr>
          <w:rStyle w:val="apple-converted-space"/>
          <w:rFonts w:ascii="Arial" w:hAnsi="Arial" w:cs="Arial"/>
          <w:i/>
          <w:color w:val="4F81BD" w:themeColor="accent1"/>
          <w:sz w:val="22"/>
          <w:szCs w:val="22"/>
        </w:rPr>
        <w:t> </w:t>
      </w:r>
    </w:p>
    <w:p w:rsidR="00C617A6" w:rsidRPr="005B7D88" w:rsidRDefault="00C617A6" w:rsidP="005B7D88">
      <w:pPr>
        <w:rPr>
          <w:rFonts w:ascii="Arial" w:hAnsi="Arial" w:cs="Arial"/>
          <w:color w:val="4F81BD" w:themeColor="accent1"/>
          <w:szCs w:val="26"/>
        </w:rPr>
      </w:pPr>
      <w:r w:rsidRPr="00FC2319">
        <w:rPr>
          <w:rFonts w:ascii="Arial" w:hAnsi="Arial" w:cs="Arial"/>
          <w:color w:val="4F81BD" w:themeColor="accent1"/>
          <w:sz w:val="22"/>
          <w:szCs w:val="22"/>
        </w:rPr>
        <w:tab/>
      </w:r>
      <w:r w:rsidRPr="005B7D88">
        <w:rPr>
          <w:rFonts w:ascii="Arial" w:hAnsi="Arial" w:cs="Arial"/>
          <w:color w:val="4F81BD" w:themeColor="accent1"/>
          <w:szCs w:val="26"/>
        </w:rPr>
        <w:t>De los criterios anteriores se observan las diferencias entre el derecho tutelado por este Órgano Garante y el derecho consagrado por el artículo 8° de la Constitución Política de los Estados Unidos Mexicanos, por lo que esta Comisión se pronuncia respecto del punto recurrido en su inconformidad y se advierte que de origen no es relativo al derecho de acceso a la información pública, sino que se realizó acorde al derecho de petición que le asiste, por lo que se trascribe la parte conducente de la solicitud que encuadra en los supuestos de dicha garantía constitucional:</w:t>
      </w:r>
    </w:p>
    <w:p w:rsidR="00604FB2" w:rsidRPr="00FC2319" w:rsidRDefault="00545475" w:rsidP="00FC2319">
      <w:pPr>
        <w:pStyle w:val="Textoindependienteprimerasangra"/>
        <w:spacing w:before="240" w:line="240" w:lineRule="auto"/>
        <w:ind w:left="284" w:firstLine="283"/>
        <w:rPr>
          <w:rFonts w:ascii="Arial" w:eastAsia="Arial Unicode MS" w:hAnsi="Arial" w:cs="Arial"/>
          <w:i/>
          <w:color w:val="4F81BD" w:themeColor="accent1"/>
          <w:sz w:val="22"/>
          <w:szCs w:val="22"/>
          <w:lang w:val="es-MX"/>
        </w:rPr>
      </w:pPr>
      <w:r w:rsidRPr="00FC2319">
        <w:rPr>
          <w:rFonts w:ascii="Arial" w:eastAsia="Arial Unicode MS" w:hAnsi="Arial" w:cs="Arial"/>
          <w:i/>
          <w:color w:val="4F81BD" w:themeColor="accent1"/>
          <w:sz w:val="22"/>
          <w:szCs w:val="22"/>
          <w:lang w:val="es-MX"/>
        </w:rPr>
        <w:t>“En su página es evidente que hay muchos sujetos obligados que ni siquiera llegan a un 50% de sus obligaciones de transparencia, solicito las evidencias en las que se muestren las acciones que ha tomado esta comisión para que dichos sujetos obligados cumplan con sus obligaciones en materia de transparencia, ya que están demasiado concentrados en ciertos sujetos obligados que pareciera que no interesan todos aquellos que no cuentan con información que brindar a la ciudadanía y la CEGAIP no comunica nada”.</w:t>
      </w:r>
    </w:p>
    <w:p w:rsidR="00C617A6" w:rsidRPr="005B7D88" w:rsidRDefault="00C617A6" w:rsidP="005B7D88">
      <w:pPr>
        <w:spacing w:before="240"/>
        <w:ind w:firstLine="284"/>
        <w:rPr>
          <w:rFonts w:ascii="Arial" w:hAnsi="Arial" w:cs="Arial"/>
          <w:color w:val="4F81BD" w:themeColor="accent1"/>
          <w:szCs w:val="26"/>
          <w:lang w:val="es-MX"/>
        </w:rPr>
      </w:pPr>
      <w:r w:rsidRPr="005B7D88">
        <w:rPr>
          <w:rFonts w:ascii="Arial" w:hAnsi="Arial" w:cs="Arial"/>
          <w:color w:val="4F81BD" w:themeColor="accent1"/>
          <w:szCs w:val="26"/>
          <w:lang w:val="es-MX"/>
        </w:rPr>
        <w:t>En el punto en estudio, el solicitante realizó una petición a la autoridad en la que exteriorizo</w:t>
      </w:r>
      <w:r w:rsidR="00604FB2" w:rsidRPr="005B7D88">
        <w:rPr>
          <w:rFonts w:ascii="Arial" w:hAnsi="Arial" w:cs="Arial"/>
          <w:color w:val="4F81BD" w:themeColor="accent1"/>
          <w:szCs w:val="26"/>
          <w:lang w:val="es-MX"/>
        </w:rPr>
        <w:t>,</w:t>
      </w:r>
      <w:r w:rsidRPr="005B7D88">
        <w:rPr>
          <w:rFonts w:ascii="Arial" w:hAnsi="Arial" w:cs="Arial"/>
          <w:color w:val="4F81BD" w:themeColor="accent1"/>
          <w:szCs w:val="26"/>
          <w:lang w:val="es-MX"/>
        </w:rPr>
        <w:t xml:space="preserve"> tal y como se advierte, una </w:t>
      </w:r>
      <w:r w:rsidR="001051BF" w:rsidRPr="005B7D88">
        <w:rPr>
          <w:rFonts w:ascii="Arial" w:hAnsi="Arial" w:cs="Arial"/>
          <w:color w:val="4F81BD" w:themeColor="accent1"/>
          <w:szCs w:val="26"/>
          <w:lang w:val="es-MX"/>
        </w:rPr>
        <w:t>consulta</w:t>
      </w:r>
      <w:r w:rsidR="005060E5" w:rsidRPr="005B7D88">
        <w:rPr>
          <w:rFonts w:ascii="Arial" w:hAnsi="Arial" w:cs="Arial"/>
          <w:color w:val="4F81BD" w:themeColor="accent1"/>
          <w:szCs w:val="26"/>
          <w:lang w:val="es-MX"/>
        </w:rPr>
        <w:t xml:space="preserve"> respecto del cumplimiento de las obligaciones de transparencia por parte de los sujetos obligados y el supuesto interés a determinadas autoridades</w:t>
      </w:r>
      <w:r w:rsidR="00604FB2" w:rsidRPr="005B7D88">
        <w:rPr>
          <w:rFonts w:ascii="Arial" w:hAnsi="Arial" w:cs="Arial"/>
          <w:color w:val="4F81BD" w:themeColor="accent1"/>
          <w:szCs w:val="26"/>
          <w:lang w:val="es-MX"/>
        </w:rPr>
        <w:t xml:space="preserve">, </w:t>
      </w:r>
      <w:r w:rsidRPr="005B7D88">
        <w:rPr>
          <w:rFonts w:ascii="Arial" w:hAnsi="Arial" w:cs="Arial"/>
          <w:color w:val="4F81BD" w:themeColor="accent1"/>
          <w:szCs w:val="26"/>
          <w:lang w:val="es-MX"/>
        </w:rPr>
        <w:t xml:space="preserve">lo que implica que el ente obligado exponga con base en un fundamento jurídico específico un acto concreto determinando la motivación del acto, y ello forzosamente implica la generación de un documento. </w:t>
      </w:r>
    </w:p>
    <w:p w:rsidR="00C617A6" w:rsidRPr="005B7D88" w:rsidRDefault="00C617A6" w:rsidP="005B7D88">
      <w:pPr>
        <w:spacing w:before="240"/>
        <w:ind w:firstLine="284"/>
        <w:rPr>
          <w:rFonts w:ascii="Arial" w:hAnsi="Arial" w:cs="Arial"/>
          <w:color w:val="4F81BD" w:themeColor="accent1"/>
          <w:szCs w:val="26"/>
          <w:lang w:val="es-MX"/>
        </w:rPr>
      </w:pPr>
      <w:r w:rsidRPr="005B7D88">
        <w:rPr>
          <w:rFonts w:ascii="Arial" w:hAnsi="Arial" w:cs="Arial"/>
          <w:color w:val="4F81BD" w:themeColor="accent1"/>
          <w:szCs w:val="26"/>
          <w:lang w:val="es-MX"/>
        </w:rPr>
        <w:t>Lo requerido por el particular implica que se justifique el accionar de la autoridad de uno u otro modo, y no propiamente requiere el acceso a documentos en posesión del ente obligado, sino que sean generados para satisfacer su pretensión, y ello es materia del artículo 8° constitucional.</w:t>
      </w:r>
    </w:p>
    <w:p w:rsidR="00C617A6" w:rsidRPr="005B7D88" w:rsidRDefault="00C617A6" w:rsidP="005B7D88">
      <w:pPr>
        <w:spacing w:before="240"/>
        <w:rPr>
          <w:rFonts w:ascii="Arial" w:hAnsi="Arial" w:cs="Arial"/>
          <w:color w:val="4F81BD" w:themeColor="accent1"/>
          <w:szCs w:val="26"/>
          <w:lang w:val="es-MX"/>
        </w:rPr>
      </w:pPr>
      <w:r w:rsidRPr="005B7D88">
        <w:rPr>
          <w:rFonts w:ascii="Arial" w:hAnsi="Arial" w:cs="Arial"/>
          <w:color w:val="4F81BD" w:themeColor="accent1"/>
          <w:szCs w:val="26"/>
          <w:lang w:val="es-MX"/>
        </w:rPr>
        <w:tab/>
        <w:t xml:space="preserve">Derivado del análisis anterior, esta  Comisión Estatal de Garantía de Acceso a la Información Pública, </w:t>
      </w:r>
      <w:r w:rsidRPr="005B7D88">
        <w:rPr>
          <w:rFonts w:ascii="Arial" w:hAnsi="Arial" w:cs="Arial"/>
          <w:b/>
          <w:color w:val="4F81BD" w:themeColor="accent1"/>
          <w:szCs w:val="26"/>
          <w:lang w:val="es-MX"/>
        </w:rPr>
        <w:t>no es competente</w:t>
      </w:r>
      <w:r w:rsidRPr="005B7D88">
        <w:rPr>
          <w:rFonts w:ascii="Arial" w:hAnsi="Arial" w:cs="Arial"/>
          <w:color w:val="4F81BD" w:themeColor="accent1"/>
          <w:szCs w:val="26"/>
          <w:lang w:val="es-MX"/>
        </w:rPr>
        <w:t xml:space="preserve"> para conocer y entrar al estudio de los agravios expuestos, pues su escrito de petición no es materia de esta Comisión. Se dejan a salvo los derechos del </w:t>
      </w:r>
      <w:r w:rsidRPr="005B7D88">
        <w:rPr>
          <w:rFonts w:ascii="Arial" w:hAnsi="Arial" w:cs="Arial"/>
          <w:color w:val="4F81BD" w:themeColor="accent1"/>
          <w:szCs w:val="26"/>
          <w:lang w:val="es-MX"/>
        </w:rPr>
        <w:lastRenderedPageBreak/>
        <w:t>recurrente para que haga valer sus  agravios o inconformidades  ante la instancia correspondiente.</w:t>
      </w:r>
    </w:p>
    <w:p w:rsidR="00C617A6" w:rsidRPr="005B7D88" w:rsidRDefault="00C617A6" w:rsidP="005B7D88">
      <w:pPr>
        <w:shd w:val="clear" w:color="auto" w:fill="FFFFFF"/>
        <w:spacing w:before="100" w:beforeAutospacing="1" w:after="100" w:afterAutospacing="1"/>
        <w:ind w:firstLine="708"/>
        <w:rPr>
          <w:rFonts w:ascii="Arial" w:hAnsi="Arial" w:cs="Arial"/>
          <w:color w:val="4F81BD" w:themeColor="accent1"/>
          <w:szCs w:val="26"/>
          <w:lang w:val="es-MX" w:eastAsia="es-MX"/>
        </w:rPr>
      </w:pPr>
      <w:r w:rsidRPr="005B7D88">
        <w:rPr>
          <w:rFonts w:ascii="Arial" w:hAnsi="Arial" w:cs="Arial"/>
          <w:color w:val="4F81BD" w:themeColor="accent1"/>
          <w:szCs w:val="26"/>
          <w:lang w:val="es-MX" w:eastAsia="es-MX"/>
        </w:rPr>
        <w:t>Por lo anteriormente expuesto y fundado se:</w:t>
      </w:r>
    </w:p>
    <w:p w:rsidR="00604FB2" w:rsidRPr="005B7D88" w:rsidRDefault="00604FB2" w:rsidP="005B7D88">
      <w:pPr>
        <w:shd w:val="clear" w:color="auto" w:fill="FFFFFF"/>
        <w:jc w:val="center"/>
        <w:rPr>
          <w:rFonts w:ascii="Arial" w:hAnsi="Arial" w:cs="Arial"/>
          <w:color w:val="4F81BD" w:themeColor="accent1"/>
          <w:szCs w:val="26"/>
          <w:lang w:val="es-MX" w:eastAsia="es-MX"/>
        </w:rPr>
      </w:pPr>
      <w:r w:rsidRPr="005B7D88">
        <w:rPr>
          <w:rFonts w:ascii="Arial" w:hAnsi="Arial" w:cs="Arial"/>
          <w:b/>
          <w:bCs/>
          <w:color w:val="4F81BD" w:themeColor="accent1"/>
          <w:szCs w:val="26"/>
          <w:lang w:val="es-MX" w:eastAsia="es-MX"/>
        </w:rPr>
        <w:t>R E S U E L V E:</w:t>
      </w:r>
    </w:p>
    <w:p w:rsidR="00604FB2" w:rsidRPr="005B7D88" w:rsidRDefault="00604FB2" w:rsidP="005B7D88">
      <w:pPr>
        <w:spacing w:before="240" w:after="240"/>
        <w:ind w:firstLine="708"/>
        <w:rPr>
          <w:rFonts w:ascii="Arial" w:hAnsi="Arial" w:cs="Arial"/>
          <w:color w:val="4F81BD" w:themeColor="accent1"/>
          <w:szCs w:val="26"/>
        </w:rPr>
      </w:pPr>
      <w:r w:rsidRPr="005B7D88">
        <w:rPr>
          <w:rFonts w:ascii="Arial" w:hAnsi="Arial" w:cs="Arial"/>
          <w:b/>
          <w:color w:val="4F81BD" w:themeColor="accent1"/>
          <w:szCs w:val="26"/>
        </w:rPr>
        <w:t xml:space="preserve">ÚNICO. </w:t>
      </w:r>
      <w:r w:rsidRPr="005B7D88">
        <w:rPr>
          <w:rFonts w:ascii="Arial" w:hAnsi="Arial" w:cs="Arial"/>
          <w:color w:val="4F81BD" w:themeColor="accent1"/>
          <w:szCs w:val="26"/>
        </w:rPr>
        <w:t xml:space="preserve">Con fundamento en los artículos 1°, 3° fracción XII y 27 de la Ley de Transparencia y Acceso a la Información Pública del Estado de San Luis Potosí, esta Comisión Estatal de Garantía y Acceso a la Información Pública, </w:t>
      </w:r>
      <w:r w:rsidRPr="005B7D88">
        <w:rPr>
          <w:rFonts w:ascii="Arial" w:hAnsi="Arial" w:cs="Arial"/>
          <w:b/>
          <w:color w:val="4F81BD" w:themeColor="accent1"/>
          <w:szCs w:val="26"/>
        </w:rPr>
        <w:t xml:space="preserve">no es competente </w:t>
      </w:r>
      <w:r w:rsidRPr="005B7D88">
        <w:rPr>
          <w:rFonts w:ascii="Arial" w:hAnsi="Arial" w:cs="Arial"/>
          <w:color w:val="4F81BD" w:themeColor="accent1"/>
          <w:szCs w:val="26"/>
        </w:rPr>
        <w:t>para conocer y resolver este medio de impugnación por las razones desarrolladas en el considerando Único de esta resolución.</w:t>
      </w:r>
    </w:p>
    <w:p w:rsidR="00604FB2" w:rsidRPr="005B7D88" w:rsidRDefault="00604FB2" w:rsidP="005B7D88">
      <w:pPr>
        <w:spacing w:before="240" w:after="240"/>
        <w:rPr>
          <w:rFonts w:ascii="Arial" w:hAnsi="Arial" w:cs="Arial"/>
          <w:color w:val="4F81BD" w:themeColor="accent1"/>
          <w:szCs w:val="26"/>
        </w:rPr>
      </w:pPr>
      <w:r w:rsidRPr="005B7D88">
        <w:rPr>
          <w:rFonts w:ascii="Arial" w:hAnsi="Arial" w:cs="Arial"/>
          <w:color w:val="4F81BD" w:themeColor="accent1"/>
          <w:szCs w:val="26"/>
        </w:rPr>
        <w:tab/>
        <w:t>Notifíquese personalmente a las partes el contenido de la presente resolución, de conformidad con el artículo 177 de la Ley de Transparencia y Acceso a la Información Pública del Estado.</w:t>
      </w:r>
    </w:p>
    <w:p w:rsidR="00604FB2" w:rsidRPr="005B7D88" w:rsidRDefault="00604FB2" w:rsidP="005B7D88">
      <w:pPr>
        <w:spacing w:before="240" w:after="240"/>
        <w:rPr>
          <w:rFonts w:ascii="Arial" w:hAnsi="Arial" w:cs="Arial"/>
          <w:color w:val="4F81BD" w:themeColor="accent1"/>
          <w:szCs w:val="26"/>
        </w:rPr>
      </w:pPr>
      <w:r w:rsidRPr="005B7D88">
        <w:rPr>
          <w:rFonts w:ascii="Arial" w:hAnsi="Arial" w:cs="Arial"/>
          <w:color w:val="4F81BD" w:themeColor="accent1"/>
          <w:szCs w:val="26"/>
        </w:rPr>
        <w:tab/>
        <w:t xml:space="preserve">Se hace de conocimiento del recurrente que se dejan a salvo sus derechos para que los haga valer ante la instancia correspondiente. </w:t>
      </w:r>
    </w:p>
    <w:p w:rsidR="00604FB2" w:rsidRPr="005B7D88" w:rsidRDefault="00604FB2" w:rsidP="005B7D88">
      <w:pPr>
        <w:spacing w:before="240" w:after="240"/>
        <w:ind w:firstLine="708"/>
        <w:rPr>
          <w:rFonts w:ascii="Arial" w:hAnsi="Arial" w:cs="Arial"/>
          <w:color w:val="4F81BD" w:themeColor="accent1"/>
          <w:szCs w:val="26"/>
        </w:rPr>
      </w:pPr>
      <w:r w:rsidRPr="005B7D88">
        <w:rPr>
          <w:rFonts w:ascii="Arial" w:hAnsi="Arial" w:cs="Arial"/>
          <w:color w:val="4F81BD" w:themeColor="accent1"/>
          <w:szCs w:val="26"/>
        </w:rPr>
        <w:t>En caso de no estar de acuerdo con los términos de la resolución dictada, podrá impugnar la presente resolución a través del Juicio de Amparo Indirecto que promueva ante el Poder Judicial de la Federación, lo anterior de conformidad con lo dispuesto en el artículo 159 de la Ley General de Transparencia y Acceso a la Información Pública.</w:t>
      </w:r>
    </w:p>
    <w:p w:rsidR="000D3652" w:rsidRPr="005B7D88" w:rsidRDefault="000D3652" w:rsidP="005B7D88">
      <w:pPr>
        <w:pStyle w:val="Textoindependienteprimerasangra"/>
        <w:spacing w:after="0"/>
        <w:ind w:firstLine="0"/>
        <w:rPr>
          <w:rFonts w:ascii="Arial" w:eastAsia="Arial Unicode MS" w:hAnsi="Arial" w:cs="Arial"/>
          <w:color w:val="4F81BD" w:themeColor="accent1"/>
          <w:szCs w:val="26"/>
          <w:lang w:val="es-MX"/>
        </w:rPr>
      </w:pPr>
      <w:r w:rsidRPr="005B7D88">
        <w:rPr>
          <w:rFonts w:ascii="Arial" w:hAnsi="Arial" w:cs="Arial"/>
          <w:color w:val="4F81BD" w:themeColor="accent1"/>
          <w:szCs w:val="26"/>
        </w:rPr>
        <w:tab/>
        <w:t xml:space="preserve">Así lo resuelve, por unanimidad de votos, el pleno de la Comisión Estatal de Garantía de Acceso a la Información Pública, conformado por los Comisionados  Alejando Lafuente Torres, </w:t>
      </w:r>
      <w:r w:rsidR="005060E5" w:rsidRPr="005B7D88">
        <w:rPr>
          <w:rFonts w:ascii="Arial" w:hAnsi="Arial" w:cs="Arial"/>
          <w:color w:val="4F81BD" w:themeColor="accent1"/>
          <w:szCs w:val="26"/>
        </w:rPr>
        <w:t>Paulina Sánchez Pérez del Poza</w:t>
      </w:r>
      <w:r w:rsidRPr="005B7D88">
        <w:rPr>
          <w:rFonts w:ascii="Arial" w:hAnsi="Arial" w:cs="Arial"/>
          <w:color w:val="4F81BD" w:themeColor="accent1"/>
          <w:szCs w:val="26"/>
        </w:rPr>
        <w:t xml:space="preserve"> y Claudia Elizabeth Ávalos Cedillo, </w:t>
      </w:r>
      <w:r w:rsidR="005060E5" w:rsidRPr="005B7D88">
        <w:rPr>
          <w:rFonts w:ascii="Arial" w:hAnsi="Arial" w:cs="Arial"/>
          <w:color w:val="4F81BD" w:themeColor="accent1"/>
          <w:szCs w:val="26"/>
        </w:rPr>
        <w:t xml:space="preserve">siendo ponente la tercera de los nombrados, </w:t>
      </w:r>
      <w:r w:rsidRPr="005B7D88">
        <w:rPr>
          <w:rFonts w:ascii="Arial" w:hAnsi="Arial" w:cs="Arial"/>
          <w:color w:val="4F81BD" w:themeColor="accent1"/>
          <w:szCs w:val="26"/>
        </w:rPr>
        <w:t xml:space="preserve">en la sesión </w:t>
      </w:r>
      <w:r w:rsidR="00385962" w:rsidRPr="005B7D88">
        <w:rPr>
          <w:rFonts w:ascii="Arial" w:hAnsi="Arial" w:cs="Arial"/>
          <w:color w:val="4F81BD" w:themeColor="accent1"/>
          <w:szCs w:val="26"/>
        </w:rPr>
        <w:t>Extra</w:t>
      </w:r>
      <w:r w:rsidRPr="005B7D88">
        <w:rPr>
          <w:rFonts w:ascii="Arial" w:hAnsi="Arial" w:cs="Arial"/>
          <w:color w:val="4F81BD" w:themeColor="accent1"/>
          <w:szCs w:val="26"/>
        </w:rPr>
        <w:t xml:space="preserve">ordinaria celebrada el </w:t>
      </w:r>
      <w:r w:rsidR="005060E5" w:rsidRPr="005B7D88">
        <w:rPr>
          <w:rFonts w:ascii="Arial" w:eastAsia="Arial Unicode MS" w:hAnsi="Arial" w:cs="Arial"/>
          <w:color w:val="4F81BD" w:themeColor="accent1"/>
          <w:szCs w:val="26"/>
          <w:lang w:val="es-MX"/>
        </w:rPr>
        <w:t>07 siete de marzo de 2018 dos mil dieciocho</w:t>
      </w:r>
      <w:r w:rsidRPr="005B7D88">
        <w:rPr>
          <w:rFonts w:ascii="Arial" w:hAnsi="Arial" w:cs="Arial"/>
          <w:color w:val="4F81BD" w:themeColor="accent1"/>
          <w:szCs w:val="26"/>
        </w:rPr>
        <w:t>, ante la Secretaria Ejecutiva Rosa María Motilla García.</w:t>
      </w:r>
    </w:p>
    <w:p w:rsidR="000D3652" w:rsidRPr="005B7D88" w:rsidRDefault="000D3652" w:rsidP="005B7D88">
      <w:pPr>
        <w:spacing w:before="240" w:after="240"/>
        <w:rPr>
          <w:rFonts w:ascii="Arial" w:hAnsi="Arial" w:cs="Arial"/>
          <w:color w:val="4F81BD" w:themeColor="accent1"/>
          <w:szCs w:val="26"/>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47"/>
        <w:gridCol w:w="4347"/>
      </w:tblGrid>
      <w:tr w:rsidR="005060E5" w:rsidRPr="00A13D1B" w:rsidTr="00447683">
        <w:tc>
          <w:tcPr>
            <w:tcW w:w="4347" w:type="dxa"/>
          </w:tcPr>
          <w:p w:rsidR="005060E5" w:rsidRPr="00A13D1B" w:rsidRDefault="005060E5">
            <w:pPr>
              <w:spacing w:after="240"/>
              <w:jc w:val="center"/>
              <w:rPr>
                <w:rFonts w:ascii="Arial" w:hAnsi="Arial" w:cs="Arial"/>
                <w:b/>
                <w:color w:val="4F81BD" w:themeColor="accent1"/>
                <w:sz w:val="24"/>
                <w:szCs w:val="26"/>
              </w:rPr>
            </w:pPr>
            <w:r w:rsidRPr="00A13D1B">
              <w:rPr>
                <w:rFonts w:ascii="Arial" w:hAnsi="Arial" w:cs="Arial"/>
                <w:b/>
                <w:color w:val="4F81BD" w:themeColor="accent1"/>
                <w:sz w:val="24"/>
                <w:szCs w:val="26"/>
              </w:rPr>
              <w:lastRenderedPageBreak/>
              <w:t>COMISIONADO PRESIDENTE</w:t>
            </w:r>
          </w:p>
          <w:p w:rsidR="005060E5" w:rsidRPr="00A13D1B" w:rsidRDefault="005060E5">
            <w:pPr>
              <w:spacing w:before="240" w:after="240"/>
              <w:jc w:val="center"/>
              <w:rPr>
                <w:rFonts w:ascii="Arial" w:hAnsi="Arial" w:cs="Arial"/>
                <w:b/>
                <w:color w:val="4F81BD" w:themeColor="accent1"/>
                <w:sz w:val="24"/>
                <w:szCs w:val="26"/>
              </w:rPr>
            </w:pPr>
          </w:p>
          <w:p w:rsidR="005060E5" w:rsidRPr="00A13D1B" w:rsidRDefault="005060E5">
            <w:pPr>
              <w:spacing w:before="240" w:after="240"/>
              <w:jc w:val="center"/>
              <w:rPr>
                <w:rFonts w:ascii="Arial" w:hAnsi="Arial" w:cs="Arial"/>
                <w:color w:val="4F81BD" w:themeColor="accent1"/>
              </w:rPr>
            </w:pPr>
            <w:r w:rsidRPr="00A13D1B">
              <w:rPr>
                <w:rFonts w:ascii="Arial" w:hAnsi="Arial" w:cs="Arial"/>
                <w:b/>
                <w:color w:val="4F81BD" w:themeColor="accent1"/>
                <w:sz w:val="24"/>
                <w:szCs w:val="26"/>
              </w:rPr>
              <w:t>ALEJANDRO LAFUENTE TORRES</w:t>
            </w:r>
          </w:p>
        </w:tc>
        <w:tc>
          <w:tcPr>
            <w:tcW w:w="4347" w:type="dxa"/>
          </w:tcPr>
          <w:p w:rsidR="005060E5" w:rsidRPr="00A13D1B" w:rsidRDefault="005060E5">
            <w:pPr>
              <w:spacing w:after="240"/>
              <w:ind w:left="48"/>
              <w:jc w:val="center"/>
              <w:rPr>
                <w:rFonts w:ascii="Arial" w:hAnsi="Arial" w:cs="Arial"/>
                <w:b/>
                <w:color w:val="4F81BD" w:themeColor="accent1"/>
                <w:sz w:val="24"/>
                <w:szCs w:val="26"/>
              </w:rPr>
            </w:pPr>
            <w:r w:rsidRPr="00A13D1B">
              <w:rPr>
                <w:rFonts w:ascii="Arial" w:hAnsi="Arial" w:cs="Arial"/>
                <w:b/>
                <w:color w:val="4F81BD" w:themeColor="accent1"/>
                <w:sz w:val="24"/>
                <w:szCs w:val="26"/>
              </w:rPr>
              <w:t>COMISIONADA</w:t>
            </w:r>
          </w:p>
          <w:p w:rsidR="005060E5" w:rsidRPr="00A13D1B" w:rsidRDefault="005060E5">
            <w:pPr>
              <w:spacing w:before="240" w:after="240"/>
              <w:jc w:val="center"/>
              <w:rPr>
                <w:rFonts w:ascii="Arial" w:hAnsi="Arial" w:cs="Arial"/>
                <w:b/>
                <w:color w:val="4F81BD" w:themeColor="accent1"/>
                <w:sz w:val="24"/>
                <w:szCs w:val="26"/>
              </w:rPr>
            </w:pPr>
          </w:p>
          <w:p w:rsidR="005060E5" w:rsidRPr="00A13D1B" w:rsidRDefault="005060E5">
            <w:pPr>
              <w:spacing w:before="240" w:after="240"/>
              <w:jc w:val="center"/>
              <w:rPr>
                <w:rFonts w:ascii="Arial" w:hAnsi="Arial" w:cs="Arial"/>
                <w:b/>
                <w:color w:val="4F81BD" w:themeColor="accent1"/>
                <w:sz w:val="24"/>
                <w:szCs w:val="26"/>
              </w:rPr>
            </w:pPr>
            <w:r w:rsidRPr="00A13D1B">
              <w:rPr>
                <w:rFonts w:ascii="Arial" w:hAnsi="Arial" w:cs="Arial"/>
                <w:b/>
                <w:color w:val="4F81BD" w:themeColor="accent1"/>
                <w:sz w:val="24"/>
                <w:szCs w:val="26"/>
              </w:rPr>
              <w:t>PAULINA SÁNCHEZ PÉREZ DEL POZO</w:t>
            </w:r>
          </w:p>
          <w:p w:rsidR="005060E5" w:rsidRPr="00A13D1B" w:rsidRDefault="005060E5">
            <w:pPr>
              <w:spacing w:before="240" w:after="240"/>
              <w:jc w:val="center"/>
              <w:rPr>
                <w:rFonts w:ascii="Arial" w:hAnsi="Arial" w:cs="Arial"/>
                <w:color w:val="4F81BD" w:themeColor="accent1"/>
              </w:rPr>
            </w:pPr>
          </w:p>
        </w:tc>
      </w:tr>
      <w:tr w:rsidR="005060E5" w:rsidRPr="00A13D1B" w:rsidTr="00447683">
        <w:trPr>
          <w:trHeight w:val="2075"/>
        </w:trPr>
        <w:tc>
          <w:tcPr>
            <w:tcW w:w="4347" w:type="dxa"/>
          </w:tcPr>
          <w:p w:rsidR="005060E5" w:rsidRPr="00A13D1B" w:rsidRDefault="005060E5">
            <w:pPr>
              <w:spacing w:after="240" w:line="276" w:lineRule="auto"/>
              <w:jc w:val="center"/>
              <w:rPr>
                <w:rFonts w:ascii="Arial" w:hAnsi="Arial" w:cs="Arial"/>
                <w:b/>
                <w:color w:val="4F81BD" w:themeColor="accent1"/>
                <w:sz w:val="24"/>
                <w:szCs w:val="26"/>
              </w:rPr>
            </w:pPr>
            <w:r w:rsidRPr="00A13D1B">
              <w:rPr>
                <w:rFonts w:ascii="Arial" w:hAnsi="Arial" w:cs="Arial"/>
                <w:b/>
                <w:color w:val="4F81BD" w:themeColor="accent1"/>
                <w:sz w:val="24"/>
                <w:szCs w:val="26"/>
              </w:rPr>
              <w:t>COMISIONADA</w:t>
            </w:r>
            <w:bookmarkStart w:id="0" w:name="_GoBack"/>
            <w:bookmarkEnd w:id="0"/>
          </w:p>
          <w:p w:rsidR="005060E5" w:rsidRPr="00A13D1B" w:rsidRDefault="005060E5">
            <w:pPr>
              <w:spacing w:line="276" w:lineRule="auto"/>
              <w:rPr>
                <w:rFonts w:ascii="Arial" w:hAnsi="Arial" w:cs="Arial"/>
                <w:b/>
                <w:color w:val="4F81BD" w:themeColor="accent1"/>
                <w:sz w:val="24"/>
                <w:szCs w:val="26"/>
              </w:rPr>
            </w:pPr>
          </w:p>
          <w:p w:rsidR="005060E5" w:rsidRPr="00A13D1B" w:rsidRDefault="005060E5">
            <w:pPr>
              <w:rPr>
                <w:rFonts w:ascii="Arial" w:hAnsi="Arial" w:cs="Arial"/>
                <w:b/>
                <w:color w:val="4F81BD" w:themeColor="accent1"/>
                <w:sz w:val="24"/>
                <w:szCs w:val="26"/>
              </w:rPr>
            </w:pPr>
          </w:p>
          <w:p w:rsidR="005060E5" w:rsidRPr="00A13D1B" w:rsidRDefault="005060E5">
            <w:pPr>
              <w:spacing w:before="240" w:after="240" w:line="276" w:lineRule="auto"/>
              <w:jc w:val="center"/>
              <w:rPr>
                <w:rFonts w:ascii="Arial" w:hAnsi="Arial" w:cs="Arial"/>
                <w:color w:val="4F81BD" w:themeColor="accent1"/>
              </w:rPr>
            </w:pPr>
            <w:r w:rsidRPr="00A13D1B">
              <w:rPr>
                <w:rFonts w:ascii="Arial" w:hAnsi="Arial" w:cs="Arial"/>
                <w:b/>
                <w:color w:val="4F81BD" w:themeColor="accent1"/>
                <w:sz w:val="24"/>
                <w:szCs w:val="26"/>
              </w:rPr>
              <w:t>CLAUDIA ELIZABETH ÁVALOS CEDILLO</w:t>
            </w:r>
          </w:p>
        </w:tc>
        <w:tc>
          <w:tcPr>
            <w:tcW w:w="4347" w:type="dxa"/>
          </w:tcPr>
          <w:p w:rsidR="005060E5" w:rsidRPr="00A13D1B" w:rsidRDefault="005060E5">
            <w:pPr>
              <w:ind w:left="48" w:firstLine="2"/>
              <w:jc w:val="center"/>
              <w:rPr>
                <w:rFonts w:ascii="Arial" w:hAnsi="Arial" w:cs="Arial"/>
                <w:b/>
                <w:color w:val="4F81BD" w:themeColor="accent1"/>
                <w:sz w:val="24"/>
                <w:szCs w:val="26"/>
              </w:rPr>
            </w:pPr>
            <w:r w:rsidRPr="00A13D1B">
              <w:rPr>
                <w:rFonts w:ascii="Arial" w:hAnsi="Arial" w:cs="Arial"/>
                <w:b/>
                <w:color w:val="4F81BD" w:themeColor="accent1"/>
                <w:sz w:val="24"/>
                <w:szCs w:val="26"/>
              </w:rPr>
              <w:t>SECRETARIA DE PLENO</w:t>
            </w:r>
          </w:p>
          <w:p w:rsidR="005060E5" w:rsidRPr="00A13D1B" w:rsidRDefault="005060E5">
            <w:pPr>
              <w:ind w:left="48"/>
              <w:jc w:val="center"/>
              <w:rPr>
                <w:rFonts w:ascii="Arial" w:hAnsi="Arial" w:cs="Arial"/>
                <w:b/>
                <w:color w:val="4F81BD" w:themeColor="accent1"/>
                <w:sz w:val="24"/>
                <w:szCs w:val="26"/>
              </w:rPr>
            </w:pPr>
          </w:p>
          <w:p w:rsidR="005060E5" w:rsidRPr="00A13D1B" w:rsidRDefault="005060E5">
            <w:pPr>
              <w:spacing w:before="240"/>
              <w:rPr>
                <w:rFonts w:ascii="Arial" w:hAnsi="Arial" w:cs="Arial"/>
                <w:b/>
                <w:color w:val="4F81BD" w:themeColor="accent1"/>
                <w:sz w:val="24"/>
                <w:szCs w:val="26"/>
              </w:rPr>
            </w:pPr>
          </w:p>
          <w:p w:rsidR="005060E5" w:rsidRPr="00A13D1B" w:rsidRDefault="005060E5">
            <w:pPr>
              <w:ind w:left="48"/>
              <w:jc w:val="center"/>
              <w:rPr>
                <w:rFonts w:ascii="Arial" w:hAnsi="Arial" w:cs="Arial"/>
                <w:b/>
                <w:color w:val="4F81BD" w:themeColor="accent1"/>
                <w:sz w:val="24"/>
                <w:szCs w:val="26"/>
              </w:rPr>
            </w:pPr>
            <w:r w:rsidRPr="00A13D1B">
              <w:rPr>
                <w:rFonts w:ascii="Arial" w:hAnsi="Arial" w:cs="Arial"/>
                <w:b/>
                <w:color w:val="4F81BD" w:themeColor="accent1"/>
                <w:sz w:val="24"/>
                <w:szCs w:val="26"/>
              </w:rPr>
              <w:t>ROSA MARÍA MOTILLA GARCÍA</w:t>
            </w:r>
          </w:p>
        </w:tc>
      </w:tr>
    </w:tbl>
    <w:tbl>
      <w:tblPr>
        <w:tblW w:w="10613" w:type="dxa"/>
        <w:jc w:val="center"/>
        <w:tblInd w:w="-432" w:type="dxa"/>
        <w:tblLook w:val="01E0"/>
      </w:tblPr>
      <w:tblGrid>
        <w:gridCol w:w="4880"/>
        <w:gridCol w:w="358"/>
        <w:gridCol w:w="5375"/>
      </w:tblGrid>
      <w:tr w:rsidR="000D3652" w:rsidRPr="00A13D1B" w:rsidTr="00447683">
        <w:trPr>
          <w:trHeight w:val="244"/>
          <w:jc w:val="center"/>
        </w:trPr>
        <w:tc>
          <w:tcPr>
            <w:tcW w:w="4880" w:type="dxa"/>
          </w:tcPr>
          <w:p w:rsidR="000D3652" w:rsidRPr="00A13D1B" w:rsidRDefault="000D3652" w:rsidP="00447683">
            <w:pPr>
              <w:ind w:left="97"/>
              <w:jc w:val="center"/>
              <w:rPr>
                <w:rFonts w:ascii="Arial" w:hAnsi="Arial" w:cs="Arial"/>
                <w:b/>
                <w:color w:val="4F81BD" w:themeColor="accent1"/>
                <w:szCs w:val="26"/>
              </w:rPr>
            </w:pPr>
          </w:p>
        </w:tc>
        <w:tc>
          <w:tcPr>
            <w:tcW w:w="358" w:type="dxa"/>
          </w:tcPr>
          <w:p w:rsidR="000D3652" w:rsidRPr="00A13D1B" w:rsidRDefault="000D3652" w:rsidP="00447683">
            <w:pPr>
              <w:ind w:left="360" w:firstLine="708"/>
              <w:jc w:val="center"/>
              <w:rPr>
                <w:rFonts w:ascii="Arial" w:hAnsi="Arial" w:cs="Arial"/>
                <w:b/>
                <w:color w:val="4F81BD" w:themeColor="accent1"/>
                <w:szCs w:val="26"/>
              </w:rPr>
            </w:pPr>
          </w:p>
        </w:tc>
        <w:tc>
          <w:tcPr>
            <w:tcW w:w="5375" w:type="dxa"/>
          </w:tcPr>
          <w:p w:rsidR="000D3652" w:rsidRPr="00A13D1B" w:rsidRDefault="000D3652" w:rsidP="00447683">
            <w:pPr>
              <w:jc w:val="center"/>
              <w:rPr>
                <w:rFonts w:ascii="Arial" w:hAnsi="Arial" w:cs="Arial"/>
                <w:b/>
                <w:color w:val="4F81BD" w:themeColor="accent1"/>
                <w:szCs w:val="26"/>
              </w:rPr>
            </w:pPr>
          </w:p>
        </w:tc>
      </w:tr>
    </w:tbl>
    <w:p w:rsidR="000D3652" w:rsidRPr="00A13D1B" w:rsidRDefault="000D3652" w:rsidP="000D3652">
      <w:pPr>
        <w:spacing w:after="240" w:line="240" w:lineRule="auto"/>
        <w:rPr>
          <w:rFonts w:ascii="Arial" w:hAnsi="Arial" w:cs="Arial"/>
          <w:i/>
          <w:color w:val="4F81BD" w:themeColor="accent1"/>
          <w:sz w:val="22"/>
          <w:szCs w:val="26"/>
        </w:rPr>
      </w:pPr>
      <w:r w:rsidRPr="00A13D1B">
        <w:rPr>
          <w:rFonts w:ascii="Arial" w:hAnsi="Arial" w:cs="Arial"/>
          <w:i/>
          <w:color w:val="4F81BD" w:themeColor="accent1"/>
          <w:sz w:val="18"/>
        </w:rPr>
        <w:tab/>
        <w:t>Estas firmas pertenecen a la última foja de la resolución pronunciad</w:t>
      </w:r>
      <w:r w:rsidR="00757558" w:rsidRPr="00A13D1B">
        <w:rPr>
          <w:rFonts w:ascii="Arial" w:hAnsi="Arial" w:cs="Arial"/>
          <w:i/>
          <w:color w:val="4F81BD" w:themeColor="accent1"/>
          <w:sz w:val="18"/>
        </w:rPr>
        <w:t xml:space="preserve">a en el recurso de revisión  </w:t>
      </w:r>
      <w:r w:rsidR="005060E5" w:rsidRPr="00A13D1B">
        <w:rPr>
          <w:rFonts w:ascii="Arial" w:hAnsi="Arial" w:cs="Arial"/>
          <w:i/>
          <w:color w:val="4F81BD" w:themeColor="accent1"/>
          <w:sz w:val="18"/>
        </w:rPr>
        <w:t>051/2018</w:t>
      </w:r>
      <w:r w:rsidRPr="00A13D1B">
        <w:rPr>
          <w:rFonts w:ascii="Arial" w:hAnsi="Arial" w:cs="Arial"/>
          <w:i/>
          <w:color w:val="4F81BD" w:themeColor="accent1"/>
          <w:sz w:val="18"/>
        </w:rPr>
        <w:t>-3 apr</w:t>
      </w:r>
      <w:r w:rsidR="00604FB2" w:rsidRPr="00A13D1B">
        <w:rPr>
          <w:rFonts w:ascii="Arial" w:hAnsi="Arial" w:cs="Arial"/>
          <w:i/>
          <w:color w:val="4F81BD" w:themeColor="accent1"/>
          <w:sz w:val="18"/>
        </w:rPr>
        <w:t xml:space="preserve">obada en sesión </w:t>
      </w:r>
      <w:r w:rsidR="00385962" w:rsidRPr="00A13D1B">
        <w:rPr>
          <w:rFonts w:ascii="Arial" w:hAnsi="Arial" w:cs="Arial"/>
          <w:i/>
          <w:color w:val="4F81BD" w:themeColor="accent1"/>
          <w:sz w:val="18"/>
        </w:rPr>
        <w:t>Extra</w:t>
      </w:r>
      <w:r w:rsidR="00604FB2" w:rsidRPr="00A13D1B">
        <w:rPr>
          <w:rFonts w:ascii="Arial" w:hAnsi="Arial" w:cs="Arial"/>
          <w:i/>
          <w:color w:val="4F81BD" w:themeColor="accent1"/>
          <w:sz w:val="18"/>
        </w:rPr>
        <w:t xml:space="preserve">ordinaria del </w:t>
      </w:r>
      <w:r w:rsidR="005060E5" w:rsidRPr="00A13D1B">
        <w:rPr>
          <w:rFonts w:ascii="Arial" w:hAnsi="Arial" w:cs="Arial"/>
          <w:i/>
          <w:color w:val="4F81BD" w:themeColor="accent1"/>
          <w:sz w:val="18"/>
        </w:rPr>
        <w:t>siete de marzo de dos mil dieciocho</w:t>
      </w:r>
      <w:r w:rsidRPr="00A13D1B">
        <w:rPr>
          <w:rFonts w:ascii="Arial" w:hAnsi="Arial" w:cs="Arial"/>
          <w:i/>
          <w:color w:val="4F81BD" w:themeColor="accent1"/>
          <w:sz w:val="18"/>
        </w:rPr>
        <w:t>.</w:t>
      </w:r>
    </w:p>
    <w:p w:rsidR="000D3652" w:rsidRPr="00A13D1B" w:rsidRDefault="000D3652" w:rsidP="000D3652">
      <w:pPr>
        <w:spacing w:before="240"/>
        <w:rPr>
          <w:rFonts w:ascii="Arial" w:hAnsi="Arial" w:cs="Arial"/>
          <w:i/>
          <w:color w:val="4F81BD" w:themeColor="accent1"/>
          <w:sz w:val="16"/>
        </w:rPr>
      </w:pPr>
      <w:r w:rsidRPr="00A13D1B">
        <w:rPr>
          <w:rFonts w:ascii="Arial" w:hAnsi="Arial" w:cs="Arial"/>
          <w:i/>
          <w:color w:val="4F81BD" w:themeColor="accent1"/>
          <w:sz w:val="16"/>
        </w:rPr>
        <w:t>Elaboró y cotejó:</w:t>
      </w:r>
    </w:p>
    <w:p w:rsidR="000D3652" w:rsidRPr="00A13D1B" w:rsidRDefault="00757558" w:rsidP="000D3652">
      <w:pPr>
        <w:spacing w:before="240"/>
        <w:rPr>
          <w:rFonts w:ascii="Arial" w:hAnsi="Arial" w:cs="Arial"/>
          <w:b/>
          <w:i/>
          <w:color w:val="4F81BD" w:themeColor="accent1"/>
        </w:rPr>
      </w:pPr>
      <w:r w:rsidRPr="00A13D1B">
        <w:rPr>
          <w:rFonts w:ascii="Arial" w:hAnsi="Arial" w:cs="Arial"/>
          <w:i/>
          <w:color w:val="4F81BD" w:themeColor="accent1"/>
          <w:sz w:val="16"/>
        </w:rPr>
        <w:t>ABCR</w:t>
      </w:r>
    </w:p>
    <w:p w:rsidR="000D3652" w:rsidRPr="00A13D1B" w:rsidRDefault="000D3652" w:rsidP="000D3652">
      <w:pPr>
        <w:rPr>
          <w:rFonts w:ascii="Arial" w:hAnsi="Arial" w:cs="Arial"/>
          <w:color w:val="4F81BD" w:themeColor="accent1"/>
        </w:rPr>
      </w:pPr>
    </w:p>
    <w:sectPr w:rsidR="000D3652" w:rsidRPr="00A13D1B" w:rsidSect="00EE69A4">
      <w:headerReference w:type="even" r:id="rId9"/>
      <w:headerReference w:type="default" r:id="rId10"/>
      <w:headerReference w:type="first" r:id="rId11"/>
      <w:pgSz w:w="12240" w:h="20160" w:code="5"/>
      <w:pgMar w:top="3062" w:right="851" w:bottom="2495" w:left="283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51EE" w:rsidRDefault="00E751EE" w:rsidP="00EE69A4">
      <w:pPr>
        <w:spacing w:line="240" w:lineRule="auto"/>
      </w:pPr>
      <w:r>
        <w:separator/>
      </w:r>
    </w:p>
  </w:endnote>
  <w:endnote w:type="continuationSeparator" w:id="0">
    <w:p w:rsidR="00E751EE" w:rsidRDefault="00E751EE" w:rsidP="00EE69A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51EE" w:rsidRDefault="00E751EE" w:rsidP="00EE69A4">
      <w:pPr>
        <w:spacing w:line="240" w:lineRule="auto"/>
      </w:pPr>
      <w:r>
        <w:separator/>
      </w:r>
    </w:p>
  </w:footnote>
  <w:footnote w:type="continuationSeparator" w:id="0">
    <w:p w:rsidR="00E751EE" w:rsidRDefault="00E751EE" w:rsidP="00EE69A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881"/>
      <w:docPartObj>
        <w:docPartGallery w:val="Page Numbers (Top of Page)"/>
        <w:docPartUnique/>
      </w:docPartObj>
    </w:sdtPr>
    <w:sdtContent>
      <w:p w:rsidR="00660471" w:rsidRDefault="00D63594">
        <w:pPr>
          <w:pStyle w:val="Encabezado"/>
          <w:jc w:val="center"/>
        </w:pPr>
        <w:fldSimple w:instr=" PAGE   \* MERGEFORMAT ">
          <w:r w:rsidR="00660471">
            <w:rPr>
              <w:noProof/>
            </w:rPr>
            <w:t>2</w:t>
          </w:r>
        </w:fldSimple>
      </w:p>
    </w:sdtContent>
  </w:sdt>
  <w:p w:rsidR="00660471" w:rsidRDefault="00660471">
    <w:pPr>
      <w:pStyle w:val="Encabezado"/>
    </w:pPr>
    <w:r>
      <w:t>CEGAIP-RR-018/2016-3</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903"/>
      <w:docPartObj>
        <w:docPartGallery w:val="Page Numbers (Top of Page)"/>
        <w:docPartUnique/>
      </w:docPartObj>
    </w:sdtPr>
    <w:sdtContent>
      <w:p w:rsidR="00660471" w:rsidRDefault="00D63594">
        <w:pPr>
          <w:pStyle w:val="Encabezado"/>
          <w:jc w:val="center"/>
        </w:pPr>
        <w:fldSimple w:instr=" PAGE   \* MERGEFORMAT ">
          <w:r w:rsidR="005B7D88">
            <w:rPr>
              <w:noProof/>
            </w:rPr>
            <w:t>11</w:t>
          </w:r>
        </w:fldSimple>
      </w:p>
    </w:sdtContent>
  </w:sdt>
  <w:p w:rsidR="00660471" w:rsidRPr="00EE69A4" w:rsidRDefault="00146107">
    <w:pPr>
      <w:pStyle w:val="Encabezado"/>
      <w:rPr>
        <w:lang w:val="es-MX"/>
      </w:rPr>
    </w:pPr>
    <w:r>
      <w:rPr>
        <w:lang w:val="es-MX"/>
      </w:rPr>
      <w:t>CEGAIP-RR-051</w:t>
    </w:r>
    <w:r w:rsidR="00545475">
      <w:rPr>
        <w:lang w:val="es-MX"/>
      </w:rPr>
      <w:t>/2018</w:t>
    </w:r>
    <w:r w:rsidR="00660471">
      <w:rPr>
        <w:lang w:val="es-MX"/>
      </w:rPr>
      <w:t>-3</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792069"/>
      <w:docPartObj>
        <w:docPartGallery w:val="Page Numbers (Top of Page)"/>
        <w:docPartUnique/>
      </w:docPartObj>
    </w:sdtPr>
    <w:sdtContent>
      <w:p w:rsidR="00660471" w:rsidRDefault="00D63594">
        <w:pPr>
          <w:pStyle w:val="Encabezado"/>
          <w:jc w:val="center"/>
        </w:pPr>
        <w:fldSimple w:instr=" PAGE   \* MERGEFORMAT ">
          <w:r w:rsidR="005B7D88">
            <w:rPr>
              <w:noProof/>
            </w:rPr>
            <w:t>1</w:t>
          </w:r>
        </w:fldSimple>
      </w:p>
    </w:sdtContent>
  </w:sdt>
  <w:p w:rsidR="00660471" w:rsidRDefault="00660471">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2122B3"/>
    <w:multiLevelType w:val="hybridMultilevel"/>
    <w:tmpl w:val="CB3EAFF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FB95E26"/>
    <w:multiLevelType w:val="hybridMultilevel"/>
    <w:tmpl w:val="4E544E9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2601208"/>
    <w:multiLevelType w:val="hybridMultilevel"/>
    <w:tmpl w:val="F0E4E718"/>
    <w:lvl w:ilvl="0" w:tplc="F5AC49BA">
      <w:start w:val="1"/>
      <w:numFmt w:val="upperRoman"/>
      <w:lvlText w:val="%1."/>
      <w:lvlJc w:val="left"/>
      <w:pPr>
        <w:ind w:left="2340" w:hanging="720"/>
      </w:pPr>
      <w:rPr>
        <w:rFonts w:hint="default"/>
      </w:rPr>
    </w:lvl>
    <w:lvl w:ilvl="1" w:tplc="080A0019" w:tentative="1">
      <w:start w:val="1"/>
      <w:numFmt w:val="lowerLetter"/>
      <w:lvlText w:val="%2."/>
      <w:lvlJc w:val="left"/>
      <w:pPr>
        <w:ind w:left="2700" w:hanging="360"/>
      </w:pPr>
    </w:lvl>
    <w:lvl w:ilvl="2" w:tplc="080A001B" w:tentative="1">
      <w:start w:val="1"/>
      <w:numFmt w:val="lowerRoman"/>
      <w:lvlText w:val="%3."/>
      <w:lvlJc w:val="right"/>
      <w:pPr>
        <w:ind w:left="3420" w:hanging="180"/>
      </w:pPr>
    </w:lvl>
    <w:lvl w:ilvl="3" w:tplc="080A000F" w:tentative="1">
      <w:start w:val="1"/>
      <w:numFmt w:val="decimal"/>
      <w:lvlText w:val="%4."/>
      <w:lvlJc w:val="left"/>
      <w:pPr>
        <w:ind w:left="4140" w:hanging="360"/>
      </w:pPr>
    </w:lvl>
    <w:lvl w:ilvl="4" w:tplc="080A0019" w:tentative="1">
      <w:start w:val="1"/>
      <w:numFmt w:val="lowerLetter"/>
      <w:lvlText w:val="%5."/>
      <w:lvlJc w:val="left"/>
      <w:pPr>
        <w:ind w:left="4860" w:hanging="360"/>
      </w:pPr>
    </w:lvl>
    <w:lvl w:ilvl="5" w:tplc="080A001B" w:tentative="1">
      <w:start w:val="1"/>
      <w:numFmt w:val="lowerRoman"/>
      <w:lvlText w:val="%6."/>
      <w:lvlJc w:val="right"/>
      <w:pPr>
        <w:ind w:left="5580" w:hanging="180"/>
      </w:pPr>
    </w:lvl>
    <w:lvl w:ilvl="6" w:tplc="080A000F" w:tentative="1">
      <w:start w:val="1"/>
      <w:numFmt w:val="decimal"/>
      <w:lvlText w:val="%7."/>
      <w:lvlJc w:val="left"/>
      <w:pPr>
        <w:ind w:left="6300" w:hanging="360"/>
      </w:pPr>
    </w:lvl>
    <w:lvl w:ilvl="7" w:tplc="080A0019" w:tentative="1">
      <w:start w:val="1"/>
      <w:numFmt w:val="lowerLetter"/>
      <w:lvlText w:val="%8."/>
      <w:lvlJc w:val="left"/>
      <w:pPr>
        <w:ind w:left="7020" w:hanging="360"/>
      </w:pPr>
    </w:lvl>
    <w:lvl w:ilvl="8" w:tplc="080A001B" w:tentative="1">
      <w:start w:val="1"/>
      <w:numFmt w:val="lowerRoman"/>
      <w:lvlText w:val="%9."/>
      <w:lvlJc w:val="right"/>
      <w:pPr>
        <w:ind w:left="7740" w:hanging="180"/>
      </w:pPr>
    </w:lvl>
  </w:abstractNum>
  <w:abstractNum w:abstractNumId="3">
    <w:nsid w:val="142A46F5"/>
    <w:multiLevelType w:val="hybridMultilevel"/>
    <w:tmpl w:val="AFC6E9AC"/>
    <w:lvl w:ilvl="0" w:tplc="8072F42A">
      <w:start w:val="1"/>
      <w:numFmt w:val="lowerLetter"/>
      <w:lvlText w:val="%1)"/>
      <w:lvlJc w:val="left"/>
      <w:pPr>
        <w:ind w:left="2850" w:hanging="360"/>
      </w:pPr>
      <w:rPr>
        <w:rFonts w:hint="default"/>
      </w:rPr>
    </w:lvl>
    <w:lvl w:ilvl="1" w:tplc="080A0019" w:tentative="1">
      <w:start w:val="1"/>
      <w:numFmt w:val="lowerLetter"/>
      <w:lvlText w:val="%2."/>
      <w:lvlJc w:val="left"/>
      <w:pPr>
        <w:ind w:left="3570" w:hanging="360"/>
      </w:pPr>
    </w:lvl>
    <w:lvl w:ilvl="2" w:tplc="080A001B" w:tentative="1">
      <w:start w:val="1"/>
      <w:numFmt w:val="lowerRoman"/>
      <w:lvlText w:val="%3."/>
      <w:lvlJc w:val="right"/>
      <w:pPr>
        <w:ind w:left="4290" w:hanging="180"/>
      </w:pPr>
    </w:lvl>
    <w:lvl w:ilvl="3" w:tplc="080A000F" w:tentative="1">
      <w:start w:val="1"/>
      <w:numFmt w:val="decimal"/>
      <w:lvlText w:val="%4."/>
      <w:lvlJc w:val="left"/>
      <w:pPr>
        <w:ind w:left="5010" w:hanging="360"/>
      </w:pPr>
    </w:lvl>
    <w:lvl w:ilvl="4" w:tplc="080A0019" w:tentative="1">
      <w:start w:val="1"/>
      <w:numFmt w:val="lowerLetter"/>
      <w:lvlText w:val="%5."/>
      <w:lvlJc w:val="left"/>
      <w:pPr>
        <w:ind w:left="5730" w:hanging="360"/>
      </w:pPr>
    </w:lvl>
    <w:lvl w:ilvl="5" w:tplc="080A001B" w:tentative="1">
      <w:start w:val="1"/>
      <w:numFmt w:val="lowerRoman"/>
      <w:lvlText w:val="%6."/>
      <w:lvlJc w:val="right"/>
      <w:pPr>
        <w:ind w:left="6450" w:hanging="180"/>
      </w:pPr>
    </w:lvl>
    <w:lvl w:ilvl="6" w:tplc="080A000F" w:tentative="1">
      <w:start w:val="1"/>
      <w:numFmt w:val="decimal"/>
      <w:lvlText w:val="%7."/>
      <w:lvlJc w:val="left"/>
      <w:pPr>
        <w:ind w:left="7170" w:hanging="360"/>
      </w:pPr>
    </w:lvl>
    <w:lvl w:ilvl="7" w:tplc="080A0019" w:tentative="1">
      <w:start w:val="1"/>
      <w:numFmt w:val="lowerLetter"/>
      <w:lvlText w:val="%8."/>
      <w:lvlJc w:val="left"/>
      <w:pPr>
        <w:ind w:left="7890" w:hanging="360"/>
      </w:pPr>
    </w:lvl>
    <w:lvl w:ilvl="8" w:tplc="080A001B" w:tentative="1">
      <w:start w:val="1"/>
      <w:numFmt w:val="lowerRoman"/>
      <w:lvlText w:val="%9."/>
      <w:lvlJc w:val="right"/>
      <w:pPr>
        <w:ind w:left="8610" w:hanging="180"/>
      </w:pPr>
    </w:lvl>
  </w:abstractNum>
  <w:abstractNum w:abstractNumId="4">
    <w:nsid w:val="223B649B"/>
    <w:multiLevelType w:val="hybridMultilevel"/>
    <w:tmpl w:val="06F069EE"/>
    <w:lvl w:ilvl="0" w:tplc="F56CE392">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7E375C3"/>
    <w:multiLevelType w:val="hybridMultilevel"/>
    <w:tmpl w:val="358EE314"/>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6">
    <w:nsid w:val="2D0D751F"/>
    <w:multiLevelType w:val="hybridMultilevel"/>
    <w:tmpl w:val="BF189506"/>
    <w:lvl w:ilvl="0" w:tplc="9DD21494">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7">
    <w:nsid w:val="34F42853"/>
    <w:multiLevelType w:val="hybridMultilevel"/>
    <w:tmpl w:val="1386779A"/>
    <w:lvl w:ilvl="0" w:tplc="C610F0A8">
      <w:start w:val="1"/>
      <w:numFmt w:val="decimal"/>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8">
    <w:nsid w:val="3B7F3FE2"/>
    <w:multiLevelType w:val="hybridMultilevel"/>
    <w:tmpl w:val="A7FC0084"/>
    <w:lvl w:ilvl="0" w:tplc="25BE3DBC">
      <w:start w:val="1"/>
      <w:numFmt w:val="upperRoman"/>
      <w:lvlText w:val="%1."/>
      <w:lvlJc w:val="left"/>
      <w:pPr>
        <w:ind w:left="1620" w:hanging="72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9">
    <w:nsid w:val="3BA154AC"/>
    <w:multiLevelType w:val="hybridMultilevel"/>
    <w:tmpl w:val="3242911A"/>
    <w:lvl w:ilvl="0" w:tplc="740EA04C">
      <w:start w:val="1"/>
      <w:numFmt w:val="decimal"/>
      <w:lvlText w:val="%1."/>
      <w:lvlJc w:val="left"/>
      <w:pPr>
        <w:ind w:left="2062" w:hanging="360"/>
      </w:pPr>
      <w:rPr>
        <w:rFonts w:hint="default"/>
      </w:rPr>
    </w:lvl>
    <w:lvl w:ilvl="1" w:tplc="080A0019" w:tentative="1">
      <w:start w:val="1"/>
      <w:numFmt w:val="lowerLetter"/>
      <w:lvlText w:val="%2."/>
      <w:lvlJc w:val="left"/>
      <w:pPr>
        <w:ind w:left="2831" w:hanging="360"/>
      </w:pPr>
    </w:lvl>
    <w:lvl w:ilvl="2" w:tplc="080A001B" w:tentative="1">
      <w:start w:val="1"/>
      <w:numFmt w:val="lowerRoman"/>
      <w:lvlText w:val="%3."/>
      <w:lvlJc w:val="right"/>
      <w:pPr>
        <w:ind w:left="3551" w:hanging="180"/>
      </w:pPr>
    </w:lvl>
    <w:lvl w:ilvl="3" w:tplc="080A000F" w:tentative="1">
      <w:start w:val="1"/>
      <w:numFmt w:val="decimal"/>
      <w:lvlText w:val="%4."/>
      <w:lvlJc w:val="left"/>
      <w:pPr>
        <w:ind w:left="4271" w:hanging="360"/>
      </w:pPr>
    </w:lvl>
    <w:lvl w:ilvl="4" w:tplc="080A0019" w:tentative="1">
      <w:start w:val="1"/>
      <w:numFmt w:val="lowerLetter"/>
      <w:lvlText w:val="%5."/>
      <w:lvlJc w:val="left"/>
      <w:pPr>
        <w:ind w:left="4991" w:hanging="360"/>
      </w:pPr>
    </w:lvl>
    <w:lvl w:ilvl="5" w:tplc="080A001B" w:tentative="1">
      <w:start w:val="1"/>
      <w:numFmt w:val="lowerRoman"/>
      <w:lvlText w:val="%6."/>
      <w:lvlJc w:val="right"/>
      <w:pPr>
        <w:ind w:left="5711" w:hanging="180"/>
      </w:pPr>
    </w:lvl>
    <w:lvl w:ilvl="6" w:tplc="080A000F" w:tentative="1">
      <w:start w:val="1"/>
      <w:numFmt w:val="decimal"/>
      <w:lvlText w:val="%7."/>
      <w:lvlJc w:val="left"/>
      <w:pPr>
        <w:ind w:left="6431" w:hanging="360"/>
      </w:pPr>
    </w:lvl>
    <w:lvl w:ilvl="7" w:tplc="080A0019" w:tentative="1">
      <w:start w:val="1"/>
      <w:numFmt w:val="lowerLetter"/>
      <w:lvlText w:val="%8."/>
      <w:lvlJc w:val="left"/>
      <w:pPr>
        <w:ind w:left="7151" w:hanging="360"/>
      </w:pPr>
    </w:lvl>
    <w:lvl w:ilvl="8" w:tplc="080A001B" w:tentative="1">
      <w:start w:val="1"/>
      <w:numFmt w:val="lowerRoman"/>
      <w:lvlText w:val="%9."/>
      <w:lvlJc w:val="right"/>
      <w:pPr>
        <w:ind w:left="7871" w:hanging="180"/>
      </w:pPr>
    </w:lvl>
  </w:abstractNum>
  <w:abstractNum w:abstractNumId="10">
    <w:nsid w:val="43777261"/>
    <w:multiLevelType w:val="hybridMultilevel"/>
    <w:tmpl w:val="7114802A"/>
    <w:lvl w:ilvl="0" w:tplc="080A0001">
      <w:start w:val="1"/>
      <w:numFmt w:val="bullet"/>
      <w:lvlText w:val=""/>
      <w:lvlJc w:val="left"/>
      <w:pPr>
        <w:ind w:left="1620" w:hanging="360"/>
      </w:pPr>
      <w:rPr>
        <w:rFonts w:ascii="Symbol" w:hAnsi="Symbol" w:hint="default"/>
      </w:rPr>
    </w:lvl>
    <w:lvl w:ilvl="1" w:tplc="080A0003" w:tentative="1">
      <w:start w:val="1"/>
      <w:numFmt w:val="bullet"/>
      <w:lvlText w:val="o"/>
      <w:lvlJc w:val="left"/>
      <w:pPr>
        <w:ind w:left="2340" w:hanging="360"/>
      </w:pPr>
      <w:rPr>
        <w:rFonts w:ascii="Courier New" w:hAnsi="Courier New" w:cs="Courier New" w:hint="default"/>
      </w:rPr>
    </w:lvl>
    <w:lvl w:ilvl="2" w:tplc="080A0005" w:tentative="1">
      <w:start w:val="1"/>
      <w:numFmt w:val="bullet"/>
      <w:lvlText w:val=""/>
      <w:lvlJc w:val="left"/>
      <w:pPr>
        <w:ind w:left="3060" w:hanging="360"/>
      </w:pPr>
      <w:rPr>
        <w:rFonts w:ascii="Wingdings" w:hAnsi="Wingdings" w:hint="default"/>
      </w:rPr>
    </w:lvl>
    <w:lvl w:ilvl="3" w:tplc="080A0001" w:tentative="1">
      <w:start w:val="1"/>
      <w:numFmt w:val="bullet"/>
      <w:lvlText w:val=""/>
      <w:lvlJc w:val="left"/>
      <w:pPr>
        <w:ind w:left="3780" w:hanging="360"/>
      </w:pPr>
      <w:rPr>
        <w:rFonts w:ascii="Symbol" w:hAnsi="Symbol" w:hint="default"/>
      </w:rPr>
    </w:lvl>
    <w:lvl w:ilvl="4" w:tplc="080A0003" w:tentative="1">
      <w:start w:val="1"/>
      <w:numFmt w:val="bullet"/>
      <w:lvlText w:val="o"/>
      <w:lvlJc w:val="left"/>
      <w:pPr>
        <w:ind w:left="4500" w:hanging="360"/>
      </w:pPr>
      <w:rPr>
        <w:rFonts w:ascii="Courier New" w:hAnsi="Courier New" w:cs="Courier New" w:hint="default"/>
      </w:rPr>
    </w:lvl>
    <w:lvl w:ilvl="5" w:tplc="080A0005" w:tentative="1">
      <w:start w:val="1"/>
      <w:numFmt w:val="bullet"/>
      <w:lvlText w:val=""/>
      <w:lvlJc w:val="left"/>
      <w:pPr>
        <w:ind w:left="5220" w:hanging="360"/>
      </w:pPr>
      <w:rPr>
        <w:rFonts w:ascii="Wingdings" w:hAnsi="Wingdings" w:hint="default"/>
      </w:rPr>
    </w:lvl>
    <w:lvl w:ilvl="6" w:tplc="080A0001" w:tentative="1">
      <w:start w:val="1"/>
      <w:numFmt w:val="bullet"/>
      <w:lvlText w:val=""/>
      <w:lvlJc w:val="left"/>
      <w:pPr>
        <w:ind w:left="5940" w:hanging="360"/>
      </w:pPr>
      <w:rPr>
        <w:rFonts w:ascii="Symbol" w:hAnsi="Symbol" w:hint="default"/>
      </w:rPr>
    </w:lvl>
    <w:lvl w:ilvl="7" w:tplc="080A0003" w:tentative="1">
      <w:start w:val="1"/>
      <w:numFmt w:val="bullet"/>
      <w:lvlText w:val="o"/>
      <w:lvlJc w:val="left"/>
      <w:pPr>
        <w:ind w:left="6660" w:hanging="360"/>
      </w:pPr>
      <w:rPr>
        <w:rFonts w:ascii="Courier New" w:hAnsi="Courier New" w:cs="Courier New" w:hint="default"/>
      </w:rPr>
    </w:lvl>
    <w:lvl w:ilvl="8" w:tplc="080A0005" w:tentative="1">
      <w:start w:val="1"/>
      <w:numFmt w:val="bullet"/>
      <w:lvlText w:val=""/>
      <w:lvlJc w:val="left"/>
      <w:pPr>
        <w:ind w:left="7380" w:hanging="360"/>
      </w:pPr>
      <w:rPr>
        <w:rFonts w:ascii="Wingdings" w:hAnsi="Wingdings" w:hint="default"/>
      </w:rPr>
    </w:lvl>
  </w:abstractNum>
  <w:abstractNum w:abstractNumId="11">
    <w:nsid w:val="50A04BE8"/>
    <w:multiLevelType w:val="hybridMultilevel"/>
    <w:tmpl w:val="7FE61262"/>
    <w:lvl w:ilvl="0" w:tplc="080A0001">
      <w:start w:val="1"/>
      <w:numFmt w:val="bullet"/>
      <w:lvlText w:val=""/>
      <w:lvlJc w:val="left"/>
      <w:pPr>
        <w:ind w:left="1425" w:hanging="360"/>
      </w:pPr>
      <w:rPr>
        <w:rFonts w:ascii="Symbol" w:hAnsi="Symbol" w:hint="default"/>
      </w:rPr>
    </w:lvl>
    <w:lvl w:ilvl="1" w:tplc="080A0003" w:tentative="1">
      <w:start w:val="1"/>
      <w:numFmt w:val="bullet"/>
      <w:lvlText w:val="o"/>
      <w:lvlJc w:val="left"/>
      <w:pPr>
        <w:ind w:left="2145" w:hanging="360"/>
      </w:pPr>
      <w:rPr>
        <w:rFonts w:ascii="Courier New" w:hAnsi="Courier New" w:cs="Courier New" w:hint="default"/>
      </w:rPr>
    </w:lvl>
    <w:lvl w:ilvl="2" w:tplc="080A0005" w:tentative="1">
      <w:start w:val="1"/>
      <w:numFmt w:val="bullet"/>
      <w:lvlText w:val=""/>
      <w:lvlJc w:val="left"/>
      <w:pPr>
        <w:ind w:left="2865" w:hanging="360"/>
      </w:pPr>
      <w:rPr>
        <w:rFonts w:ascii="Wingdings" w:hAnsi="Wingdings" w:hint="default"/>
      </w:rPr>
    </w:lvl>
    <w:lvl w:ilvl="3" w:tplc="080A0001" w:tentative="1">
      <w:start w:val="1"/>
      <w:numFmt w:val="bullet"/>
      <w:lvlText w:val=""/>
      <w:lvlJc w:val="left"/>
      <w:pPr>
        <w:ind w:left="3585" w:hanging="360"/>
      </w:pPr>
      <w:rPr>
        <w:rFonts w:ascii="Symbol" w:hAnsi="Symbol" w:hint="default"/>
      </w:rPr>
    </w:lvl>
    <w:lvl w:ilvl="4" w:tplc="080A0003" w:tentative="1">
      <w:start w:val="1"/>
      <w:numFmt w:val="bullet"/>
      <w:lvlText w:val="o"/>
      <w:lvlJc w:val="left"/>
      <w:pPr>
        <w:ind w:left="4305" w:hanging="360"/>
      </w:pPr>
      <w:rPr>
        <w:rFonts w:ascii="Courier New" w:hAnsi="Courier New" w:cs="Courier New" w:hint="default"/>
      </w:rPr>
    </w:lvl>
    <w:lvl w:ilvl="5" w:tplc="080A0005" w:tentative="1">
      <w:start w:val="1"/>
      <w:numFmt w:val="bullet"/>
      <w:lvlText w:val=""/>
      <w:lvlJc w:val="left"/>
      <w:pPr>
        <w:ind w:left="5025" w:hanging="360"/>
      </w:pPr>
      <w:rPr>
        <w:rFonts w:ascii="Wingdings" w:hAnsi="Wingdings" w:hint="default"/>
      </w:rPr>
    </w:lvl>
    <w:lvl w:ilvl="6" w:tplc="080A0001" w:tentative="1">
      <w:start w:val="1"/>
      <w:numFmt w:val="bullet"/>
      <w:lvlText w:val=""/>
      <w:lvlJc w:val="left"/>
      <w:pPr>
        <w:ind w:left="5745" w:hanging="360"/>
      </w:pPr>
      <w:rPr>
        <w:rFonts w:ascii="Symbol" w:hAnsi="Symbol" w:hint="default"/>
      </w:rPr>
    </w:lvl>
    <w:lvl w:ilvl="7" w:tplc="080A0003" w:tentative="1">
      <w:start w:val="1"/>
      <w:numFmt w:val="bullet"/>
      <w:lvlText w:val="o"/>
      <w:lvlJc w:val="left"/>
      <w:pPr>
        <w:ind w:left="6465" w:hanging="360"/>
      </w:pPr>
      <w:rPr>
        <w:rFonts w:ascii="Courier New" w:hAnsi="Courier New" w:cs="Courier New" w:hint="default"/>
      </w:rPr>
    </w:lvl>
    <w:lvl w:ilvl="8" w:tplc="080A0005" w:tentative="1">
      <w:start w:val="1"/>
      <w:numFmt w:val="bullet"/>
      <w:lvlText w:val=""/>
      <w:lvlJc w:val="left"/>
      <w:pPr>
        <w:ind w:left="7185" w:hanging="360"/>
      </w:pPr>
      <w:rPr>
        <w:rFonts w:ascii="Wingdings" w:hAnsi="Wingdings" w:hint="default"/>
      </w:rPr>
    </w:lvl>
  </w:abstractNum>
  <w:abstractNum w:abstractNumId="12">
    <w:nsid w:val="53B753DC"/>
    <w:multiLevelType w:val="hybridMultilevel"/>
    <w:tmpl w:val="BB4CF3D6"/>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3">
    <w:nsid w:val="62DB4176"/>
    <w:multiLevelType w:val="hybridMultilevel"/>
    <w:tmpl w:val="B7B8A2C2"/>
    <w:lvl w:ilvl="0" w:tplc="0B145F12">
      <w:start w:val="1"/>
      <w:numFmt w:val="decimal"/>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14">
    <w:nsid w:val="75F634E4"/>
    <w:multiLevelType w:val="hybridMultilevel"/>
    <w:tmpl w:val="8FFC5E2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784E258E"/>
    <w:multiLevelType w:val="hybridMultilevel"/>
    <w:tmpl w:val="D124EFA4"/>
    <w:lvl w:ilvl="0" w:tplc="7354BD4E">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6">
    <w:nsid w:val="795A4205"/>
    <w:multiLevelType w:val="hybridMultilevel"/>
    <w:tmpl w:val="7EC0329A"/>
    <w:lvl w:ilvl="0" w:tplc="C2CCAEDA">
      <w:start w:val="1"/>
      <w:numFmt w:val="decimal"/>
      <w:lvlText w:val="%1."/>
      <w:lvlJc w:val="left"/>
      <w:pPr>
        <w:ind w:left="2062" w:hanging="360"/>
      </w:pPr>
      <w:rPr>
        <w:rFonts w:hint="default"/>
      </w:rPr>
    </w:lvl>
    <w:lvl w:ilvl="1" w:tplc="080A0019" w:tentative="1">
      <w:start w:val="1"/>
      <w:numFmt w:val="lowerLetter"/>
      <w:lvlText w:val="%2."/>
      <w:lvlJc w:val="left"/>
      <w:pPr>
        <w:ind w:left="2782" w:hanging="360"/>
      </w:pPr>
    </w:lvl>
    <w:lvl w:ilvl="2" w:tplc="080A001B" w:tentative="1">
      <w:start w:val="1"/>
      <w:numFmt w:val="lowerRoman"/>
      <w:lvlText w:val="%3."/>
      <w:lvlJc w:val="right"/>
      <w:pPr>
        <w:ind w:left="3502" w:hanging="180"/>
      </w:pPr>
    </w:lvl>
    <w:lvl w:ilvl="3" w:tplc="080A000F" w:tentative="1">
      <w:start w:val="1"/>
      <w:numFmt w:val="decimal"/>
      <w:lvlText w:val="%4."/>
      <w:lvlJc w:val="left"/>
      <w:pPr>
        <w:ind w:left="4222" w:hanging="360"/>
      </w:pPr>
    </w:lvl>
    <w:lvl w:ilvl="4" w:tplc="080A0019" w:tentative="1">
      <w:start w:val="1"/>
      <w:numFmt w:val="lowerLetter"/>
      <w:lvlText w:val="%5."/>
      <w:lvlJc w:val="left"/>
      <w:pPr>
        <w:ind w:left="4942" w:hanging="360"/>
      </w:pPr>
    </w:lvl>
    <w:lvl w:ilvl="5" w:tplc="080A001B" w:tentative="1">
      <w:start w:val="1"/>
      <w:numFmt w:val="lowerRoman"/>
      <w:lvlText w:val="%6."/>
      <w:lvlJc w:val="right"/>
      <w:pPr>
        <w:ind w:left="5662" w:hanging="180"/>
      </w:pPr>
    </w:lvl>
    <w:lvl w:ilvl="6" w:tplc="080A000F" w:tentative="1">
      <w:start w:val="1"/>
      <w:numFmt w:val="decimal"/>
      <w:lvlText w:val="%7."/>
      <w:lvlJc w:val="left"/>
      <w:pPr>
        <w:ind w:left="6382" w:hanging="360"/>
      </w:pPr>
    </w:lvl>
    <w:lvl w:ilvl="7" w:tplc="080A0019" w:tentative="1">
      <w:start w:val="1"/>
      <w:numFmt w:val="lowerLetter"/>
      <w:lvlText w:val="%8."/>
      <w:lvlJc w:val="left"/>
      <w:pPr>
        <w:ind w:left="7102" w:hanging="360"/>
      </w:pPr>
    </w:lvl>
    <w:lvl w:ilvl="8" w:tplc="080A001B" w:tentative="1">
      <w:start w:val="1"/>
      <w:numFmt w:val="lowerRoman"/>
      <w:lvlText w:val="%9."/>
      <w:lvlJc w:val="right"/>
      <w:pPr>
        <w:ind w:left="7822" w:hanging="180"/>
      </w:pPr>
    </w:lvl>
  </w:abstractNum>
  <w:num w:numId="1">
    <w:abstractNumId w:val="1"/>
  </w:num>
  <w:num w:numId="2">
    <w:abstractNumId w:val="8"/>
  </w:num>
  <w:num w:numId="3">
    <w:abstractNumId w:val="2"/>
  </w:num>
  <w:num w:numId="4">
    <w:abstractNumId w:val="9"/>
  </w:num>
  <w:num w:numId="5">
    <w:abstractNumId w:val="6"/>
  </w:num>
  <w:num w:numId="6">
    <w:abstractNumId w:val="16"/>
  </w:num>
  <w:num w:numId="7">
    <w:abstractNumId w:val="12"/>
  </w:num>
  <w:num w:numId="8">
    <w:abstractNumId w:val="5"/>
  </w:num>
  <w:num w:numId="9">
    <w:abstractNumId w:val="7"/>
  </w:num>
  <w:num w:numId="10">
    <w:abstractNumId w:val="13"/>
  </w:num>
  <w:num w:numId="11">
    <w:abstractNumId w:val="3"/>
  </w:num>
  <w:num w:numId="12">
    <w:abstractNumId w:val="15"/>
  </w:num>
  <w:num w:numId="13">
    <w:abstractNumId w:val="11"/>
  </w:num>
  <w:num w:numId="14">
    <w:abstractNumId w:val="0"/>
  </w:num>
  <w:num w:numId="15">
    <w:abstractNumId w:val="14"/>
  </w:num>
  <w:num w:numId="16">
    <w:abstractNumId w:val="4"/>
  </w:num>
  <w:num w:numId="1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hyphenationZone w:val="425"/>
  <w:drawingGridHorizontalSpacing w:val="130"/>
  <w:displayHorizontalDrawingGridEvery w:val="2"/>
  <w:displayVerticalDrawingGridEvery w:val="2"/>
  <w:characterSpacingControl w:val="doNotCompress"/>
  <w:hdrShapeDefaults>
    <o:shapedefaults v:ext="edit" spidmax="217090"/>
  </w:hdrShapeDefaults>
  <w:footnotePr>
    <w:footnote w:id="-1"/>
    <w:footnote w:id="0"/>
  </w:footnotePr>
  <w:endnotePr>
    <w:endnote w:id="-1"/>
    <w:endnote w:id="0"/>
  </w:endnotePr>
  <w:compat/>
  <w:rsids>
    <w:rsidRoot w:val="00547C44"/>
    <w:rsid w:val="000000B5"/>
    <w:rsid w:val="0000110A"/>
    <w:rsid w:val="00011CD5"/>
    <w:rsid w:val="00015997"/>
    <w:rsid w:val="00015C36"/>
    <w:rsid w:val="000177DD"/>
    <w:rsid w:val="000219A8"/>
    <w:rsid w:val="00021A3D"/>
    <w:rsid w:val="000333A7"/>
    <w:rsid w:val="00037C5D"/>
    <w:rsid w:val="00042B1D"/>
    <w:rsid w:val="000451BF"/>
    <w:rsid w:val="00045B87"/>
    <w:rsid w:val="00057943"/>
    <w:rsid w:val="00061C60"/>
    <w:rsid w:val="00062D73"/>
    <w:rsid w:val="000650DC"/>
    <w:rsid w:val="000657E0"/>
    <w:rsid w:val="00072E88"/>
    <w:rsid w:val="00073266"/>
    <w:rsid w:val="00073D0A"/>
    <w:rsid w:val="0007574C"/>
    <w:rsid w:val="00086D3C"/>
    <w:rsid w:val="000956DA"/>
    <w:rsid w:val="000A562C"/>
    <w:rsid w:val="000A6C1C"/>
    <w:rsid w:val="000A7F35"/>
    <w:rsid w:val="000B0B7D"/>
    <w:rsid w:val="000B17C9"/>
    <w:rsid w:val="000B262D"/>
    <w:rsid w:val="000C1024"/>
    <w:rsid w:val="000C5972"/>
    <w:rsid w:val="000D26FD"/>
    <w:rsid w:val="000D3491"/>
    <w:rsid w:val="000D3652"/>
    <w:rsid w:val="000D3A3D"/>
    <w:rsid w:val="000D711D"/>
    <w:rsid w:val="000D7954"/>
    <w:rsid w:val="000E029C"/>
    <w:rsid w:val="000E1F54"/>
    <w:rsid w:val="000E7366"/>
    <w:rsid w:val="000F210A"/>
    <w:rsid w:val="000F7D06"/>
    <w:rsid w:val="001051BF"/>
    <w:rsid w:val="0011618F"/>
    <w:rsid w:val="00123FE5"/>
    <w:rsid w:val="00125FF8"/>
    <w:rsid w:val="001276D6"/>
    <w:rsid w:val="00133925"/>
    <w:rsid w:val="00146107"/>
    <w:rsid w:val="00160177"/>
    <w:rsid w:val="00161C83"/>
    <w:rsid w:val="001656E9"/>
    <w:rsid w:val="00167461"/>
    <w:rsid w:val="0017104F"/>
    <w:rsid w:val="00172E02"/>
    <w:rsid w:val="00177EEC"/>
    <w:rsid w:val="0018445B"/>
    <w:rsid w:val="001844E2"/>
    <w:rsid w:val="00190533"/>
    <w:rsid w:val="0019277C"/>
    <w:rsid w:val="001960A8"/>
    <w:rsid w:val="001A1B75"/>
    <w:rsid w:val="001A254C"/>
    <w:rsid w:val="001A3095"/>
    <w:rsid w:val="001A319C"/>
    <w:rsid w:val="001A7205"/>
    <w:rsid w:val="001B2583"/>
    <w:rsid w:val="001B3575"/>
    <w:rsid w:val="001B4A6E"/>
    <w:rsid w:val="001C2CCE"/>
    <w:rsid w:val="001C2FE5"/>
    <w:rsid w:val="001C3F89"/>
    <w:rsid w:val="001C55EE"/>
    <w:rsid w:val="001D718B"/>
    <w:rsid w:val="001F2D02"/>
    <w:rsid w:val="001F58D0"/>
    <w:rsid w:val="00206CF8"/>
    <w:rsid w:val="0021525B"/>
    <w:rsid w:val="00220122"/>
    <w:rsid w:val="002204AF"/>
    <w:rsid w:val="002209A9"/>
    <w:rsid w:val="00231A5C"/>
    <w:rsid w:val="0023510D"/>
    <w:rsid w:val="0023796E"/>
    <w:rsid w:val="00244015"/>
    <w:rsid w:val="002538E4"/>
    <w:rsid w:val="00253E9B"/>
    <w:rsid w:val="00256CA2"/>
    <w:rsid w:val="00261BC8"/>
    <w:rsid w:val="00261E38"/>
    <w:rsid w:val="002622CD"/>
    <w:rsid w:val="00266D40"/>
    <w:rsid w:val="002670F1"/>
    <w:rsid w:val="00271968"/>
    <w:rsid w:val="0027256F"/>
    <w:rsid w:val="00274580"/>
    <w:rsid w:val="002767E7"/>
    <w:rsid w:val="00277386"/>
    <w:rsid w:val="00282E40"/>
    <w:rsid w:val="002872AC"/>
    <w:rsid w:val="0029210C"/>
    <w:rsid w:val="002A0FC4"/>
    <w:rsid w:val="002A2366"/>
    <w:rsid w:val="002A59A9"/>
    <w:rsid w:val="002B0E53"/>
    <w:rsid w:val="002B1D0C"/>
    <w:rsid w:val="002B7451"/>
    <w:rsid w:val="002C39D1"/>
    <w:rsid w:val="002C476E"/>
    <w:rsid w:val="002D1BD4"/>
    <w:rsid w:val="002E615D"/>
    <w:rsid w:val="002E61EC"/>
    <w:rsid w:val="002F279B"/>
    <w:rsid w:val="00300622"/>
    <w:rsid w:val="00300904"/>
    <w:rsid w:val="0030523A"/>
    <w:rsid w:val="0031316B"/>
    <w:rsid w:val="003162E5"/>
    <w:rsid w:val="00322E35"/>
    <w:rsid w:val="00336FD2"/>
    <w:rsid w:val="00346765"/>
    <w:rsid w:val="00346827"/>
    <w:rsid w:val="00351465"/>
    <w:rsid w:val="00352F61"/>
    <w:rsid w:val="003542FF"/>
    <w:rsid w:val="0036174A"/>
    <w:rsid w:val="00362E57"/>
    <w:rsid w:val="00364E4C"/>
    <w:rsid w:val="0036724E"/>
    <w:rsid w:val="00367C25"/>
    <w:rsid w:val="003709F8"/>
    <w:rsid w:val="00370E03"/>
    <w:rsid w:val="00376ABA"/>
    <w:rsid w:val="003779B1"/>
    <w:rsid w:val="00385962"/>
    <w:rsid w:val="00386AC0"/>
    <w:rsid w:val="00390E92"/>
    <w:rsid w:val="003A6F9B"/>
    <w:rsid w:val="003B01AE"/>
    <w:rsid w:val="003B4A33"/>
    <w:rsid w:val="003B7E57"/>
    <w:rsid w:val="003D0304"/>
    <w:rsid w:val="003D69A8"/>
    <w:rsid w:val="003E3985"/>
    <w:rsid w:val="003E3F8D"/>
    <w:rsid w:val="003E5362"/>
    <w:rsid w:val="003F1FBA"/>
    <w:rsid w:val="003F4A2F"/>
    <w:rsid w:val="003F6815"/>
    <w:rsid w:val="004061C0"/>
    <w:rsid w:val="00413C5F"/>
    <w:rsid w:val="004159CF"/>
    <w:rsid w:val="0042262D"/>
    <w:rsid w:val="00425EF1"/>
    <w:rsid w:val="004329EC"/>
    <w:rsid w:val="00441585"/>
    <w:rsid w:val="00442FA0"/>
    <w:rsid w:val="00447495"/>
    <w:rsid w:val="00453BBD"/>
    <w:rsid w:val="004677A4"/>
    <w:rsid w:val="00470EC1"/>
    <w:rsid w:val="0047108E"/>
    <w:rsid w:val="0047238F"/>
    <w:rsid w:val="0049249B"/>
    <w:rsid w:val="00492C7F"/>
    <w:rsid w:val="004A5774"/>
    <w:rsid w:val="004A5E30"/>
    <w:rsid w:val="004A6542"/>
    <w:rsid w:val="004B132D"/>
    <w:rsid w:val="004B19A3"/>
    <w:rsid w:val="004B4BE4"/>
    <w:rsid w:val="004B6929"/>
    <w:rsid w:val="004C0527"/>
    <w:rsid w:val="004C087F"/>
    <w:rsid w:val="004C0E05"/>
    <w:rsid w:val="004C50E3"/>
    <w:rsid w:val="004C6FDE"/>
    <w:rsid w:val="004C7A7C"/>
    <w:rsid w:val="004C7F8B"/>
    <w:rsid w:val="004D20E3"/>
    <w:rsid w:val="004D72A4"/>
    <w:rsid w:val="004E0227"/>
    <w:rsid w:val="004E4A9A"/>
    <w:rsid w:val="004E5342"/>
    <w:rsid w:val="004F18AE"/>
    <w:rsid w:val="004F2DE1"/>
    <w:rsid w:val="004F624F"/>
    <w:rsid w:val="00505621"/>
    <w:rsid w:val="005060E5"/>
    <w:rsid w:val="005135A5"/>
    <w:rsid w:val="00517F28"/>
    <w:rsid w:val="005204CC"/>
    <w:rsid w:val="005228AD"/>
    <w:rsid w:val="00525006"/>
    <w:rsid w:val="005261B5"/>
    <w:rsid w:val="0053628F"/>
    <w:rsid w:val="00545475"/>
    <w:rsid w:val="00545919"/>
    <w:rsid w:val="00547C44"/>
    <w:rsid w:val="0056125D"/>
    <w:rsid w:val="0056145C"/>
    <w:rsid w:val="005629E4"/>
    <w:rsid w:val="00562AC4"/>
    <w:rsid w:val="00564D9C"/>
    <w:rsid w:val="0056529C"/>
    <w:rsid w:val="005678A3"/>
    <w:rsid w:val="00572717"/>
    <w:rsid w:val="00576423"/>
    <w:rsid w:val="00590752"/>
    <w:rsid w:val="005909BD"/>
    <w:rsid w:val="005913FB"/>
    <w:rsid w:val="005A114A"/>
    <w:rsid w:val="005A625C"/>
    <w:rsid w:val="005B2591"/>
    <w:rsid w:val="005B4B34"/>
    <w:rsid w:val="005B5A45"/>
    <w:rsid w:val="005B7D88"/>
    <w:rsid w:val="005C1832"/>
    <w:rsid w:val="005C28D2"/>
    <w:rsid w:val="005D4263"/>
    <w:rsid w:val="005E43CB"/>
    <w:rsid w:val="005E6C78"/>
    <w:rsid w:val="005E6EF8"/>
    <w:rsid w:val="005F2715"/>
    <w:rsid w:val="005F37C0"/>
    <w:rsid w:val="005F5571"/>
    <w:rsid w:val="0060038E"/>
    <w:rsid w:val="00604FB2"/>
    <w:rsid w:val="006121A8"/>
    <w:rsid w:val="006175E7"/>
    <w:rsid w:val="00621982"/>
    <w:rsid w:val="006402AF"/>
    <w:rsid w:val="00641969"/>
    <w:rsid w:val="006466EF"/>
    <w:rsid w:val="0065290E"/>
    <w:rsid w:val="00652AEB"/>
    <w:rsid w:val="00655772"/>
    <w:rsid w:val="006569AD"/>
    <w:rsid w:val="00660471"/>
    <w:rsid w:val="00660E7A"/>
    <w:rsid w:val="00663927"/>
    <w:rsid w:val="00663AF7"/>
    <w:rsid w:val="0066632E"/>
    <w:rsid w:val="006777DE"/>
    <w:rsid w:val="00680EB4"/>
    <w:rsid w:val="006824E0"/>
    <w:rsid w:val="006861F6"/>
    <w:rsid w:val="006953BF"/>
    <w:rsid w:val="006A0884"/>
    <w:rsid w:val="006A1620"/>
    <w:rsid w:val="006A5EBB"/>
    <w:rsid w:val="006B164A"/>
    <w:rsid w:val="006B187E"/>
    <w:rsid w:val="006C1859"/>
    <w:rsid w:val="006C2047"/>
    <w:rsid w:val="006C2A3A"/>
    <w:rsid w:val="006C7AB7"/>
    <w:rsid w:val="006C7D13"/>
    <w:rsid w:val="006D485B"/>
    <w:rsid w:val="006F2CDD"/>
    <w:rsid w:val="006F3A4E"/>
    <w:rsid w:val="006F5C8D"/>
    <w:rsid w:val="007020C0"/>
    <w:rsid w:val="00716021"/>
    <w:rsid w:val="00716200"/>
    <w:rsid w:val="00720B05"/>
    <w:rsid w:val="00720BEA"/>
    <w:rsid w:val="007253D6"/>
    <w:rsid w:val="0072714A"/>
    <w:rsid w:val="00742EC9"/>
    <w:rsid w:val="007505AD"/>
    <w:rsid w:val="00750C8D"/>
    <w:rsid w:val="0075582D"/>
    <w:rsid w:val="00757558"/>
    <w:rsid w:val="00760431"/>
    <w:rsid w:val="00761464"/>
    <w:rsid w:val="007634BA"/>
    <w:rsid w:val="00764593"/>
    <w:rsid w:val="00764CA0"/>
    <w:rsid w:val="007670C2"/>
    <w:rsid w:val="00772599"/>
    <w:rsid w:val="00774849"/>
    <w:rsid w:val="00777E6B"/>
    <w:rsid w:val="0078269D"/>
    <w:rsid w:val="00786C51"/>
    <w:rsid w:val="00792D04"/>
    <w:rsid w:val="007940FA"/>
    <w:rsid w:val="007946E2"/>
    <w:rsid w:val="007A43BF"/>
    <w:rsid w:val="007B0876"/>
    <w:rsid w:val="007B4B75"/>
    <w:rsid w:val="007C029C"/>
    <w:rsid w:val="007C14E2"/>
    <w:rsid w:val="007C4269"/>
    <w:rsid w:val="007C4897"/>
    <w:rsid w:val="007C48BF"/>
    <w:rsid w:val="007C5977"/>
    <w:rsid w:val="007D3106"/>
    <w:rsid w:val="007D4729"/>
    <w:rsid w:val="007E10ED"/>
    <w:rsid w:val="007E5A97"/>
    <w:rsid w:val="007E6D00"/>
    <w:rsid w:val="007F5189"/>
    <w:rsid w:val="00802205"/>
    <w:rsid w:val="008028D4"/>
    <w:rsid w:val="00802A0F"/>
    <w:rsid w:val="00803067"/>
    <w:rsid w:val="0080649F"/>
    <w:rsid w:val="00820601"/>
    <w:rsid w:val="008309A3"/>
    <w:rsid w:val="00831D71"/>
    <w:rsid w:val="00836FA4"/>
    <w:rsid w:val="00837CB2"/>
    <w:rsid w:val="00846126"/>
    <w:rsid w:val="00846369"/>
    <w:rsid w:val="0085170A"/>
    <w:rsid w:val="00856455"/>
    <w:rsid w:val="008613B8"/>
    <w:rsid w:val="00866FCC"/>
    <w:rsid w:val="00871CEA"/>
    <w:rsid w:val="00872202"/>
    <w:rsid w:val="00872CCF"/>
    <w:rsid w:val="0088185C"/>
    <w:rsid w:val="0089000D"/>
    <w:rsid w:val="00896015"/>
    <w:rsid w:val="008A0AA1"/>
    <w:rsid w:val="008A45B0"/>
    <w:rsid w:val="008A7AAC"/>
    <w:rsid w:val="008B3EAC"/>
    <w:rsid w:val="008C1CF4"/>
    <w:rsid w:val="008D5290"/>
    <w:rsid w:val="008E0DC7"/>
    <w:rsid w:val="008E4A14"/>
    <w:rsid w:val="008E5AC4"/>
    <w:rsid w:val="008F190D"/>
    <w:rsid w:val="008F2F3A"/>
    <w:rsid w:val="008F356A"/>
    <w:rsid w:val="008F71AF"/>
    <w:rsid w:val="008F7289"/>
    <w:rsid w:val="008F7CBE"/>
    <w:rsid w:val="00903914"/>
    <w:rsid w:val="00915816"/>
    <w:rsid w:val="009178FF"/>
    <w:rsid w:val="00921524"/>
    <w:rsid w:val="00922C2B"/>
    <w:rsid w:val="009255BC"/>
    <w:rsid w:val="00926D37"/>
    <w:rsid w:val="009328F7"/>
    <w:rsid w:val="009339B8"/>
    <w:rsid w:val="009349BD"/>
    <w:rsid w:val="00950F83"/>
    <w:rsid w:val="0095165D"/>
    <w:rsid w:val="00952A3F"/>
    <w:rsid w:val="009541DD"/>
    <w:rsid w:val="00963035"/>
    <w:rsid w:val="00965BE4"/>
    <w:rsid w:val="0096783D"/>
    <w:rsid w:val="00970997"/>
    <w:rsid w:val="00974996"/>
    <w:rsid w:val="009763C4"/>
    <w:rsid w:val="009832EB"/>
    <w:rsid w:val="009839F2"/>
    <w:rsid w:val="00983EE8"/>
    <w:rsid w:val="00983F39"/>
    <w:rsid w:val="0098449B"/>
    <w:rsid w:val="00993A3B"/>
    <w:rsid w:val="009A4719"/>
    <w:rsid w:val="009B0164"/>
    <w:rsid w:val="009C0116"/>
    <w:rsid w:val="009C037D"/>
    <w:rsid w:val="009C355E"/>
    <w:rsid w:val="009C5F28"/>
    <w:rsid w:val="009C7DD9"/>
    <w:rsid w:val="009E2BDD"/>
    <w:rsid w:val="009E3630"/>
    <w:rsid w:val="009E577A"/>
    <w:rsid w:val="009E6D3C"/>
    <w:rsid w:val="009F01C4"/>
    <w:rsid w:val="009F0EB6"/>
    <w:rsid w:val="009F1443"/>
    <w:rsid w:val="009F3CC6"/>
    <w:rsid w:val="009F4FAD"/>
    <w:rsid w:val="009F5729"/>
    <w:rsid w:val="009F6AC8"/>
    <w:rsid w:val="009F73BE"/>
    <w:rsid w:val="00A079CB"/>
    <w:rsid w:val="00A12D2C"/>
    <w:rsid w:val="00A13D1B"/>
    <w:rsid w:val="00A14245"/>
    <w:rsid w:val="00A14FF1"/>
    <w:rsid w:val="00A15C3A"/>
    <w:rsid w:val="00A35E1D"/>
    <w:rsid w:val="00A3713A"/>
    <w:rsid w:val="00A44FD9"/>
    <w:rsid w:val="00A5059D"/>
    <w:rsid w:val="00A51FBD"/>
    <w:rsid w:val="00A528FE"/>
    <w:rsid w:val="00A540B1"/>
    <w:rsid w:val="00A5608F"/>
    <w:rsid w:val="00A6443C"/>
    <w:rsid w:val="00A66D0D"/>
    <w:rsid w:val="00A70ED5"/>
    <w:rsid w:val="00A760EF"/>
    <w:rsid w:val="00A8182B"/>
    <w:rsid w:val="00A915C6"/>
    <w:rsid w:val="00AB1399"/>
    <w:rsid w:val="00AB71EB"/>
    <w:rsid w:val="00AB7BC6"/>
    <w:rsid w:val="00AC6D55"/>
    <w:rsid w:val="00AD58EE"/>
    <w:rsid w:val="00AE1258"/>
    <w:rsid w:val="00AE305F"/>
    <w:rsid w:val="00AE60B1"/>
    <w:rsid w:val="00AF16FE"/>
    <w:rsid w:val="00AF273C"/>
    <w:rsid w:val="00AF428B"/>
    <w:rsid w:val="00AF43AB"/>
    <w:rsid w:val="00B0601A"/>
    <w:rsid w:val="00B145C9"/>
    <w:rsid w:val="00B22AD7"/>
    <w:rsid w:val="00B24B1C"/>
    <w:rsid w:val="00B351B4"/>
    <w:rsid w:val="00B46DA5"/>
    <w:rsid w:val="00B55579"/>
    <w:rsid w:val="00B575F1"/>
    <w:rsid w:val="00B606DF"/>
    <w:rsid w:val="00B62F1E"/>
    <w:rsid w:val="00B65A11"/>
    <w:rsid w:val="00B66746"/>
    <w:rsid w:val="00B722A5"/>
    <w:rsid w:val="00B759DE"/>
    <w:rsid w:val="00B80EA7"/>
    <w:rsid w:val="00B85BD1"/>
    <w:rsid w:val="00B87CEE"/>
    <w:rsid w:val="00B9253A"/>
    <w:rsid w:val="00BA026C"/>
    <w:rsid w:val="00BA141A"/>
    <w:rsid w:val="00BB179B"/>
    <w:rsid w:val="00BB4264"/>
    <w:rsid w:val="00BB49BC"/>
    <w:rsid w:val="00BD2108"/>
    <w:rsid w:val="00BD3B14"/>
    <w:rsid w:val="00BE0838"/>
    <w:rsid w:val="00BE15EA"/>
    <w:rsid w:val="00BE1A0E"/>
    <w:rsid w:val="00BE1B21"/>
    <w:rsid w:val="00BE287E"/>
    <w:rsid w:val="00C00C60"/>
    <w:rsid w:val="00C04FCE"/>
    <w:rsid w:val="00C125B4"/>
    <w:rsid w:val="00C21890"/>
    <w:rsid w:val="00C2514B"/>
    <w:rsid w:val="00C3201C"/>
    <w:rsid w:val="00C33527"/>
    <w:rsid w:val="00C3567E"/>
    <w:rsid w:val="00C4287D"/>
    <w:rsid w:val="00C43068"/>
    <w:rsid w:val="00C4314E"/>
    <w:rsid w:val="00C43B81"/>
    <w:rsid w:val="00C43C15"/>
    <w:rsid w:val="00C55849"/>
    <w:rsid w:val="00C5668B"/>
    <w:rsid w:val="00C57135"/>
    <w:rsid w:val="00C617A6"/>
    <w:rsid w:val="00C63190"/>
    <w:rsid w:val="00C63670"/>
    <w:rsid w:val="00C64BE4"/>
    <w:rsid w:val="00C67933"/>
    <w:rsid w:val="00C718FB"/>
    <w:rsid w:val="00C772BC"/>
    <w:rsid w:val="00C838C5"/>
    <w:rsid w:val="00C87656"/>
    <w:rsid w:val="00C9337E"/>
    <w:rsid w:val="00CA599D"/>
    <w:rsid w:val="00CA7320"/>
    <w:rsid w:val="00CB1A06"/>
    <w:rsid w:val="00CB1D4C"/>
    <w:rsid w:val="00CC3BA6"/>
    <w:rsid w:val="00CD0495"/>
    <w:rsid w:val="00CD288B"/>
    <w:rsid w:val="00CD5D10"/>
    <w:rsid w:val="00CD64CD"/>
    <w:rsid w:val="00CE08DF"/>
    <w:rsid w:val="00CE7D78"/>
    <w:rsid w:val="00CF4889"/>
    <w:rsid w:val="00CF5C38"/>
    <w:rsid w:val="00D03152"/>
    <w:rsid w:val="00D116C2"/>
    <w:rsid w:val="00D13A28"/>
    <w:rsid w:val="00D15780"/>
    <w:rsid w:val="00D20191"/>
    <w:rsid w:val="00D224AF"/>
    <w:rsid w:val="00D25E3A"/>
    <w:rsid w:val="00D3105A"/>
    <w:rsid w:val="00D32E16"/>
    <w:rsid w:val="00D44395"/>
    <w:rsid w:val="00D45261"/>
    <w:rsid w:val="00D50372"/>
    <w:rsid w:val="00D5514C"/>
    <w:rsid w:val="00D63216"/>
    <w:rsid w:val="00D63594"/>
    <w:rsid w:val="00D82E38"/>
    <w:rsid w:val="00D83667"/>
    <w:rsid w:val="00D87F8E"/>
    <w:rsid w:val="00D91315"/>
    <w:rsid w:val="00D918B0"/>
    <w:rsid w:val="00D94385"/>
    <w:rsid w:val="00D94C45"/>
    <w:rsid w:val="00DA76C5"/>
    <w:rsid w:val="00DA7891"/>
    <w:rsid w:val="00DB14AD"/>
    <w:rsid w:val="00DB2BF6"/>
    <w:rsid w:val="00DB332D"/>
    <w:rsid w:val="00DB611F"/>
    <w:rsid w:val="00DB7023"/>
    <w:rsid w:val="00DC1F2B"/>
    <w:rsid w:val="00DC2149"/>
    <w:rsid w:val="00DC6446"/>
    <w:rsid w:val="00DD3263"/>
    <w:rsid w:val="00DD79A3"/>
    <w:rsid w:val="00DE02F8"/>
    <w:rsid w:val="00DE1EA0"/>
    <w:rsid w:val="00DE2F30"/>
    <w:rsid w:val="00DE6392"/>
    <w:rsid w:val="00DE6A9D"/>
    <w:rsid w:val="00DF2E8D"/>
    <w:rsid w:val="00E01754"/>
    <w:rsid w:val="00E11985"/>
    <w:rsid w:val="00E13F34"/>
    <w:rsid w:val="00E13F78"/>
    <w:rsid w:val="00E16BF2"/>
    <w:rsid w:val="00E202A7"/>
    <w:rsid w:val="00E21254"/>
    <w:rsid w:val="00E22573"/>
    <w:rsid w:val="00E23E5A"/>
    <w:rsid w:val="00E3025C"/>
    <w:rsid w:val="00E30472"/>
    <w:rsid w:val="00E34788"/>
    <w:rsid w:val="00E365EC"/>
    <w:rsid w:val="00E54DF6"/>
    <w:rsid w:val="00E56EC1"/>
    <w:rsid w:val="00E619F4"/>
    <w:rsid w:val="00E632AE"/>
    <w:rsid w:val="00E645B2"/>
    <w:rsid w:val="00E65841"/>
    <w:rsid w:val="00E66497"/>
    <w:rsid w:val="00E7179B"/>
    <w:rsid w:val="00E74B27"/>
    <w:rsid w:val="00E751EE"/>
    <w:rsid w:val="00E768B6"/>
    <w:rsid w:val="00E77686"/>
    <w:rsid w:val="00E778FC"/>
    <w:rsid w:val="00E77A6F"/>
    <w:rsid w:val="00E841B0"/>
    <w:rsid w:val="00E92E18"/>
    <w:rsid w:val="00E93A53"/>
    <w:rsid w:val="00EA18A6"/>
    <w:rsid w:val="00EA7087"/>
    <w:rsid w:val="00EB3FD5"/>
    <w:rsid w:val="00EB5445"/>
    <w:rsid w:val="00EB5C18"/>
    <w:rsid w:val="00EB6516"/>
    <w:rsid w:val="00EB6F1E"/>
    <w:rsid w:val="00EC2D02"/>
    <w:rsid w:val="00EC537F"/>
    <w:rsid w:val="00ED06E7"/>
    <w:rsid w:val="00ED0725"/>
    <w:rsid w:val="00ED0EBC"/>
    <w:rsid w:val="00ED356F"/>
    <w:rsid w:val="00ED41FA"/>
    <w:rsid w:val="00ED58E0"/>
    <w:rsid w:val="00ED5ED0"/>
    <w:rsid w:val="00ED6686"/>
    <w:rsid w:val="00ED75AE"/>
    <w:rsid w:val="00EE69A4"/>
    <w:rsid w:val="00EE7015"/>
    <w:rsid w:val="00EF2FB9"/>
    <w:rsid w:val="00EF50D9"/>
    <w:rsid w:val="00F0072D"/>
    <w:rsid w:val="00F0463A"/>
    <w:rsid w:val="00F05177"/>
    <w:rsid w:val="00F06BF0"/>
    <w:rsid w:val="00F10F6B"/>
    <w:rsid w:val="00F11F2F"/>
    <w:rsid w:val="00F1470A"/>
    <w:rsid w:val="00F147DB"/>
    <w:rsid w:val="00F23F09"/>
    <w:rsid w:val="00F24908"/>
    <w:rsid w:val="00F311BA"/>
    <w:rsid w:val="00F31B0D"/>
    <w:rsid w:val="00F32508"/>
    <w:rsid w:val="00F37601"/>
    <w:rsid w:val="00F41DD3"/>
    <w:rsid w:val="00F4331D"/>
    <w:rsid w:val="00F47359"/>
    <w:rsid w:val="00F512F5"/>
    <w:rsid w:val="00F54573"/>
    <w:rsid w:val="00F55879"/>
    <w:rsid w:val="00F65E87"/>
    <w:rsid w:val="00F813B1"/>
    <w:rsid w:val="00F849D2"/>
    <w:rsid w:val="00F962C8"/>
    <w:rsid w:val="00FA039E"/>
    <w:rsid w:val="00FA1345"/>
    <w:rsid w:val="00FB77BD"/>
    <w:rsid w:val="00FC2319"/>
    <w:rsid w:val="00FC4A30"/>
    <w:rsid w:val="00FC6EB1"/>
    <w:rsid w:val="00FD2E01"/>
    <w:rsid w:val="00FD3183"/>
    <w:rsid w:val="00FD6BE9"/>
    <w:rsid w:val="00FD7C4C"/>
    <w:rsid w:val="00FD7EE6"/>
    <w:rsid w:val="00FE34D2"/>
    <w:rsid w:val="00FF164A"/>
    <w:rsid w:val="00FF71B5"/>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170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CEGAIP"/>
    <w:rsid w:val="00547C44"/>
    <w:pPr>
      <w:spacing w:after="0" w:line="360" w:lineRule="auto"/>
      <w:jc w:val="both"/>
    </w:pPr>
    <w:rPr>
      <w:rFonts w:cs="Times New Roman"/>
      <w:sz w:val="26"/>
      <w:szCs w:val="24"/>
      <w:lang w:val="es-ES" w:eastAsia="es-ES"/>
    </w:rPr>
  </w:style>
  <w:style w:type="paragraph" w:styleId="Ttulo1">
    <w:name w:val="heading 1"/>
    <w:aliases w:val="cita"/>
    <w:basedOn w:val="Normal"/>
    <w:next w:val="Normal"/>
    <w:link w:val="Ttulo1Car"/>
    <w:autoRedefine/>
    <w:qFormat/>
    <w:rsid w:val="005B2591"/>
    <w:pPr>
      <w:keepNext/>
      <w:outlineLvl w:val="0"/>
    </w:pPr>
    <w:rPr>
      <w:rFonts w:cs="Arial"/>
      <w:bCs/>
      <w:i/>
      <w:kern w:val="32"/>
      <w:sz w:val="2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cita Car"/>
    <w:basedOn w:val="Fuentedeprrafopredeter"/>
    <w:link w:val="Ttulo1"/>
    <w:rsid w:val="005B2591"/>
    <w:rPr>
      <w:rFonts w:eastAsia="Times New Roman" w:cs="Arial"/>
      <w:bCs/>
      <w:i/>
      <w:kern w:val="32"/>
      <w:szCs w:val="32"/>
      <w:lang w:val="es-ES" w:eastAsia="es-ES"/>
    </w:rPr>
  </w:style>
  <w:style w:type="table" w:styleId="Tablaconcuadrcula">
    <w:name w:val="Table Grid"/>
    <w:basedOn w:val="Tablanormal"/>
    <w:uiPriority w:val="59"/>
    <w:rsid w:val="00547C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link w:val="TextoindependienteCar"/>
    <w:uiPriority w:val="99"/>
    <w:semiHidden/>
    <w:unhideWhenUsed/>
    <w:rsid w:val="00547C44"/>
    <w:pPr>
      <w:spacing w:after="120"/>
    </w:pPr>
  </w:style>
  <w:style w:type="character" w:customStyle="1" w:styleId="TextoindependienteCar">
    <w:name w:val="Texto independiente Car"/>
    <w:basedOn w:val="Fuentedeprrafopredeter"/>
    <w:link w:val="Textoindependiente"/>
    <w:uiPriority w:val="99"/>
    <w:semiHidden/>
    <w:rsid w:val="00547C44"/>
    <w:rPr>
      <w:rFonts w:cs="Times New Roman"/>
      <w:sz w:val="26"/>
      <w:szCs w:val="24"/>
      <w:lang w:val="es-ES" w:eastAsia="es-ES"/>
    </w:rPr>
  </w:style>
  <w:style w:type="paragraph" w:styleId="Textoindependienteprimerasangra">
    <w:name w:val="Body Text First Indent"/>
    <w:basedOn w:val="Textoindependiente"/>
    <w:link w:val="TextoindependienteprimerasangraCar"/>
    <w:rsid w:val="00547C44"/>
    <w:pPr>
      <w:ind w:firstLine="210"/>
    </w:pPr>
  </w:style>
  <w:style w:type="character" w:customStyle="1" w:styleId="TextoindependienteprimerasangraCar">
    <w:name w:val="Texto independiente primera sangría Car"/>
    <w:basedOn w:val="TextoindependienteCar"/>
    <w:link w:val="Textoindependienteprimerasangra"/>
    <w:rsid w:val="00547C44"/>
    <w:rPr>
      <w:rFonts w:cs="Times New Roman"/>
      <w:sz w:val="26"/>
      <w:szCs w:val="24"/>
      <w:lang w:val="es-ES" w:eastAsia="es-ES"/>
    </w:rPr>
  </w:style>
  <w:style w:type="paragraph" w:styleId="Prrafodelista">
    <w:name w:val="List Paragraph"/>
    <w:basedOn w:val="Normal"/>
    <w:uiPriority w:val="34"/>
    <w:qFormat/>
    <w:rsid w:val="00547C44"/>
    <w:pPr>
      <w:ind w:left="720"/>
      <w:contextualSpacing/>
    </w:pPr>
  </w:style>
  <w:style w:type="character" w:styleId="Hipervnculo">
    <w:name w:val="Hyperlink"/>
    <w:basedOn w:val="Fuentedeprrafopredeter"/>
    <w:uiPriority w:val="99"/>
    <w:unhideWhenUsed/>
    <w:rsid w:val="00547C44"/>
    <w:rPr>
      <w:color w:val="0000FF" w:themeColor="hyperlink"/>
      <w:u w:val="single"/>
    </w:rPr>
  </w:style>
  <w:style w:type="paragraph" w:styleId="NormalWeb">
    <w:name w:val="Normal (Web)"/>
    <w:basedOn w:val="Normal"/>
    <w:uiPriority w:val="99"/>
    <w:rsid w:val="00190533"/>
    <w:pPr>
      <w:spacing w:before="100" w:beforeAutospacing="1" w:after="100" w:afterAutospacing="1" w:line="240" w:lineRule="auto"/>
      <w:jc w:val="left"/>
    </w:pPr>
    <w:rPr>
      <w:rFonts w:ascii="Times New Roman" w:hAnsi="Times New Roman"/>
      <w:sz w:val="24"/>
    </w:rPr>
  </w:style>
  <w:style w:type="paragraph" w:customStyle="1" w:styleId="texto">
    <w:name w:val="texto"/>
    <w:basedOn w:val="Normal"/>
    <w:rsid w:val="00190533"/>
    <w:pPr>
      <w:spacing w:before="100" w:beforeAutospacing="1" w:after="100" w:afterAutospacing="1" w:line="240" w:lineRule="auto"/>
      <w:jc w:val="left"/>
    </w:pPr>
    <w:rPr>
      <w:rFonts w:ascii="Times New Roman" w:hAnsi="Times New Roman"/>
      <w:sz w:val="24"/>
      <w:lang w:val="es-MX" w:eastAsia="es-MX"/>
    </w:rPr>
  </w:style>
  <w:style w:type="character" w:customStyle="1" w:styleId="apple-converted-space">
    <w:name w:val="apple-converted-space"/>
    <w:basedOn w:val="Fuentedeprrafopredeter"/>
    <w:rsid w:val="00190533"/>
  </w:style>
  <w:style w:type="paragraph" w:styleId="Encabezado">
    <w:name w:val="header"/>
    <w:basedOn w:val="Normal"/>
    <w:link w:val="EncabezadoCar"/>
    <w:uiPriority w:val="99"/>
    <w:unhideWhenUsed/>
    <w:rsid w:val="00EE69A4"/>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EE69A4"/>
    <w:rPr>
      <w:rFonts w:cs="Times New Roman"/>
      <w:sz w:val="26"/>
      <w:szCs w:val="24"/>
      <w:lang w:val="es-ES" w:eastAsia="es-ES"/>
    </w:rPr>
  </w:style>
  <w:style w:type="paragraph" w:styleId="Piedepgina">
    <w:name w:val="footer"/>
    <w:basedOn w:val="Normal"/>
    <w:link w:val="PiedepginaCar"/>
    <w:uiPriority w:val="99"/>
    <w:semiHidden/>
    <w:unhideWhenUsed/>
    <w:rsid w:val="00EE69A4"/>
    <w:pPr>
      <w:tabs>
        <w:tab w:val="center" w:pos="4419"/>
        <w:tab w:val="right" w:pos="8838"/>
      </w:tabs>
      <w:spacing w:line="240" w:lineRule="auto"/>
    </w:pPr>
  </w:style>
  <w:style w:type="character" w:customStyle="1" w:styleId="PiedepginaCar">
    <w:name w:val="Pie de página Car"/>
    <w:basedOn w:val="Fuentedeprrafopredeter"/>
    <w:link w:val="Piedepgina"/>
    <w:uiPriority w:val="99"/>
    <w:semiHidden/>
    <w:rsid w:val="00EE69A4"/>
    <w:rPr>
      <w:rFonts w:cs="Times New Roman"/>
      <w:sz w:val="26"/>
      <w:szCs w:val="24"/>
      <w:lang w:val="es-ES" w:eastAsia="es-ES"/>
    </w:rPr>
  </w:style>
  <w:style w:type="paragraph" w:styleId="Textodeglobo">
    <w:name w:val="Balloon Text"/>
    <w:basedOn w:val="Normal"/>
    <w:link w:val="TextodegloboCar"/>
    <w:uiPriority w:val="99"/>
    <w:semiHidden/>
    <w:unhideWhenUsed/>
    <w:rsid w:val="004C50E3"/>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C50E3"/>
    <w:rPr>
      <w:rFonts w:ascii="Tahoma" w:hAnsi="Tahoma" w:cs="Tahoma"/>
      <w:sz w:val="16"/>
      <w:szCs w:val="16"/>
      <w:lang w:val="es-ES" w:eastAsia="es-ES"/>
    </w:rPr>
  </w:style>
  <w:style w:type="paragraph" w:customStyle="1" w:styleId="Default">
    <w:name w:val="Default"/>
    <w:rsid w:val="006C1859"/>
    <w:pPr>
      <w:autoSpaceDE w:val="0"/>
      <w:autoSpaceDN w:val="0"/>
      <w:adjustRightInd w:val="0"/>
      <w:spacing w:after="0" w:line="240" w:lineRule="auto"/>
    </w:pPr>
    <w:rPr>
      <w:rFonts w:ascii="Arial" w:hAnsi="Arial" w:cs="Arial"/>
      <w:color w:val="000000"/>
      <w:sz w:val="24"/>
      <w:szCs w:val="24"/>
    </w:rPr>
  </w:style>
  <w:style w:type="paragraph" w:customStyle="1" w:styleId="corte4fondo">
    <w:name w:val="corte4 fondo"/>
    <w:basedOn w:val="Normal"/>
    <w:link w:val="corte4fondoCar1"/>
    <w:qFormat/>
    <w:rsid w:val="006F2CDD"/>
    <w:pPr>
      <w:ind w:firstLine="709"/>
    </w:pPr>
    <w:rPr>
      <w:rFonts w:ascii="Arial" w:hAnsi="Arial"/>
      <w:sz w:val="30"/>
      <w:szCs w:val="20"/>
      <w:lang w:eastAsia="es-MX"/>
    </w:rPr>
  </w:style>
  <w:style w:type="character" w:customStyle="1" w:styleId="corte4fondoCar1">
    <w:name w:val="corte4 fondo Car1"/>
    <w:link w:val="corte4fondo"/>
    <w:rsid w:val="006F2CDD"/>
    <w:rPr>
      <w:rFonts w:ascii="Arial" w:hAnsi="Arial" w:cs="Times New Roman"/>
      <w:sz w:val="30"/>
      <w:szCs w:val="20"/>
      <w:lang w:eastAsia="es-MX"/>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6F2CDD"/>
    <w:rPr>
      <w:vertAlign w:val="superscript"/>
    </w:rPr>
  </w:style>
  <w:style w:type="paragraph" w:styleId="Mapadeldocumento">
    <w:name w:val="Document Map"/>
    <w:basedOn w:val="Normal"/>
    <w:link w:val="MapadeldocumentoCar"/>
    <w:uiPriority w:val="99"/>
    <w:semiHidden/>
    <w:unhideWhenUsed/>
    <w:rsid w:val="0047108E"/>
    <w:pPr>
      <w:spacing w:line="240" w:lineRule="auto"/>
    </w:pPr>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47108E"/>
    <w:rPr>
      <w:rFonts w:ascii="Tahoma" w:hAnsi="Tahoma" w:cs="Tahoma"/>
      <w:sz w:val="16"/>
      <w:szCs w:val="16"/>
      <w:lang w:val="es-ES" w:eastAsia="es-ES"/>
    </w:rPr>
  </w:style>
</w:styles>
</file>

<file path=word/webSettings.xml><?xml version="1.0" encoding="utf-8"?>
<w:webSettings xmlns:r="http://schemas.openxmlformats.org/officeDocument/2006/relationships" xmlns:w="http://schemas.openxmlformats.org/wordprocessingml/2006/main">
  <w:divs>
    <w:div w:id="124855136">
      <w:bodyDiv w:val="1"/>
      <w:marLeft w:val="0"/>
      <w:marRight w:val="0"/>
      <w:marTop w:val="0"/>
      <w:marBottom w:val="0"/>
      <w:divBdr>
        <w:top w:val="none" w:sz="0" w:space="0" w:color="auto"/>
        <w:left w:val="none" w:sz="0" w:space="0" w:color="auto"/>
        <w:bottom w:val="none" w:sz="0" w:space="0" w:color="auto"/>
        <w:right w:val="none" w:sz="0" w:space="0" w:color="auto"/>
      </w:divBdr>
    </w:div>
    <w:div w:id="170142072">
      <w:bodyDiv w:val="1"/>
      <w:marLeft w:val="0"/>
      <w:marRight w:val="0"/>
      <w:marTop w:val="0"/>
      <w:marBottom w:val="0"/>
      <w:divBdr>
        <w:top w:val="none" w:sz="0" w:space="0" w:color="auto"/>
        <w:left w:val="none" w:sz="0" w:space="0" w:color="auto"/>
        <w:bottom w:val="none" w:sz="0" w:space="0" w:color="auto"/>
        <w:right w:val="none" w:sz="0" w:space="0" w:color="auto"/>
      </w:divBdr>
    </w:div>
    <w:div w:id="262081185">
      <w:bodyDiv w:val="1"/>
      <w:marLeft w:val="0"/>
      <w:marRight w:val="0"/>
      <w:marTop w:val="0"/>
      <w:marBottom w:val="0"/>
      <w:divBdr>
        <w:top w:val="none" w:sz="0" w:space="0" w:color="auto"/>
        <w:left w:val="none" w:sz="0" w:space="0" w:color="auto"/>
        <w:bottom w:val="none" w:sz="0" w:space="0" w:color="auto"/>
        <w:right w:val="none" w:sz="0" w:space="0" w:color="auto"/>
      </w:divBdr>
    </w:div>
    <w:div w:id="267931443">
      <w:bodyDiv w:val="1"/>
      <w:marLeft w:val="0"/>
      <w:marRight w:val="0"/>
      <w:marTop w:val="0"/>
      <w:marBottom w:val="0"/>
      <w:divBdr>
        <w:top w:val="none" w:sz="0" w:space="0" w:color="auto"/>
        <w:left w:val="none" w:sz="0" w:space="0" w:color="auto"/>
        <w:bottom w:val="none" w:sz="0" w:space="0" w:color="auto"/>
        <w:right w:val="none" w:sz="0" w:space="0" w:color="auto"/>
      </w:divBdr>
    </w:div>
    <w:div w:id="667252356">
      <w:bodyDiv w:val="1"/>
      <w:marLeft w:val="0"/>
      <w:marRight w:val="0"/>
      <w:marTop w:val="0"/>
      <w:marBottom w:val="0"/>
      <w:divBdr>
        <w:top w:val="none" w:sz="0" w:space="0" w:color="auto"/>
        <w:left w:val="none" w:sz="0" w:space="0" w:color="auto"/>
        <w:bottom w:val="none" w:sz="0" w:space="0" w:color="auto"/>
        <w:right w:val="none" w:sz="0" w:space="0" w:color="auto"/>
      </w:divBdr>
    </w:div>
    <w:div w:id="696392512">
      <w:bodyDiv w:val="1"/>
      <w:marLeft w:val="0"/>
      <w:marRight w:val="0"/>
      <w:marTop w:val="0"/>
      <w:marBottom w:val="0"/>
      <w:divBdr>
        <w:top w:val="none" w:sz="0" w:space="0" w:color="auto"/>
        <w:left w:val="none" w:sz="0" w:space="0" w:color="auto"/>
        <w:bottom w:val="none" w:sz="0" w:space="0" w:color="auto"/>
        <w:right w:val="none" w:sz="0" w:space="0" w:color="auto"/>
      </w:divBdr>
    </w:div>
    <w:div w:id="1182354146">
      <w:bodyDiv w:val="1"/>
      <w:marLeft w:val="0"/>
      <w:marRight w:val="0"/>
      <w:marTop w:val="0"/>
      <w:marBottom w:val="0"/>
      <w:divBdr>
        <w:top w:val="none" w:sz="0" w:space="0" w:color="auto"/>
        <w:left w:val="none" w:sz="0" w:space="0" w:color="auto"/>
        <w:bottom w:val="none" w:sz="0" w:space="0" w:color="auto"/>
        <w:right w:val="none" w:sz="0" w:space="0" w:color="auto"/>
      </w:divBdr>
    </w:div>
    <w:div w:id="1482888706">
      <w:bodyDiv w:val="1"/>
      <w:marLeft w:val="0"/>
      <w:marRight w:val="0"/>
      <w:marTop w:val="0"/>
      <w:marBottom w:val="0"/>
      <w:divBdr>
        <w:top w:val="none" w:sz="0" w:space="0" w:color="auto"/>
        <w:left w:val="none" w:sz="0" w:space="0" w:color="auto"/>
        <w:bottom w:val="none" w:sz="0" w:space="0" w:color="auto"/>
        <w:right w:val="none" w:sz="0" w:space="0" w:color="auto"/>
      </w:divBdr>
    </w:div>
    <w:div w:id="181721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BF73C7-F34B-455F-9E77-4A50094DF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TotalTime>
  <Pages>11</Pages>
  <Words>4384</Words>
  <Characters>24112</Characters>
  <Application>Microsoft Office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Servicio social</dc:creator>
  <cp:lastModifiedBy>FATIMA</cp:lastModifiedBy>
  <cp:revision>37</cp:revision>
  <cp:lastPrinted>2018-03-07T20:02:00Z</cp:lastPrinted>
  <dcterms:created xsi:type="dcterms:W3CDTF">2017-01-18T16:28:00Z</dcterms:created>
  <dcterms:modified xsi:type="dcterms:W3CDTF">2018-03-13T18:50:00Z</dcterms:modified>
</cp:coreProperties>
</file>