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bookmarkStart w:id="0" w:name="_Hlk506366196"/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9C70AD">
        <w:rPr>
          <w:rFonts w:ascii="Arial" w:hAnsi="Arial" w:cs="Arial"/>
          <w:color w:val="4BACC6" w:themeColor="accent5"/>
          <w:sz w:val="24"/>
          <w:szCs w:val="24"/>
        </w:rPr>
        <w:t>seis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bookmarkStart w:id="1" w:name="_GoBack"/>
      <w:bookmarkEnd w:id="1"/>
      <w:r w:rsidR="009C70AD">
        <w:rPr>
          <w:rFonts w:ascii="Arial" w:hAnsi="Arial" w:cs="Arial"/>
          <w:color w:val="4BACC6" w:themeColor="accent5"/>
          <w:sz w:val="24"/>
          <w:szCs w:val="24"/>
        </w:rPr>
        <w:t>marzo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 xml:space="preserve">rimer lugar, es necesario insertar </w:t>
      </w:r>
      <w:r w:rsidR="00CF210C">
        <w:rPr>
          <w:rFonts w:ascii="Arial" w:hAnsi="Arial" w:cs="Arial"/>
          <w:color w:val="4BACC6" w:themeColor="accent5"/>
          <w:sz w:val="24"/>
          <w:szCs w:val="24"/>
        </w:rPr>
        <w:t>el punto resolutivo dictado en la presente resolución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:</w:t>
      </w:r>
    </w:p>
    <w:p w:rsidR="001A5B10" w:rsidRDefault="001A5B10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7B520C" w:rsidRPr="00791265" w:rsidRDefault="00322003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791265">
        <w:rPr>
          <w:rFonts w:cs="Arial"/>
          <w:i/>
          <w:color w:val="4BACC6" w:themeColor="accent5"/>
          <w:sz w:val="20"/>
        </w:rPr>
        <w:t>“…</w:t>
      </w:r>
      <w:r w:rsidR="00CF210C" w:rsidRPr="00F22EC9">
        <w:rPr>
          <w:rFonts w:cs="Arial"/>
          <w:b/>
          <w:i/>
          <w:color w:val="4BACC6" w:themeColor="accent5"/>
          <w:sz w:val="20"/>
        </w:rPr>
        <w:t>ÚNICO.</w:t>
      </w:r>
      <w:r w:rsidR="00CF210C">
        <w:rPr>
          <w:rFonts w:cs="Arial"/>
          <w:i/>
          <w:color w:val="4BACC6" w:themeColor="accent5"/>
          <w:sz w:val="20"/>
        </w:rPr>
        <w:t xml:space="preserve"> Esta comisión Estat</w:t>
      </w:r>
      <w:r w:rsidR="00F22EC9">
        <w:rPr>
          <w:rFonts w:cs="Arial"/>
          <w:i/>
          <w:color w:val="4BACC6" w:themeColor="accent5"/>
          <w:sz w:val="20"/>
        </w:rPr>
        <w:t>a</w:t>
      </w:r>
      <w:r w:rsidR="00CF210C">
        <w:rPr>
          <w:rFonts w:cs="Arial"/>
          <w:i/>
          <w:color w:val="4BACC6" w:themeColor="accent5"/>
          <w:sz w:val="20"/>
        </w:rPr>
        <w:t xml:space="preserve">l de Garantía y Acceso a la Información Pública, con fundamento en </w:t>
      </w:r>
      <w:r w:rsidR="00F22EC9">
        <w:rPr>
          <w:rFonts w:cs="Arial"/>
          <w:i/>
          <w:color w:val="4BACC6" w:themeColor="accent5"/>
          <w:sz w:val="20"/>
        </w:rPr>
        <w:t xml:space="preserve">el artículo 175, fracción III de la Ley de Transparencia y Acceso a la Información Pública del Estado, </w:t>
      </w:r>
      <w:r w:rsidR="00F22EC9" w:rsidRPr="00F22EC9">
        <w:rPr>
          <w:rFonts w:cs="Arial"/>
          <w:b/>
          <w:i/>
          <w:color w:val="4BACC6" w:themeColor="accent5"/>
          <w:sz w:val="20"/>
        </w:rPr>
        <w:t>MODIFICA</w:t>
      </w:r>
      <w:r w:rsidR="00F22EC9">
        <w:rPr>
          <w:rFonts w:cs="Arial"/>
          <w:i/>
          <w:color w:val="4BACC6" w:themeColor="accent5"/>
          <w:sz w:val="20"/>
        </w:rPr>
        <w:t xml:space="preserve"> la respuesta otorgada por el ente obligado, por los fundamentos y por las razones desarrolladas en el considerando sexto de la presente resolución</w:t>
      </w:r>
      <w:r w:rsidR="009C70AD">
        <w:rPr>
          <w:rFonts w:cs="Arial"/>
          <w:i/>
          <w:color w:val="4BACC6" w:themeColor="accent5"/>
          <w:sz w:val="20"/>
        </w:rPr>
        <w:t>.</w:t>
      </w:r>
      <w:r w:rsidRPr="00791265">
        <w:rPr>
          <w:rFonts w:cs="Arial"/>
          <w:i/>
          <w:color w:val="4BACC6" w:themeColor="accent5"/>
          <w:sz w:val="20"/>
        </w:rPr>
        <w:t>”</w:t>
      </w:r>
      <w:r w:rsidR="00467AA8" w:rsidRPr="00791265">
        <w:rPr>
          <w:rFonts w:cs="Arial"/>
          <w:i/>
          <w:color w:val="4BACC6" w:themeColor="accent5"/>
          <w:sz w:val="20"/>
        </w:rPr>
        <w:t xml:space="preserve"> </w:t>
      </w:r>
    </w:p>
    <w:p w:rsidR="00803BF0" w:rsidRDefault="00803BF0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5A774A" w:rsidRPr="00803BF0" w:rsidRDefault="005A774A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352A7B" w:rsidRDefault="007A68AD" w:rsidP="001C77AA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Por lo anterior, el</w:t>
      </w:r>
      <w:r w:rsidR="001F0337" w:rsidRPr="00D7336A">
        <w:rPr>
          <w:rFonts w:ascii="Arial" w:hAnsi="Arial" w:cs="Arial"/>
          <w:color w:val="4BACC6" w:themeColor="accent5"/>
          <w:sz w:val="24"/>
          <w:szCs w:val="24"/>
        </w:rPr>
        <w:t xml:space="preserve"> sujeto</w:t>
      </w:r>
      <w:r w:rsidR="00DF5E66" w:rsidRPr="00D7336A">
        <w:rPr>
          <w:rFonts w:ascii="Arial" w:hAnsi="Arial" w:cs="Arial"/>
          <w:color w:val="4BACC6" w:themeColor="accent5"/>
          <w:sz w:val="24"/>
          <w:szCs w:val="24"/>
        </w:rPr>
        <w:t xml:space="preserve"> obl</w:t>
      </w:r>
      <w:r w:rsidR="00763E45" w:rsidRPr="00D7336A">
        <w:rPr>
          <w:rFonts w:ascii="Arial" w:hAnsi="Arial" w:cs="Arial"/>
          <w:color w:val="4BACC6" w:themeColor="accent5"/>
          <w:sz w:val="24"/>
          <w:szCs w:val="24"/>
        </w:rPr>
        <w:t xml:space="preserve">igado a través 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>del</w:t>
      </w:r>
      <w:r w:rsidR="00381A32" w:rsidRPr="00D7336A">
        <w:rPr>
          <w:rFonts w:ascii="Arial" w:hAnsi="Arial" w:cs="Arial"/>
          <w:color w:val="4BACC6" w:themeColor="accent5"/>
          <w:sz w:val="24"/>
          <w:szCs w:val="24"/>
        </w:rPr>
        <w:t xml:space="preserve"> oficio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F05B92">
        <w:rPr>
          <w:rFonts w:ascii="Arial" w:hAnsi="Arial" w:cs="Arial"/>
          <w:color w:val="4BACC6" w:themeColor="accent5"/>
          <w:sz w:val="24"/>
          <w:szCs w:val="24"/>
        </w:rPr>
        <w:t>UT</w:t>
      </w:r>
      <w:r w:rsidR="00B9030F">
        <w:rPr>
          <w:rFonts w:ascii="Arial" w:hAnsi="Arial" w:cs="Arial"/>
          <w:color w:val="4BACC6" w:themeColor="accent5"/>
          <w:sz w:val="24"/>
          <w:szCs w:val="24"/>
        </w:rPr>
        <w:t>/</w:t>
      </w:r>
      <w:r w:rsidR="00F05B92">
        <w:rPr>
          <w:rFonts w:ascii="Arial" w:hAnsi="Arial" w:cs="Arial"/>
          <w:color w:val="4BACC6" w:themeColor="accent5"/>
          <w:sz w:val="24"/>
          <w:szCs w:val="24"/>
        </w:rPr>
        <w:t>38</w:t>
      </w:r>
      <w:r w:rsidR="00B9030F">
        <w:rPr>
          <w:rFonts w:ascii="Arial" w:hAnsi="Arial" w:cs="Arial"/>
          <w:color w:val="4BACC6" w:themeColor="accent5"/>
          <w:sz w:val="24"/>
          <w:szCs w:val="24"/>
        </w:rPr>
        <w:t>/201</w:t>
      </w:r>
      <w:r w:rsidR="009C70AD">
        <w:rPr>
          <w:rFonts w:ascii="Arial" w:hAnsi="Arial" w:cs="Arial"/>
          <w:color w:val="4BACC6" w:themeColor="accent5"/>
          <w:sz w:val="24"/>
          <w:szCs w:val="24"/>
        </w:rPr>
        <w:t>8</w:t>
      </w:r>
      <w:r w:rsidR="00B9030F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fecha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F05B92">
        <w:rPr>
          <w:rFonts w:ascii="Arial" w:hAnsi="Arial" w:cs="Arial"/>
          <w:color w:val="4BACC6" w:themeColor="accent5"/>
          <w:sz w:val="24"/>
          <w:szCs w:val="24"/>
        </w:rPr>
        <w:t>veinticuatro de enero del año en curso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,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 xml:space="preserve"> con </w:t>
      </w:r>
      <w:r w:rsidR="00F05B92">
        <w:rPr>
          <w:rFonts w:ascii="Arial" w:hAnsi="Arial" w:cs="Arial"/>
          <w:color w:val="4BACC6" w:themeColor="accent5"/>
          <w:sz w:val="24"/>
          <w:szCs w:val="24"/>
        </w:rPr>
        <w:t>2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>anexo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>s</w:t>
      </w:r>
      <w:r w:rsidR="00BE6AF8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1C77AA">
        <w:rPr>
          <w:rFonts w:ascii="Arial" w:hAnsi="Arial" w:cs="Arial"/>
          <w:color w:val="4BACC6" w:themeColor="accent5"/>
          <w:sz w:val="24"/>
          <w:szCs w:val="24"/>
        </w:rPr>
        <w:t xml:space="preserve">donde </w:t>
      </w:r>
      <w:r w:rsidR="00E94C22" w:rsidRPr="00D7336A">
        <w:rPr>
          <w:rFonts w:ascii="Arial" w:hAnsi="Arial" w:cs="Arial"/>
          <w:color w:val="4BACC6" w:themeColor="accent5"/>
          <w:sz w:val="24"/>
          <w:szCs w:val="24"/>
        </w:rPr>
        <w:t>informa sobre el cumplimiento al resolutivo en anális</w:t>
      </w:r>
      <w:r w:rsidR="00D21862" w:rsidRPr="00D7336A">
        <w:rPr>
          <w:rFonts w:ascii="Arial" w:hAnsi="Arial" w:cs="Arial"/>
          <w:color w:val="4BACC6" w:themeColor="accent5"/>
          <w:sz w:val="24"/>
          <w:szCs w:val="24"/>
        </w:rPr>
        <w:t>is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 y señala medularmente lo siguiente:</w:t>
      </w:r>
    </w:p>
    <w:p w:rsidR="005A774A" w:rsidRDefault="005A774A" w:rsidP="001A5B10">
      <w:pPr>
        <w:spacing w:after="0" w:line="24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11CA5" w:rsidRPr="00791265" w:rsidRDefault="00E12808" w:rsidP="00D11CA5">
      <w:pPr>
        <w:spacing w:after="0" w:line="240" w:lineRule="auto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F05B92">
        <w:rPr>
          <w:rFonts w:ascii="Arial" w:hAnsi="Arial" w:cs="Arial"/>
          <w:i/>
          <w:color w:val="4BACC6" w:themeColor="accent5"/>
          <w:sz w:val="20"/>
          <w:szCs w:val="20"/>
        </w:rPr>
        <w:tab/>
      </w:r>
      <w:r w:rsidR="00D11CA5" w:rsidRPr="00791265">
        <w:rPr>
          <w:rFonts w:ascii="Arial" w:hAnsi="Arial" w:cs="Arial"/>
          <w:i/>
          <w:color w:val="4BACC6" w:themeColor="accent5"/>
          <w:sz w:val="20"/>
          <w:szCs w:val="20"/>
        </w:rPr>
        <w:t>[…]</w:t>
      </w:r>
      <w:r w:rsidR="00810456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9C70AD">
        <w:rPr>
          <w:rFonts w:ascii="Arial" w:hAnsi="Arial" w:cs="Arial"/>
          <w:i/>
          <w:color w:val="4BACC6" w:themeColor="accent5"/>
          <w:sz w:val="20"/>
          <w:szCs w:val="20"/>
        </w:rPr>
        <w:t>S</w:t>
      </w:r>
      <w:r w:rsidR="006F222A">
        <w:rPr>
          <w:rFonts w:ascii="Arial" w:hAnsi="Arial" w:cs="Arial"/>
          <w:i/>
          <w:color w:val="4BACC6" w:themeColor="accent5"/>
          <w:sz w:val="20"/>
          <w:szCs w:val="20"/>
        </w:rPr>
        <w:t xml:space="preserve">e </w:t>
      </w:r>
      <w:r w:rsidR="00F05B92">
        <w:rPr>
          <w:rFonts w:ascii="Arial" w:hAnsi="Arial" w:cs="Arial"/>
          <w:i/>
          <w:color w:val="4BACC6" w:themeColor="accent5"/>
          <w:sz w:val="20"/>
          <w:szCs w:val="20"/>
        </w:rPr>
        <w:t>me tenga dando cumplimiento en tiempo y forma así como dando cabal cumplimiento con la resolución dictada por este órgano garante, exhibiendo al efecto los anexos que contienen las constancias señaladas con antelación</w:t>
      </w:r>
      <w:r w:rsidR="006C55A8">
        <w:rPr>
          <w:rFonts w:ascii="Arial" w:hAnsi="Arial" w:cs="Arial"/>
          <w:i/>
          <w:color w:val="4BACC6" w:themeColor="accent5"/>
          <w:sz w:val="20"/>
          <w:szCs w:val="20"/>
        </w:rPr>
        <w:t>.</w:t>
      </w:r>
      <w:r w:rsidR="00A03CE0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B941DB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[…]. </w:t>
      </w:r>
      <w:r w:rsidR="001C77AA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</w:p>
    <w:p w:rsidR="00D21862" w:rsidRPr="00D7336A" w:rsidRDefault="00D21862" w:rsidP="00A45785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16C0D" w:rsidRPr="00467AA8" w:rsidRDefault="00352A7B" w:rsidP="00EB50CC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616C0D">
        <w:rPr>
          <w:rFonts w:cs="Arial"/>
          <w:color w:val="4BACC6" w:themeColor="accent5"/>
          <w:sz w:val="24"/>
          <w:szCs w:val="24"/>
        </w:rPr>
        <w:t>En ese sentido,</w:t>
      </w:r>
      <w:r w:rsidR="006A4610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visibles a fojas </w:t>
      </w:r>
      <w:r w:rsidR="00F05B92">
        <w:rPr>
          <w:rFonts w:cs="Arial"/>
          <w:color w:val="4BACC6" w:themeColor="accent5"/>
          <w:sz w:val="24"/>
          <w:szCs w:val="24"/>
        </w:rPr>
        <w:t>57</w:t>
      </w:r>
      <w:r w:rsidR="00810456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467AA8">
        <w:rPr>
          <w:rFonts w:cs="Arial"/>
          <w:color w:val="4BACC6" w:themeColor="accent5"/>
          <w:sz w:val="24"/>
          <w:szCs w:val="24"/>
        </w:rPr>
        <w:t>a</w:t>
      </w:r>
      <w:r w:rsidR="00810456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F05B92">
        <w:rPr>
          <w:rFonts w:cs="Arial"/>
          <w:color w:val="4BACC6" w:themeColor="accent5"/>
          <w:sz w:val="24"/>
          <w:szCs w:val="24"/>
        </w:rPr>
        <w:t>64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 de autos, se encuentra la información que fuera enviada al recurrente, mismos que por economía procesal, se tienen por reproducidos como si a la letra se insertasen</w:t>
      </w:r>
      <w:r w:rsidR="00EB50CC">
        <w:rPr>
          <w:rFonts w:cs="Arial"/>
          <w:color w:val="4BACC6" w:themeColor="accent5"/>
          <w:sz w:val="24"/>
          <w:szCs w:val="24"/>
        </w:rPr>
        <w:t>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</w:t>
      </w:r>
      <w:r w:rsidR="006C55A8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F05B92">
        <w:rPr>
          <w:rFonts w:ascii="Arial" w:hAnsi="Arial" w:cs="Arial"/>
          <w:color w:val="4BACC6" w:themeColor="accent5"/>
          <w:sz w:val="24"/>
          <w:szCs w:val="24"/>
        </w:rPr>
        <w:t xml:space="preserve">vía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de la referida constancia se advierte que la dirección electrónica corresponde con la que señal</w:t>
      </w:r>
      <w:r w:rsidR="00F05B92">
        <w:rPr>
          <w:rFonts w:ascii="Arial" w:hAnsi="Arial" w:cs="Arial"/>
          <w:color w:val="4BACC6" w:themeColor="accent5"/>
          <w:sz w:val="24"/>
          <w:szCs w:val="24"/>
        </w:rPr>
        <w:t>ó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 oír y recibir notificaciones. </w:t>
      </w:r>
      <w:r w:rsidR="00F05B92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</w:p>
    <w:p w:rsidR="001E317B" w:rsidRPr="00D7336A" w:rsidRDefault="001E317B" w:rsidP="000B7F7D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1E317B" w:rsidRDefault="000B7F7D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1C3373">
        <w:rPr>
          <w:rFonts w:cs="Arial"/>
          <w:color w:val="4BACC6" w:themeColor="accent5"/>
          <w:sz w:val="24"/>
          <w:szCs w:val="24"/>
        </w:rPr>
        <w:t>de</w:t>
      </w:r>
      <w:r w:rsidR="006C55A8">
        <w:rPr>
          <w:rFonts w:cs="Arial"/>
          <w:color w:val="4BACC6" w:themeColor="accent5"/>
          <w:sz w:val="24"/>
          <w:szCs w:val="24"/>
        </w:rPr>
        <w:t>l</w:t>
      </w:r>
      <w:r w:rsidR="00F05B92">
        <w:rPr>
          <w:rFonts w:cs="Arial"/>
          <w:color w:val="4BACC6" w:themeColor="accent5"/>
          <w:sz w:val="24"/>
          <w:szCs w:val="24"/>
        </w:rPr>
        <w:t xml:space="preserve"> listado de información de interés público en los términos de los lineamientos noveno, fracciones IV y VII,  </w:t>
      </w:r>
      <w:r w:rsidR="00F05B92">
        <w:rPr>
          <w:rFonts w:cs="Arial"/>
          <w:color w:val="4BACC6" w:themeColor="accent5"/>
          <w:sz w:val="24"/>
          <w:szCs w:val="24"/>
        </w:rPr>
        <w:lastRenderedPageBreak/>
        <w:t>décimo primero y décimo segundo de los lineamie</w:t>
      </w:r>
      <w:r w:rsidR="00CF210C">
        <w:rPr>
          <w:rFonts w:cs="Arial"/>
          <w:color w:val="4BACC6" w:themeColor="accent5"/>
          <w:sz w:val="24"/>
          <w:szCs w:val="24"/>
        </w:rPr>
        <w:t>n</w:t>
      </w:r>
      <w:r w:rsidR="00F05B92">
        <w:rPr>
          <w:rFonts w:cs="Arial"/>
          <w:color w:val="4BACC6" w:themeColor="accent5"/>
          <w:sz w:val="24"/>
          <w:szCs w:val="24"/>
        </w:rPr>
        <w:t xml:space="preserve">tos para determinar los </w:t>
      </w:r>
      <w:r w:rsidR="00CF210C">
        <w:rPr>
          <w:rFonts w:cs="Arial"/>
          <w:color w:val="4BACC6" w:themeColor="accent5"/>
          <w:sz w:val="24"/>
          <w:szCs w:val="24"/>
        </w:rPr>
        <w:t>catálogos</w:t>
      </w:r>
      <w:r w:rsidR="00F05B92">
        <w:rPr>
          <w:rFonts w:cs="Arial"/>
          <w:color w:val="4BACC6" w:themeColor="accent5"/>
          <w:sz w:val="24"/>
          <w:szCs w:val="24"/>
        </w:rPr>
        <w:t xml:space="preserve"> de información de </w:t>
      </w:r>
      <w:r w:rsidR="00CF210C">
        <w:rPr>
          <w:rFonts w:cs="Arial"/>
          <w:color w:val="4BACC6" w:themeColor="accent5"/>
          <w:sz w:val="24"/>
          <w:szCs w:val="24"/>
        </w:rPr>
        <w:t>interés</w:t>
      </w:r>
      <w:r w:rsidR="00F05B92">
        <w:rPr>
          <w:rFonts w:cs="Arial"/>
          <w:color w:val="4BACC6" w:themeColor="accent5"/>
          <w:sz w:val="24"/>
          <w:szCs w:val="24"/>
        </w:rPr>
        <w:t xml:space="preserve"> público y para la emisión y evalu</w:t>
      </w:r>
      <w:r w:rsidR="00CF210C">
        <w:rPr>
          <w:rFonts w:cs="Arial"/>
          <w:color w:val="4BACC6" w:themeColor="accent5"/>
          <w:sz w:val="24"/>
          <w:szCs w:val="24"/>
        </w:rPr>
        <w:t>a</w:t>
      </w:r>
      <w:r w:rsidR="00F05B92">
        <w:rPr>
          <w:rFonts w:cs="Arial"/>
          <w:color w:val="4BACC6" w:themeColor="accent5"/>
          <w:sz w:val="24"/>
          <w:szCs w:val="24"/>
        </w:rPr>
        <w:t>ci</w:t>
      </w:r>
      <w:r w:rsidR="00CF210C">
        <w:rPr>
          <w:rFonts w:cs="Arial"/>
          <w:color w:val="4BACC6" w:themeColor="accent5"/>
          <w:sz w:val="24"/>
          <w:szCs w:val="24"/>
        </w:rPr>
        <w:t>ó</w:t>
      </w:r>
      <w:r w:rsidR="00F05B92">
        <w:rPr>
          <w:rFonts w:cs="Arial"/>
          <w:color w:val="4BACC6" w:themeColor="accent5"/>
          <w:sz w:val="24"/>
          <w:szCs w:val="24"/>
        </w:rPr>
        <w:t>n de políticas de transparencia proactiva</w:t>
      </w:r>
      <w:r w:rsidR="00306A85">
        <w:rPr>
          <w:rFonts w:cs="Arial"/>
          <w:color w:val="4BACC6" w:themeColor="accent5"/>
          <w:sz w:val="24"/>
          <w:szCs w:val="24"/>
        </w:rPr>
        <w:t>.</w:t>
      </w:r>
      <w:r w:rsidR="00306A85" w:rsidRPr="00D7336A">
        <w:rPr>
          <w:rFonts w:cs="Arial"/>
          <w:color w:val="4BACC6" w:themeColor="accent5"/>
          <w:sz w:val="24"/>
          <w:szCs w:val="24"/>
        </w:rPr>
        <w:t xml:space="preserve"> </w:t>
      </w:r>
    </w:p>
    <w:p w:rsidR="00306A85" w:rsidRPr="00D7336A" w:rsidRDefault="00306A85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8024C9" w:rsidRPr="001A5B10" w:rsidRDefault="008024C9" w:rsidP="001C337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1A5B10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1A5B10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1A5B10">
        <w:rPr>
          <w:rFonts w:ascii="Arial" w:hAnsi="Arial" w:cs="Arial"/>
          <w:color w:val="4BACC6" w:themeColor="accent5"/>
          <w:sz w:val="24"/>
          <w:szCs w:val="24"/>
        </w:rPr>
        <w:t xml:space="preserve">eído de </w:t>
      </w:r>
      <w:r w:rsidR="00306A85">
        <w:rPr>
          <w:rFonts w:ascii="Arial" w:hAnsi="Arial" w:cs="Arial"/>
          <w:color w:val="4BACC6" w:themeColor="accent5"/>
          <w:sz w:val="24"/>
          <w:szCs w:val="24"/>
        </w:rPr>
        <w:t xml:space="preserve">siete de febrero de </w:t>
      </w:r>
      <w:r w:rsidR="009C034C" w:rsidRPr="001A5B10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1A5B10" w:rsidRPr="001A5B10">
        <w:rPr>
          <w:rFonts w:ascii="Arial" w:hAnsi="Arial" w:cs="Arial"/>
          <w:color w:val="4BACC6" w:themeColor="accent5"/>
          <w:sz w:val="24"/>
          <w:szCs w:val="24"/>
        </w:rPr>
        <w:t>ocho</w:t>
      </w:r>
      <w:r w:rsidRPr="001A5B10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 w:rsidRPr="001A5B10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1A5B10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 w:rsidRPr="001A5B10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CF210C">
        <w:rPr>
          <w:rFonts w:ascii="Arial" w:hAnsi="Arial" w:cs="Arial"/>
          <w:color w:val="4BACC6" w:themeColor="accent5"/>
          <w:sz w:val="24"/>
          <w:szCs w:val="24"/>
        </w:rPr>
        <w:t>66</w:t>
      </w:r>
      <w:r w:rsidR="00AB0C8A" w:rsidRPr="001A5B10">
        <w:rPr>
          <w:rFonts w:ascii="Arial" w:hAnsi="Arial" w:cs="Arial"/>
          <w:color w:val="4BACC6" w:themeColor="accent5"/>
          <w:sz w:val="24"/>
          <w:szCs w:val="24"/>
        </w:rPr>
        <w:t xml:space="preserve"> a </w:t>
      </w:r>
      <w:r w:rsidR="00CF210C">
        <w:rPr>
          <w:rFonts w:ascii="Arial" w:hAnsi="Arial" w:cs="Arial"/>
          <w:color w:val="4BACC6" w:themeColor="accent5"/>
          <w:sz w:val="24"/>
          <w:szCs w:val="24"/>
        </w:rPr>
        <w:t>68</w:t>
      </w:r>
      <w:r w:rsidRPr="001A5B10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CF210C">
        <w:rPr>
          <w:rFonts w:ascii="Arial" w:hAnsi="Arial" w:cs="Arial"/>
          <w:b/>
          <w:color w:val="4BACC6" w:themeColor="accent5"/>
          <w:sz w:val="24"/>
          <w:szCs w:val="24"/>
        </w:rPr>
        <w:t>703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306A85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Por último, archívese en su oportunidad este expediente como asunto totalmente concluido.</w:t>
      </w:r>
    </w:p>
    <w:p w:rsidR="00306A85" w:rsidRDefault="00306A85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  <w:bookmarkEnd w:id="0"/>
    </w:p>
    <w:p w:rsidR="004F5CDC" w:rsidRPr="00D7336A" w:rsidRDefault="004C415C" w:rsidP="004C415C">
      <w:pPr>
        <w:tabs>
          <w:tab w:val="left" w:pos="3795"/>
        </w:tabs>
        <w:spacing w:after="0" w:line="36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A45785" w:rsidRDefault="00A45785" w:rsidP="001A5B1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306A85" w:rsidRDefault="00306A85" w:rsidP="001A5B1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306A85" w:rsidRPr="005A774A" w:rsidRDefault="00306A85" w:rsidP="001A5B1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306A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Presidente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306A85" w:rsidRDefault="00306A85" w:rsidP="00306A85">
      <w:pPr>
        <w:rPr>
          <w:rFonts w:ascii="Arial" w:hAnsi="Arial" w:cs="Arial"/>
          <w:sz w:val="24"/>
          <w:szCs w:val="24"/>
        </w:rPr>
      </w:pPr>
    </w:p>
    <w:p w:rsidR="00CF210C" w:rsidRDefault="00CF210C" w:rsidP="00306A85">
      <w:pPr>
        <w:rPr>
          <w:rFonts w:ascii="Arial" w:hAnsi="Arial" w:cs="Arial"/>
          <w:sz w:val="24"/>
          <w:szCs w:val="24"/>
        </w:rPr>
      </w:pPr>
    </w:p>
    <w:p w:rsidR="00F22EC9" w:rsidRPr="00306A85" w:rsidRDefault="00F22EC9" w:rsidP="00306A85">
      <w:pPr>
        <w:rPr>
          <w:rFonts w:ascii="Arial" w:hAnsi="Arial" w:cs="Arial"/>
          <w:sz w:val="24"/>
          <w:szCs w:val="24"/>
        </w:rPr>
      </w:pPr>
    </w:p>
    <w:p w:rsidR="00306A85" w:rsidRPr="00306A85" w:rsidRDefault="00306A85" w:rsidP="00306A85">
      <w:pPr>
        <w:tabs>
          <w:tab w:val="left" w:pos="1170"/>
        </w:tabs>
        <w:spacing w:line="24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24"/>
          <w:szCs w:val="24"/>
        </w:rPr>
        <w:tab/>
      </w:r>
      <w:r w:rsidRPr="00306A85">
        <w:rPr>
          <w:rFonts w:ascii="Arial" w:hAnsi="Arial" w:cs="Arial"/>
          <w:color w:val="4BACC6" w:themeColor="accent5"/>
          <w:sz w:val="12"/>
          <w:szCs w:val="12"/>
        </w:rPr>
        <w:t>O.R.E.J.</w:t>
      </w:r>
      <w:r w:rsidRPr="00306A85">
        <w:rPr>
          <w:rFonts w:ascii="Arial" w:hAnsi="Arial" w:cs="Arial"/>
          <w:sz w:val="12"/>
          <w:szCs w:val="12"/>
        </w:rPr>
        <w:tab/>
      </w:r>
    </w:p>
    <w:sectPr w:rsidR="00306A85" w:rsidRPr="00306A85" w:rsidSect="00FF56CF">
      <w:headerReference w:type="default" r:id="rId8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0169" w:rsidRDefault="00800169" w:rsidP="00A04BCB">
      <w:pPr>
        <w:spacing w:after="0" w:line="240" w:lineRule="auto"/>
      </w:pPr>
      <w:r>
        <w:separator/>
      </w:r>
    </w:p>
  </w:endnote>
  <w:endnote w:type="continuationSeparator" w:id="0">
    <w:p w:rsidR="00800169" w:rsidRDefault="00800169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0169" w:rsidRDefault="00800169" w:rsidP="00A04BCB">
      <w:pPr>
        <w:spacing w:after="0" w:line="240" w:lineRule="auto"/>
      </w:pPr>
      <w:r>
        <w:separator/>
      </w:r>
    </w:p>
  </w:footnote>
  <w:footnote w:type="continuationSeparator" w:id="0">
    <w:p w:rsidR="00800169" w:rsidRDefault="00800169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9C70AD">
      <w:rPr>
        <w:rFonts w:ascii="Arial" w:hAnsi="Arial" w:cs="Arial"/>
        <w:b/>
      </w:rPr>
      <w:t>7</w:t>
    </w:r>
    <w:r w:rsidR="00F22EC9">
      <w:rPr>
        <w:rFonts w:ascii="Arial" w:hAnsi="Arial" w:cs="Arial"/>
        <w:b/>
      </w:rPr>
      <w:t>03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4"/>
  </w:num>
  <w:num w:numId="5">
    <w:abstractNumId w:val="11"/>
  </w:num>
  <w:num w:numId="6">
    <w:abstractNumId w:val="9"/>
  </w:num>
  <w:num w:numId="7">
    <w:abstractNumId w:val="2"/>
  </w:num>
  <w:num w:numId="8">
    <w:abstractNumId w:val="13"/>
  </w:num>
  <w:num w:numId="9">
    <w:abstractNumId w:val="5"/>
  </w:num>
  <w:num w:numId="10">
    <w:abstractNumId w:val="1"/>
  </w:num>
  <w:num w:numId="11">
    <w:abstractNumId w:val="8"/>
  </w:num>
  <w:num w:numId="12">
    <w:abstractNumId w:val="12"/>
  </w:num>
  <w:num w:numId="13">
    <w:abstractNumId w:val="10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31EBD"/>
    <w:rsid w:val="00157759"/>
    <w:rsid w:val="00162EC6"/>
    <w:rsid w:val="00184E79"/>
    <w:rsid w:val="00196123"/>
    <w:rsid w:val="001A14C5"/>
    <w:rsid w:val="001A3205"/>
    <w:rsid w:val="001A5B10"/>
    <w:rsid w:val="001B2AEF"/>
    <w:rsid w:val="001C0739"/>
    <w:rsid w:val="001C3373"/>
    <w:rsid w:val="001C5951"/>
    <w:rsid w:val="001C77AA"/>
    <w:rsid w:val="001D0198"/>
    <w:rsid w:val="001D03CA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526F3"/>
    <w:rsid w:val="00260481"/>
    <w:rsid w:val="00264CBC"/>
    <w:rsid w:val="00266ADC"/>
    <w:rsid w:val="002778EA"/>
    <w:rsid w:val="00286EF5"/>
    <w:rsid w:val="002A288D"/>
    <w:rsid w:val="002A6A30"/>
    <w:rsid w:val="002B04C9"/>
    <w:rsid w:val="002B40C2"/>
    <w:rsid w:val="002C38D0"/>
    <w:rsid w:val="002C5252"/>
    <w:rsid w:val="002D0070"/>
    <w:rsid w:val="002D371A"/>
    <w:rsid w:val="002E4736"/>
    <w:rsid w:val="002F176F"/>
    <w:rsid w:val="002F30EF"/>
    <w:rsid w:val="003032F5"/>
    <w:rsid w:val="00306A85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735"/>
    <w:rsid w:val="0038592D"/>
    <w:rsid w:val="003A0A70"/>
    <w:rsid w:val="003E3238"/>
    <w:rsid w:val="00402BE9"/>
    <w:rsid w:val="00404705"/>
    <w:rsid w:val="0041021C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1923"/>
    <w:rsid w:val="004935E2"/>
    <w:rsid w:val="0049533B"/>
    <w:rsid w:val="004A5868"/>
    <w:rsid w:val="004C415C"/>
    <w:rsid w:val="004D0F1C"/>
    <w:rsid w:val="004D511E"/>
    <w:rsid w:val="004E386C"/>
    <w:rsid w:val="004E722E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0DE0"/>
    <w:rsid w:val="00695310"/>
    <w:rsid w:val="006A4610"/>
    <w:rsid w:val="006B6741"/>
    <w:rsid w:val="006C55A8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21663"/>
    <w:rsid w:val="00744113"/>
    <w:rsid w:val="00751BEC"/>
    <w:rsid w:val="007558D7"/>
    <w:rsid w:val="00763E45"/>
    <w:rsid w:val="00771755"/>
    <w:rsid w:val="00772104"/>
    <w:rsid w:val="00774BC8"/>
    <w:rsid w:val="00780A83"/>
    <w:rsid w:val="00791265"/>
    <w:rsid w:val="007A68AD"/>
    <w:rsid w:val="007A777C"/>
    <w:rsid w:val="007B1813"/>
    <w:rsid w:val="007B30A9"/>
    <w:rsid w:val="007B520C"/>
    <w:rsid w:val="007C70EC"/>
    <w:rsid w:val="007E7A46"/>
    <w:rsid w:val="007F7EDC"/>
    <w:rsid w:val="00800169"/>
    <w:rsid w:val="008024C9"/>
    <w:rsid w:val="00803BF0"/>
    <w:rsid w:val="00810456"/>
    <w:rsid w:val="0082057A"/>
    <w:rsid w:val="008334F5"/>
    <w:rsid w:val="00845E58"/>
    <w:rsid w:val="00852028"/>
    <w:rsid w:val="0085470E"/>
    <w:rsid w:val="00874C83"/>
    <w:rsid w:val="0088125B"/>
    <w:rsid w:val="00897B0C"/>
    <w:rsid w:val="008A6B41"/>
    <w:rsid w:val="008B15BA"/>
    <w:rsid w:val="008C22E2"/>
    <w:rsid w:val="008D0A3C"/>
    <w:rsid w:val="008F388A"/>
    <w:rsid w:val="008F6149"/>
    <w:rsid w:val="009039C8"/>
    <w:rsid w:val="00906B75"/>
    <w:rsid w:val="009124C4"/>
    <w:rsid w:val="0092572B"/>
    <w:rsid w:val="00943FA9"/>
    <w:rsid w:val="0094536F"/>
    <w:rsid w:val="00977800"/>
    <w:rsid w:val="0098511D"/>
    <w:rsid w:val="009B23C6"/>
    <w:rsid w:val="009B7254"/>
    <w:rsid w:val="009C034C"/>
    <w:rsid w:val="009C2B81"/>
    <w:rsid w:val="009C4466"/>
    <w:rsid w:val="009C70AD"/>
    <w:rsid w:val="009D0019"/>
    <w:rsid w:val="009D2BB8"/>
    <w:rsid w:val="009D3602"/>
    <w:rsid w:val="009D7E22"/>
    <w:rsid w:val="009E456E"/>
    <w:rsid w:val="009F00AF"/>
    <w:rsid w:val="00A03CE0"/>
    <w:rsid w:val="00A04BCB"/>
    <w:rsid w:val="00A050F1"/>
    <w:rsid w:val="00A06A4A"/>
    <w:rsid w:val="00A24594"/>
    <w:rsid w:val="00A45785"/>
    <w:rsid w:val="00A61517"/>
    <w:rsid w:val="00A62F8D"/>
    <w:rsid w:val="00A630A6"/>
    <w:rsid w:val="00A7066C"/>
    <w:rsid w:val="00A75DA0"/>
    <w:rsid w:val="00A8436E"/>
    <w:rsid w:val="00A8474D"/>
    <w:rsid w:val="00A94565"/>
    <w:rsid w:val="00AA5027"/>
    <w:rsid w:val="00AB0C8A"/>
    <w:rsid w:val="00AC1F24"/>
    <w:rsid w:val="00AC335A"/>
    <w:rsid w:val="00AD691E"/>
    <w:rsid w:val="00AE702D"/>
    <w:rsid w:val="00AF43F9"/>
    <w:rsid w:val="00B01F57"/>
    <w:rsid w:val="00B06769"/>
    <w:rsid w:val="00B0797C"/>
    <w:rsid w:val="00B10F22"/>
    <w:rsid w:val="00B11A7E"/>
    <w:rsid w:val="00B14364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030F"/>
    <w:rsid w:val="00B941DB"/>
    <w:rsid w:val="00B977AB"/>
    <w:rsid w:val="00B97928"/>
    <w:rsid w:val="00BA2344"/>
    <w:rsid w:val="00BA55C4"/>
    <w:rsid w:val="00BB031B"/>
    <w:rsid w:val="00BE6AF8"/>
    <w:rsid w:val="00C0019F"/>
    <w:rsid w:val="00C0023E"/>
    <w:rsid w:val="00C003C0"/>
    <w:rsid w:val="00C1156A"/>
    <w:rsid w:val="00C16EC4"/>
    <w:rsid w:val="00C23535"/>
    <w:rsid w:val="00C257BC"/>
    <w:rsid w:val="00C26B0B"/>
    <w:rsid w:val="00C37176"/>
    <w:rsid w:val="00C42933"/>
    <w:rsid w:val="00C66E3D"/>
    <w:rsid w:val="00C70A3F"/>
    <w:rsid w:val="00C73D19"/>
    <w:rsid w:val="00C7664A"/>
    <w:rsid w:val="00C96DC3"/>
    <w:rsid w:val="00CA5BA0"/>
    <w:rsid w:val="00CC57CD"/>
    <w:rsid w:val="00CD2AF9"/>
    <w:rsid w:val="00CE6391"/>
    <w:rsid w:val="00CF210C"/>
    <w:rsid w:val="00D05A2B"/>
    <w:rsid w:val="00D11CA5"/>
    <w:rsid w:val="00D13645"/>
    <w:rsid w:val="00D21862"/>
    <w:rsid w:val="00D550D5"/>
    <w:rsid w:val="00D7336A"/>
    <w:rsid w:val="00DA09AD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94C22"/>
    <w:rsid w:val="00E95910"/>
    <w:rsid w:val="00EA3D66"/>
    <w:rsid w:val="00EB06E0"/>
    <w:rsid w:val="00EB50CC"/>
    <w:rsid w:val="00EC4BDD"/>
    <w:rsid w:val="00ED7190"/>
    <w:rsid w:val="00EE1009"/>
    <w:rsid w:val="00EE4D47"/>
    <w:rsid w:val="00F05B92"/>
    <w:rsid w:val="00F0766A"/>
    <w:rsid w:val="00F14988"/>
    <w:rsid w:val="00F2256E"/>
    <w:rsid w:val="00F22EC9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874EA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0F6A5-747F-47C1-A04F-8168F1296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643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2</cp:revision>
  <cp:lastPrinted>2018-02-14T15:59:00Z</cp:lastPrinted>
  <dcterms:created xsi:type="dcterms:W3CDTF">2018-03-06T15:10:00Z</dcterms:created>
  <dcterms:modified xsi:type="dcterms:W3CDTF">2018-03-06T15:10:00Z</dcterms:modified>
</cp:coreProperties>
</file>