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Tablaconcuadrcula"/>
        <w:tblW w:w="0" w:type="auto"/>
        <w:tblInd w:w="3510" w:type="dxa"/>
        <w:tblLook w:val="04A0"/>
      </w:tblPr>
      <w:tblGrid>
        <w:gridCol w:w="5184"/>
      </w:tblGrid>
      <w:tr w:rsidR="00547C44" w:rsidRPr="00086D7F" w:rsidTr="00C63190">
        <w:tc>
          <w:tcPr>
            <w:tcW w:w="518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547C44" w:rsidRPr="00086D7F" w:rsidRDefault="00547C44" w:rsidP="00DF6FE2">
            <w:pPr>
              <w:ind w:left="-108"/>
              <w:rPr>
                <w:rFonts w:ascii="Arial" w:hAnsi="Arial" w:cs="Arial"/>
                <w:color w:val="4F81BD" w:themeColor="accent1"/>
                <w:lang w:val="es-MX"/>
              </w:rPr>
            </w:pPr>
            <w:r w:rsidRPr="00086D7F">
              <w:rPr>
                <w:rFonts w:ascii="Arial" w:hAnsi="Arial" w:cs="Arial"/>
                <w:b/>
                <w:color w:val="4F81BD" w:themeColor="accent1"/>
                <w:lang w:val="es-MX"/>
              </w:rPr>
              <w:t xml:space="preserve">RECURSO DE REVISIÓN: </w:t>
            </w:r>
            <w:r w:rsidR="00570B93" w:rsidRPr="00086D7F">
              <w:rPr>
                <w:rFonts w:ascii="Arial" w:hAnsi="Arial" w:cs="Arial"/>
                <w:color w:val="4F81BD" w:themeColor="accent1"/>
                <w:lang w:val="es-MX"/>
              </w:rPr>
              <w:t>RR-</w:t>
            </w:r>
            <w:r w:rsidR="001342AE" w:rsidRPr="00086D7F">
              <w:rPr>
                <w:rFonts w:ascii="Arial" w:hAnsi="Arial" w:cs="Arial"/>
                <w:color w:val="4F81BD" w:themeColor="accent1"/>
                <w:lang w:val="es-MX"/>
              </w:rPr>
              <w:t>12</w:t>
            </w:r>
            <w:r w:rsidR="00D02FBD" w:rsidRPr="00086D7F">
              <w:rPr>
                <w:rFonts w:ascii="Arial" w:hAnsi="Arial" w:cs="Arial"/>
                <w:color w:val="4F81BD" w:themeColor="accent1"/>
                <w:lang w:val="es-MX"/>
              </w:rPr>
              <w:t>/2018</w:t>
            </w:r>
            <w:r w:rsidRPr="00086D7F">
              <w:rPr>
                <w:rFonts w:ascii="Arial" w:hAnsi="Arial" w:cs="Arial"/>
                <w:color w:val="4F81BD" w:themeColor="accent1"/>
                <w:lang w:val="es-MX"/>
              </w:rPr>
              <w:t>-3</w:t>
            </w:r>
          </w:p>
        </w:tc>
      </w:tr>
      <w:tr w:rsidR="00547C44" w:rsidRPr="00086D7F" w:rsidTr="00C63190">
        <w:tc>
          <w:tcPr>
            <w:tcW w:w="518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547C44" w:rsidRPr="00086D7F" w:rsidRDefault="00547C44" w:rsidP="00570B93">
            <w:pPr>
              <w:ind w:left="-108"/>
              <w:rPr>
                <w:rFonts w:ascii="Arial" w:hAnsi="Arial" w:cs="Arial"/>
                <w:color w:val="4F81BD" w:themeColor="accent1"/>
                <w:lang w:val="es-MX"/>
              </w:rPr>
            </w:pPr>
            <w:r w:rsidRPr="00086D7F">
              <w:rPr>
                <w:rFonts w:ascii="Arial" w:hAnsi="Arial" w:cs="Arial"/>
                <w:b/>
                <w:color w:val="4F81BD" w:themeColor="accent1"/>
                <w:lang w:val="es-MX"/>
              </w:rPr>
              <w:t>ENTE OBLIGADO:</w:t>
            </w:r>
            <w:r w:rsidRPr="00086D7F">
              <w:rPr>
                <w:rFonts w:ascii="Arial" w:hAnsi="Arial" w:cs="Arial"/>
                <w:color w:val="4F81BD" w:themeColor="accent1"/>
                <w:lang w:val="es-MX"/>
              </w:rPr>
              <w:t xml:space="preserve"> </w:t>
            </w:r>
            <w:r w:rsidR="001342AE" w:rsidRPr="00086D7F">
              <w:rPr>
                <w:rFonts w:ascii="Arial" w:hAnsi="Arial" w:cs="Arial"/>
                <w:color w:val="4F81BD" w:themeColor="accent1"/>
                <w:lang w:val="es-MX"/>
              </w:rPr>
              <w:t>AYUNTAMIENTO DE MOCTEZUMA, S.L.P.</w:t>
            </w:r>
          </w:p>
        </w:tc>
      </w:tr>
      <w:tr w:rsidR="00547C44" w:rsidRPr="00086D7F" w:rsidTr="00C63190">
        <w:tc>
          <w:tcPr>
            <w:tcW w:w="518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547C44" w:rsidRPr="00086D7F" w:rsidRDefault="00547C44" w:rsidP="00C63190">
            <w:pPr>
              <w:ind w:left="-108"/>
              <w:rPr>
                <w:rFonts w:ascii="Arial" w:hAnsi="Arial" w:cs="Arial"/>
                <w:color w:val="4F81BD" w:themeColor="accent1"/>
                <w:lang w:val="es-MX"/>
              </w:rPr>
            </w:pPr>
            <w:r w:rsidRPr="00086D7F">
              <w:rPr>
                <w:rFonts w:ascii="Arial" w:hAnsi="Arial" w:cs="Arial"/>
                <w:b/>
                <w:color w:val="4F81BD" w:themeColor="accent1"/>
                <w:lang w:val="es-MX"/>
              </w:rPr>
              <w:t xml:space="preserve">COMISIONADO PONENTE: </w:t>
            </w:r>
            <w:r w:rsidRPr="00086D7F">
              <w:rPr>
                <w:rFonts w:ascii="Arial" w:hAnsi="Arial" w:cs="Arial"/>
                <w:color w:val="4F81BD" w:themeColor="accent1"/>
                <w:lang w:val="es-MX"/>
              </w:rPr>
              <w:t>CLAUDIA ELIZABETH ÁVALOS CEDILLO</w:t>
            </w:r>
          </w:p>
        </w:tc>
      </w:tr>
    </w:tbl>
    <w:p w:rsidR="00547C44" w:rsidRPr="00086D7F" w:rsidRDefault="00547C44" w:rsidP="00547C44">
      <w:pPr>
        <w:jc w:val="right"/>
        <w:rPr>
          <w:rFonts w:ascii="Arial" w:hAnsi="Arial" w:cs="Arial"/>
          <w:b/>
          <w:color w:val="4F81BD" w:themeColor="accent1"/>
          <w:lang w:val="es-MX"/>
        </w:rPr>
      </w:pPr>
    </w:p>
    <w:p w:rsidR="00990C27" w:rsidRPr="00086D7F" w:rsidRDefault="00547C44" w:rsidP="00990C27">
      <w:pPr>
        <w:pStyle w:val="Textoindependienteprimerasangra"/>
        <w:spacing w:after="0"/>
        <w:ind w:firstLine="0"/>
        <w:rPr>
          <w:rFonts w:ascii="Arial" w:eastAsia="Arial Unicode MS" w:hAnsi="Arial" w:cs="Arial"/>
          <w:color w:val="4F81BD" w:themeColor="accent1"/>
          <w:szCs w:val="26"/>
          <w:lang w:val="es-MX"/>
        </w:rPr>
      </w:pPr>
      <w:r w:rsidRPr="00086D7F">
        <w:rPr>
          <w:rFonts w:ascii="Arial" w:hAnsi="Arial" w:cs="Arial"/>
          <w:b/>
          <w:color w:val="4F81BD" w:themeColor="accent1"/>
          <w:lang w:val="es-MX"/>
        </w:rPr>
        <w:tab/>
      </w:r>
      <w:r w:rsidRPr="00086D7F">
        <w:rPr>
          <w:rFonts w:ascii="Arial" w:eastAsia="Arial Unicode MS" w:hAnsi="Arial" w:cs="Arial"/>
          <w:color w:val="4F81BD" w:themeColor="accent1"/>
          <w:szCs w:val="26"/>
          <w:lang w:val="es-MX"/>
        </w:rPr>
        <w:t xml:space="preserve">San Luis Potosí, San Luis Potosí, </w:t>
      </w:r>
      <w:r w:rsidR="001342AE" w:rsidRPr="00086D7F">
        <w:rPr>
          <w:rFonts w:ascii="Arial" w:eastAsia="Arial Unicode MS" w:hAnsi="Arial" w:cs="Arial"/>
          <w:color w:val="4F81BD" w:themeColor="accent1"/>
          <w:szCs w:val="26"/>
          <w:lang w:val="es-MX"/>
        </w:rPr>
        <w:t>siete de marzo</w:t>
      </w:r>
      <w:r w:rsidR="0089357B" w:rsidRPr="00086D7F">
        <w:rPr>
          <w:rFonts w:ascii="Arial" w:eastAsia="Arial Unicode MS" w:hAnsi="Arial" w:cs="Arial"/>
          <w:color w:val="4F81BD" w:themeColor="accent1"/>
          <w:szCs w:val="26"/>
          <w:lang w:val="es-MX"/>
        </w:rPr>
        <w:t xml:space="preserve"> de dos mil dieciocho</w:t>
      </w:r>
      <w:r w:rsidRPr="00086D7F">
        <w:rPr>
          <w:rFonts w:ascii="Arial" w:eastAsia="Arial Unicode MS" w:hAnsi="Arial" w:cs="Arial"/>
          <w:color w:val="4F81BD" w:themeColor="accent1"/>
          <w:szCs w:val="26"/>
          <w:lang w:val="es-MX"/>
        </w:rPr>
        <w:t>.</w:t>
      </w:r>
    </w:p>
    <w:p w:rsidR="00547C44" w:rsidRPr="00086D7F" w:rsidRDefault="00990C27" w:rsidP="00990C27">
      <w:pPr>
        <w:pStyle w:val="Textoindependienteprimerasangra"/>
        <w:spacing w:before="240" w:after="0"/>
        <w:ind w:firstLine="0"/>
        <w:rPr>
          <w:rFonts w:ascii="Arial" w:eastAsia="Arial Unicode MS" w:hAnsi="Arial" w:cs="Arial"/>
          <w:color w:val="4F81BD" w:themeColor="accent1"/>
          <w:szCs w:val="26"/>
          <w:lang w:val="es-MX"/>
        </w:rPr>
      </w:pPr>
      <w:r w:rsidRPr="00086D7F">
        <w:rPr>
          <w:rFonts w:ascii="Arial" w:eastAsia="Arial Unicode MS" w:hAnsi="Arial" w:cs="Arial"/>
          <w:color w:val="4F81BD" w:themeColor="accent1"/>
          <w:szCs w:val="26"/>
          <w:lang w:val="es-MX"/>
        </w:rPr>
        <w:tab/>
      </w:r>
      <w:r w:rsidR="00BB5A3B" w:rsidRPr="00086D7F">
        <w:rPr>
          <w:rFonts w:ascii="Arial" w:eastAsia="Arial Unicode MS" w:hAnsi="Arial" w:cs="Arial"/>
          <w:b/>
          <w:color w:val="4F81BD" w:themeColor="accent1"/>
          <w:szCs w:val="26"/>
          <w:lang w:val="es-MX"/>
        </w:rPr>
        <w:t>VIST</w:t>
      </w:r>
      <w:r w:rsidR="00547C44" w:rsidRPr="00086D7F">
        <w:rPr>
          <w:rFonts w:ascii="Arial" w:eastAsia="Arial Unicode MS" w:hAnsi="Arial" w:cs="Arial"/>
          <w:b/>
          <w:color w:val="4F81BD" w:themeColor="accent1"/>
          <w:szCs w:val="26"/>
          <w:lang w:val="es-MX"/>
        </w:rPr>
        <w:t>O</w:t>
      </w:r>
      <w:r w:rsidR="00BB5A3B" w:rsidRPr="00086D7F">
        <w:rPr>
          <w:rFonts w:ascii="Arial" w:eastAsia="Arial Unicode MS" w:hAnsi="Arial" w:cs="Arial"/>
          <w:b/>
          <w:color w:val="4F81BD" w:themeColor="accent1"/>
          <w:szCs w:val="26"/>
          <w:lang w:val="es-MX"/>
        </w:rPr>
        <w:t>S</w:t>
      </w:r>
      <w:r w:rsidR="00547C44" w:rsidRPr="00086D7F">
        <w:rPr>
          <w:rFonts w:ascii="Arial" w:eastAsia="Arial Unicode MS" w:hAnsi="Arial" w:cs="Arial"/>
          <w:color w:val="4F81BD" w:themeColor="accent1"/>
          <w:szCs w:val="26"/>
          <w:lang w:val="es-MX"/>
        </w:rPr>
        <w:t xml:space="preserve"> para resolver los autos que conforman el expediente </w:t>
      </w:r>
      <w:r w:rsidR="00DB3454" w:rsidRPr="00086D7F">
        <w:rPr>
          <w:rFonts w:ascii="Arial" w:hAnsi="Arial" w:cs="Arial"/>
          <w:b/>
          <w:color w:val="4F81BD" w:themeColor="accent1"/>
          <w:lang w:val="es-MX"/>
        </w:rPr>
        <w:t>0</w:t>
      </w:r>
      <w:r w:rsidR="001342AE" w:rsidRPr="00086D7F">
        <w:rPr>
          <w:rFonts w:ascii="Arial" w:hAnsi="Arial" w:cs="Arial"/>
          <w:b/>
          <w:color w:val="4F81BD" w:themeColor="accent1"/>
          <w:lang w:val="es-MX"/>
        </w:rPr>
        <w:t>12</w:t>
      </w:r>
      <w:r w:rsidR="00547C44" w:rsidRPr="00086D7F">
        <w:rPr>
          <w:rFonts w:ascii="Arial" w:hAnsi="Arial" w:cs="Arial"/>
          <w:b/>
          <w:color w:val="4F81BD" w:themeColor="accent1"/>
          <w:lang w:val="es-MX"/>
        </w:rPr>
        <w:t>/201</w:t>
      </w:r>
      <w:r w:rsidR="00D02FBD" w:rsidRPr="00086D7F">
        <w:rPr>
          <w:rFonts w:ascii="Arial" w:hAnsi="Arial" w:cs="Arial"/>
          <w:b/>
          <w:color w:val="4F81BD" w:themeColor="accent1"/>
          <w:lang w:val="es-MX"/>
        </w:rPr>
        <w:t>8</w:t>
      </w:r>
      <w:r w:rsidR="00547C44" w:rsidRPr="00086D7F">
        <w:rPr>
          <w:rFonts w:ascii="Arial" w:hAnsi="Arial" w:cs="Arial"/>
          <w:b/>
          <w:color w:val="4F81BD" w:themeColor="accent1"/>
          <w:lang w:val="es-MX"/>
        </w:rPr>
        <w:t xml:space="preserve">-3 </w:t>
      </w:r>
      <w:r w:rsidR="00547C44" w:rsidRPr="00086D7F">
        <w:rPr>
          <w:rFonts w:ascii="Arial" w:eastAsia="Arial Unicode MS" w:hAnsi="Arial" w:cs="Arial"/>
          <w:color w:val="4F81BD" w:themeColor="accent1"/>
          <w:szCs w:val="26"/>
          <w:lang w:val="es-MX"/>
        </w:rPr>
        <w:t xml:space="preserve">del índice de esta comisión, relativo al </w:t>
      </w:r>
      <w:r w:rsidR="00547C44" w:rsidRPr="00086D7F">
        <w:rPr>
          <w:rFonts w:ascii="Arial" w:eastAsia="Arial Unicode MS" w:hAnsi="Arial" w:cs="Arial"/>
          <w:b/>
          <w:color w:val="4F81BD" w:themeColor="accent1"/>
          <w:szCs w:val="26"/>
          <w:lang w:val="es-MX"/>
        </w:rPr>
        <w:t>recurso de revisión</w:t>
      </w:r>
      <w:r w:rsidR="00547C44" w:rsidRPr="00086D7F">
        <w:rPr>
          <w:rFonts w:ascii="Arial" w:eastAsia="Arial Unicode MS" w:hAnsi="Arial" w:cs="Arial"/>
          <w:color w:val="4F81BD" w:themeColor="accent1"/>
          <w:szCs w:val="26"/>
          <w:lang w:val="es-MX"/>
        </w:rPr>
        <w:t>, interpuesto co</w:t>
      </w:r>
      <w:r w:rsidR="00F37CF8" w:rsidRPr="00086D7F">
        <w:rPr>
          <w:rFonts w:ascii="Arial" w:eastAsia="Arial Unicode MS" w:hAnsi="Arial" w:cs="Arial"/>
          <w:color w:val="4F81BD" w:themeColor="accent1"/>
          <w:szCs w:val="26"/>
          <w:lang w:val="es-MX"/>
        </w:rPr>
        <w:t>ntra el</w:t>
      </w:r>
      <w:r w:rsidR="00547C44" w:rsidRPr="00086D7F">
        <w:rPr>
          <w:rFonts w:ascii="Arial" w:eastAsia="Arial Unicode MS" w:hAnsi="Arial" w:cs="Arial"/>
          <w:color w:val="4F81BD" w:themeColor="accent1"/>
          <w:szCs w:val="26"/>
          <w:lang w:val="es-MX"/>
        </w:rPr>
        <w:t xml:space="preserve"> </w:t>
      </w:r>
      <w:r w:rsidR="001342AE" w:rsidRPr="00086D7F">
        <w:rPr>
          <w:rFonts w:ascii="Arial" w:eastAsia="Arial Unicode MS" w:hAnsi="Arial" w:cs="Arial"/>
          <w:b/>
          <w:color w:val="4F81BD" w:themeColor="accent1"/>
          <w:szCs w:val="26"/>
          <w:lang w:val="es-MX"/>
        </w:rPr>
        <w:t>AYUNTAMIENTO DE MOCTEZUMA, S.L.P.</w:t>
      </w:r>
      <w:r w:rsidR="00547C44" w:rsidRPr="00086D7F">
        <w:rPr>
          <w:rFonts w:ascii="Arial" w:eastAsia="Arial Unicode MS" w:hAnsi="Arial" w:cs="Arial"/>
          <w:b/>
          <w:color w:val="4F81BD" w:themeColor="accent1"/>
          <w:szCs w:val="26"/>
          <w:lang w:val="es-MX"/>
        </w:rPr>
        <w:t xml:space="preserve">, </w:t>
      </w:r>
      <w:r w:rsidR="00547C44" w:rsidRPr="00086D7F">
        <w:rPr>
          <w:rFonts w:ascii="Arial" w:eastAsia="Arial Unicode MS" w:hAnsi="Arial" w:cs="Arial"/>
          <w:color w:val="4F81BD" w:themeColor="accent1"/>
          <w:szCs w:val="26"/>
          <w:lang w:val="es-MX"/>
        </w:rPr>
        <w:t>y</w:t>
      </w:r>
    </w:p>
    <w:p w:rsidR="00990C27" w:rsidRPr="00086D7F" w:rsidRDefault="00547C44" w:rsidP="00990C27">
      <w:pPr>
        <w:pStyle w:val="Textoindependienteprimerasangra"/>
        <w:spacing w:before="240"/>
        <w:ind w:firstLine="900"/>
        <w:jc w:val="center"/>
        <w:rPr>
          <w:rFonts w:ascii="Arial" w:eastAsia="Arial Unicode MS" w:hAnsi="Arial" w:cs="Arial"/>
          <w:b/>
          <w:color w:val="4F81BD" w:themeColor="accent1"/>
          <w:szCs w:val="26"/>
          <w:lang w:val="es-MX"/>
        </w:rPr>
      </w:pPr>
      <w:r w:rsidRPr="00086D7F">
        <w:rPr>
          <w:rFonts w:ascii="Arial" w:eastAsia="Arial Unicode MS" w:hAnsi="Arial" w:cs="Arial"/>
          <w:b/>
          <w:color w:val="4F81BD" w:themeColor="accent1"/>
          <w:szCs w:val="26"/>
          <w:lang w:val="es-MX"/>
        </w:rPr>
        <w:t>A N T E C E D E N T E S:</w:t>
      </w:r>
    </w:p>
    <w:p w:rsidR="00547C44" w:rsidRPr="00086D7F" w:rsidRDefault="00990C27" w:rsidP="00990C27">
      <w:pPr>
        <w:pStyle w:val="Textoindependienteprimerasangra"/>
        <w:spacing w:before="240"/>
        <w:ind w:firstLine="0"/>
        <w:rPr>
          <w:rFonts w:ascii="Arial" w:eastAsia="Arial Unicode MS" w:hAnsi="Arial" w:cs="Arial"/>
          <w:b/>
          <w:color w:val="4F81BD" w:themeColor="accent1"/>
          <w:szCs w:val="26"/>
          <w:lang w:val="es-MX"/>
        </w:rPr>
      </w:pPr>
      <w:r w:rsidRPr="00086D7F">
        <w:rPr>
          <w:rFonts w:ascii="Arial" w:eastAsia="Arial Unicode MS" w:hAnsi="Arial" w:cs="Arial"/>
          <w:b/>
          <w:color w:val="4F81BD" w:themeColor="accent1"/>
          <w:szCs w:val="26"/>
          <w:lang w:val="es-MX"/>
        </w:rPr>
        <w:tab/>
      </w:r>
      <w:r w:rsidR="00547C44" w:rsidRPr="00086D7F">
        <w:rPr>
          <w:rFonts w:ascii="Arial" w:eastAsia="Arial Unicode MS" w:hAnsi="Arial" w:cs="Arial"/>
          <w:b/>
          <w:color w:val="4F81BD" w:themeColor="accent1"/>
          <w:szCs w:val="26"/>
          <w:lang w:val="es-MX"/>
        </w:rPr>
        <w:t xml:space="preserve">PRIMERO. Solicitud de Información. </w:t>
      </w:r>
      <w:r w:rsidR="00DF6FE2" w:rsidRPr="00086D7F">
        <w:rPr>
          <w:rFonts w:ascii="Arial" w:eastAsia="Arial Unicode MS" w:hAnsi="Arial" w:cs="Arial"/>
          <w:b/>
          <w:color w:val="4F81BD" w:themeColor="accent1"/>
          <w:szCs w:val="26"/>
          <w:lang w:val="es-MX"/>
        </w:rPr>
        <w:t xml:space="preserve">El </w:t>
      </w:r>
      <w:r w:rsidR="001342AE" w:rsidRPr="00086D7F">
        <w:rPr>
          <w:rFonts w:ascii="Arial" w:eastAsia="Arial Unicode MS" w:hAnsi="Arial" w:cs="Arial"/>
          <w:b/>
          <w:color w:val="4F81BD" w:themeColor="accent1"/>
          <w:szCs w:val="26"/>
          <w:lang w:val="es-MX"/>
        </w:rPr>
        <w:t>seis de diciembre</w:t>
      </w:r>
      <w:r w:rsidR="00DB3454" w:rsidRPr="00086D7F">
        <w:rPr>
          <w:rFonts w:ascii="Arial" w:eastAsia="Arial Unicode MS" w:hAnsi="Arial" w:cs="Arial"/>
          <w:b/>
          <w:color w:val="4F81BD" w:themeColor="accent1"/>
          <w:szCs w:val="26"/>
          <w:lang w:val="es-MX"/>
        </w:rPr>
        <w:t xml:space="preserve"> de dos mil dieci</w:t>
      </w:r>
      <w:r w:rsidR="001342AE" w:rsidRPr="00086D7F">
        <w:rPr>
          <w:rFonts w:ascii="Arial" w:eastAsia="Arial Unicode MS" w:hAnsi="Arial" w:cs="Arial"/>
          <w:b/>
          <w:color w:val="4F81BD" w:themeColor="accent1"/>
          <w:szCs w:val="26"/>
          <w:lang w:val="es-MX"/>
        </w:rPr>
        <w:t>siete</w:t>
      </w:r>
      <w:r w:rsidR="00547C44" w:rsidRPr="00086D7F">
        <w:rPr>
          <w:rFonts w:ascii="Arial" w:eastAsia="Arial Unicode MS" w:hAnsi="Arial" w:cs="Arial"/>
          <w:color w:val="4F81BD" w:themeColor="accent1"/>
          <w:szCs w:val="26"/>
          <w:lang w:val="es-MX"/>
        </w:rPr>
        <w:t xml:space="preserve">, </w:t>
      </w:r>
      <w:r w:rsidR="0065301A" w:rsidRPr="00086D7F">
        <w:rPr>
          <w:rFonts w:ascii="Arial" w:hAnsi="Arial" w:cs="Arial"/>
          <w:color w:val="4F81BD" w:themeColor="accent1"/>
          <w:lang w:val="es-MX"/>
        </w:rPr>
        <w:t>se</w:t>
      </w:r>
      <w:r w:rsidR="00746974" w:rsidRPr="00086D7F">
        <w:rPr>
          <w:rFonts w:ascii="Arial" w:eastAsia="Arial Unicode MS" w:hAnsi="Arial" w:cs="Arial"/>
          <w:color w:val="4F81BD" w:themeColor="accent1"/>
          <w:szCs w:val="26"/>
          <w:lang w:val="es-MX"/>
        </w:rPr>
        <w:t xml:space="preserve"> </w:t>
      </w:r>
      <w:r w:rsidR="0065301A" w:rsidRPr="00086D7F">
        <w:rPr>
          <w:rFonts w:ascii="Arial" w:eastAsia="Arial Unicode MS" w:hAnsi="Arial" w:cs="Arial"/>
          <w:color w:val="4F81BD" w:themeColor="accent1"/>
          <w:szCs w:val="26"/>
          <w:lang w:val="es-MX"/>
        </w:rPr>
        <w:t>presentó</w:t>
      </w:r>
      <w:r w:rsidR="00570B93" w:rsidRPr="00086D7F">
        <w:rPr>
          <w:rFonts w:ascii="Arial" w:eastAsia="Arial Unicode MS" w:hAnsi="Arial" w:cs="Arial"/>
          <w:color w:val="4F81BD" w:themeColor="accent1"/>
          <w:szCs w:val="26"/>
          <w:lang w:val="es-MX"/>
        </w:rPr>
        <w:t xml:space="preserve"> </w:t>
      </w:r>
      <w:r w:rsidR="00C63190" w:rsidRPr="00086D7F">
        <w:rPr>
          <w:rFonts w:ascii="Arial" w:eastAsia="Arial Unicode MS" w:hAnsi="Arial" w:cs="Arial"/>
          <w:color w:val="4F81BD" w:themeColor="accent1"/>
          <w:szCs w:val="26"/>
          <w:lang w:val="es-MX"/>
        </w:rPr>
        <w:t>solicitud de información a</w:t>
      </w:r>
      <w:r w:rsidR="00DC51FF" w:rsidRPr="00086D7F">
        <w:rPr>
          <w:rFonts w:ascii="Arial" w:eastAsia="Arial Unicode MS" w:hAnsi="Arial" w:cs="Arial"/>
          <w:color w:val="4F81BD" w:themeColor="accent1"/>
          <w:szCs w:val="26"/>
          <w:lang w:val="es-MX"/>
        </w:rPr>
        <w:t>l</w:t>
      </w:r>
      <w:r w:rsidR="00547C44" w:rsidRPr="00086D7F">
        <w:rPr>
          <w:rFonts w:ascii="Arial" w:eastAsia="Arial Unicode MS" w:hAnsi="Arial" w:cs="Arial"/>
          <w:color w:val="4F81BD" w:themeColor="accent1"/>
          <w:szCs w:val="26"/>
          <w:lang w:val="es-MX"/>
        </w:rPr>
        <w:t xml:space="preserve"> </w:t>
      </w:r>
      <w:r w:rsidR="001342AE" w:rsidRPr="00086D7F">
        <w:rPr>
          <w:rFonts w:ascii="Arial" w:eastAsia="Arial Unicode MS" w:hAnsi="Arial" w:cs="Arial"/>
          <w:b/>
          <w:color w:val="4F81BD" w:themeColor="accent1"/>
          <w:szCs w:val="26"/>
          <w:lang w:val="es-MX"/>
        </w:rPr>
        <w:t>AYUNTAMIENTO DE MOCTEZUMA, S.L.P.</w:t>
      </w:r>
      <w:r w:rsidR="00746974" w:rsidRPr="00086D7F">
        <w:rPr>
          <w:rFonts w:ascii="Arial" w:eastAsia="Arial Unicode MS" w:hAnsi="Arial" w:cs="Arial"/>
          <w:b/>
          <w:color w:val="4F81BD" w:themeColor="accent1"/>
          <w:szCs w:val="26"/>
          <w:lang w:val="es-MX"/>
        </w:rPr>
        <w:t>,</w:t>
      </w:r>
      <w:r w:rsidR="00547C44" w:rsidRPr="00086D7F">
        <w:rPr>
          <w:rFonts w:ascii="Arial" w:eastAsia="Arial Unicode MS" w:hAnsi="Arial" w:cs="Arial"/>
          <w:b/>
          <w:color w:val="4F81BD" w:themeColor="accent1"/>
          <w:szCs w:val="26"/>
          <w:lang w:val="es-MX"/>
        </w:rPr>
        <w:t xml:space="preserve"> </w:t>
      </w:r>
      <w:r w:rsidR="00570B93" w:rsidRPr="00086D7F">
        <w:rPr>
          <w:rFonts w:ascii="Arial" w:eastAsia="Arial Unicode MS" w:hAnsi="Arial" w:cs="Arial"/>
          <w:color w:val="4F81BD" w:themeColor="accent1"/>
          <w:szCs w:val="26"/>
          <w:lang w:val="es-MX"/>
        </w:rPr>
        <w:t>y</w:t>
      </w:r>
      <w:r w:rsidR="00547C44" w:rsidRPr="00086D7F">
        <w:rPr>
          <w:rFonts w:ascii="Arial" w:eastAsia="Arial Unicode MS" w:hAnsi="Arial" w:cs="Arial"/>
          <w:color w:val="4F81BD" w:themeColor="accent1"/>
          <w:szCs w:val="26"/>
          <w:lang w:val="es-MX"/>
        </w:rPr>
        <w:t xml:space="preserve"> la petición del solicitante </w:t>
      </w:r>
      <w:r w:rsidR="001342AE" w:rsidRPr="00086D7F">
        <w:rPr>
          <w:rFonts w:ascii="Arial" w:eastAsia="Arial Unicode MS" w:hAnsi="Arial" w:cs="Arial"/>
          <w:color w:val="4F81BD" w:themeColor="accent1"/>
          <w:szCs w:val="26"/>
          <w:lang w:val="es-MX"/>
        </w:rPr>
        <w:t xml:space="preserve">consistió </w:t>
      </w:r>
      <w:r w:rsidR="00547C44" w:rsidRPr="00086D7F">
        <w:rPr>
          <w:rFonts w:ascii="Arial" w:eastAsia="Arial Unicode MS" w:hAnsi="Arial" w:cs="Arial"/>
          <w:color w:val="4F81BD" w:themeColor="accent1"/>
          <w:szCs w:val="26"/>
          <w:lang w:val="es-MX"/>
        </w:rPr>
        <w:t>en lo siguiente:</w:t>
      </w:r>
      <w:r w:rsidR="00547C44" w:rsidRPr="00086D7F">
        <w:rPr>
          <w:rFonts w:ascii="Arial" w:eastAsia="Arial Unicode MS" w:hAnsi="Arial" w:cs="Arial"/>
          <w:b/>
          <w:color w:val="4F81BD" w:themeColor="accent1"/>
          <w:szCs w:val="26"/>
          <w:lang w:val="es-MX"/>
        </w:rPr>
        <w:t xml:space="preserve"> </w:t>
      </w:r>
    </w:p>
    <w:p w:rsidR="00A428F7" w:rsidRPr="00086D7F" w:rsidRDefault="00A428F7" w:rsidP="00A428F7">
      <w:pPr>
        <w:pStyle w:val="Textoindependienteprimerasangra"/>
        <w:numPr>
          <w:ilvl w:val="0"/>
          <w:numId w:val="26"/>
        </w:numPr>
        <w:spacing w:after="0" w:line="240" w:lineRule="auto"/>
        <w:rPr>
          <w:rFonts w:ascii="Arial" w:eastAsia="Arial Unicode MS" w:hAnsi="Arial" w:cs="Arial"/>
          <w:i/>
          <w:color w:val="4F81BD" w:themeColor="accent1"/>
          <w:szCs w:val="26"/>
          <w:lang w:val="es-MX"/>
        </w:rPr>
      </w:pPr>
      <w:r w:rsidRPr="00086D7F">
        <w:rPr>
          <w:rFonts w:ascii="Arial" w:eastAsia="Arial Unicode MS" w:hAnsi="Arial" w:cs="Arial"/>
          <w:i/>
          <w:color w:val="4F81BD" w:themeColor="accent1"/>
          <w:szCs w:val="26"/>
          <w:lang w:val="es-MX"/>
        </w:rPr>
        <w:t>“Las Actas de Cabildo Ordinarias y Extraordinarias correspondientes a los meses de Marzo de 2017 al mes de Diciembre de 2017, ya que no todas se encuentran en su portal de información.</w:t>
      </w:r>
    </w:p>
    <w:p w:rsidR="00A428F7" w:rsidRPr="00086D7F" w:rsidRDefault="00A428F7" w:rsidP="00A428F7">
      <w:pPr>
        <w:pStyle w:val="Textoindependienteprimerasangra"/>
        <w:numPr>
          <w:ilvl w:val="0"/>
          <w:numId w:val="26"/>
        </w:numPr>
        <w:spacing w:after="0" w:line="240" w:lineRule="auto"/>
        <w:rPr>
          <w:rFonts w:ascii="Arial" w:eastAsia="Arial Unicode MS" w:hAnsi="Arial" w:cs="Arial"/>
          <w:i/>
          <w:color w:val="4F81BD" w:themeColor="accent1"/>
          <w:szCs w:val="26"/>
          <w:lang w:val="es-MX"/>
        </w:rPr>
      </w:pPr>
      <w:r w:rsidRPr="00086D7F">
        <w:rPr>
          <w:rFonts w:ascii="Arial" w:hAnsi="Arial" w:cs="Arial"/>
          <w:i/>
          <w:color w:val="4F81BD" w:themeColor="accent1"/>
          <w:szCs w:val="26"/>
        </w:rPr>
        <w:t>Directorio de Servidores Públicos con Referencia a sus Ingresos actualizado al mes de Noviembre de 2017, así como copia de las nominas para su cotejo.</w:t>
      </w:r>
    </w:p>
    <w:p w:rsidR="00A428F7" w:rsidRPr="00086D7F" w:rsidRDefault="00A428F7" w:rsidP="00A428F7">
      <w:pPr>
        <w:pStyle w:val="Textoindependienteprimerasangra"/>
        <w:numPr>
          <w:ilvl w:val="0"/>
          <w:numId w:val="26"/>
        </w:numPr>
        <w:spacing w:after="0" w:line="240" w:lineRule="auto"/>
        <w:rPr>
          <w:rFonts w:ascii="Arial" w:eastAsia="Arial Unicode MS" w:hAnsi="Arial" w:cs="Arial"/>
          <w:i/>
          <w:color w:val="4F81BD" w:themeColor="accent1"/>
          <w:szCs w:val="26"/>
          <w:lang w:val="es-MX"/>
        </w:rPr>
      </w:pPr>
      <w:r w:rsidRPr="00086D7F">
        <w:rPr>
          <w:rFonts w:ascii="Arial" w:hAnsi="Arial" w:cs="Arial"/>
          <w:i/>
          <w:color w:val="4F81BD" w:themeColor="accent1"/>
          <w:szCs w:val="26"/>
        </w:rPr>
        <w:t>Listas de Beneficiarios de Programas Sociales así como de los apoyos directos otorgados por el municipio.</w:t>
      </w:r>
    </w:p>
    <w:p w:rsidR="00935B9B" w:rsidRPr="00086D7F" w:rsidRDefault="00A428F7" w:rsidP="00A428F7">
      <w:pPr>
        <w:pStyle w:val="Textoindependienteprimerasangra"/>
        <w:numPr>
          <w:ilvl w:val="0"/>
          <w:numId w:val="26"/>
        </w:numPr>
        <w:spacing w:after="0" w:line="240" w:lineRule="auto"/>
        <w:rPr>
          <w:rFonts w:ascii="Arial" w:eastAsia="Arial Unicode MS" w:hAnsi="Arial" w:cs="Arial"/>
          <w:i/>
          <w:color w:val="4F81BD" w:themeColor="accent1"/>
          <w:sz w:val="22"/>
          <w:szCs w:val="22"/>
          <w:lang w:val="es-MX"/>
        </w:rPr>
      </w:pPr>
      <w:r w:rsidRPr="00086D7F">
        <w:rPr>
          <w:rFonts w:ascii="Arial" w:hAnsi="Arial" w:cs="Arial"/>
          <w:i/>
          <w:color w:val="4F81BD" w:themeColor="accent1"/>
          <w:szCs w:val="26"/>
        </w:rPr>
        <w:t>Información de Ingresos y Egresos Correspondientes de Enero a Diciembre de 2017.”</w:t>
      </w:r>
      <w:r w:rsidR="003C3862" w:rsidRPr="00086D7F">
        <w:rPr>
          <w:rFonts w:ascii="Arial" w:hAnsi="Arial" w:cs="Arial"/>
          <w:i/>
          <w:color w:val="4F81BD" w:themeColor="accent1"/>
          <w:szCs w:val="26"/>
        </w:rPr>
        <w:tab/>
      </w:r>
      <w:r w:rsidR="003C3862" w:rsidRPr="00086D7F">
        <w:rPr>
          <w:rFonts w:ascii="Arial" w:hAnsi="Arial" w:cs="Arial"/>
          <w:color w:val="4F81BD" w:themeColor="accent1"/>
          <w:sz w:val="22"/>
          <w:szCs w:val="22"/>
        </w:rPr>
        <w:tab/>
      </w:r>
    </w:p>
    <w:p w:rsidR="00935B9B" w:rsidRPr="00086D7F" w:rsidRDefault="00935B9B" w:rsidP="00935B9B">
      <w:pPr>
        <w:spacing w:line="240" w:lineRule="auto"/>
        <w:ind w:left="709" w:hanging="1"/>
        <w:rPr>
          <w:rFonts w:ascii="Arial" w:hAnsi="Arial" w:cs="Arial"/>
          <w:i/>
          <w:color w:val="4F81BD" w:themeColor="accent1"/>
          <w:sz w:val="22"/>
          <w:szCs w:val="22"/>
        </w:rPr>
      </w:pPr>
    </w:p>
    <w:p w:rsidR="00C9337E" w:rsidRPr="00086D7F" w:rsidRDefault="00570B93" w:rsidP="00D02FBD">
      <w:pPr>
        <w:pStyle w:val="Textoindependienteprimerasangra"/>
        <w:spacing w:after="0"/>
        <w:ind w:firstLine="708"/>
        <w:rPr>
          <w:rFonts w:ascii="Arial" w:eastAsia="Arial Unicode MS" w:hAnsi="Arial" w:cs="Arial"/>
          <w:color w:val="4F81BD" w:themeColor="accent1"/>
          <w:szCs w:val="26"/>
          <w:lang w:val="es-MX"/>
        </w:rPr>
      </w:pPr>
      <w:r w:rsidRPr="00086D7F">
        <w:rPr>
          <w:rFonts w:ascii="Arial" w:hAnsi="Arial" w:cs="Arial"/>
          <w:b/>
          <w:color w:val="4F81BD" w:themeColor="accent1"/>
          <w:szCs w:val="26"/>
        </w:rPr>
        <w:t>SEGUNDO</w:t>
      </w:r>
      <w:r w:rsidR="00547C44" w:rsidRPr="00086D7F">
        <w:rPr>
          <w:rFonts w:ascii="Arial" w:hAnsi="Arial" w:cs="Arial"/>
          <w:b/>
          <w:color w:val="4F81BD" w:themeColor="accent1"/>
          <w:szCs w:val="26"/>
        </w:rPr>
        <w:t xml:space="preserve">. Interposición del recurso de revisión. </w:t>
      </w:r>
      <w:r w:rsidR="00547C44" w:rsidRPr="00086D7F">
        <w:rPr>
          <w:rFonts w:ascii="Arial" w:hAnsi="Arial" w:cs="Arial"/>
          <w:color w:val="4F81BD" w:themeColor="accent1"/>
          <w:szCs w:val="26"/>
        </w:rPr>
        <w:t xml:space="preserve">El </w:t>
      </w:r>
      <w:r w:rsidR="005966C8" w:rsidRPr="00086D7F">
        <w:rPr>
          <w:rFonts w:ascii="Arial" w:hAnsi="Arial" w:cs="Arial"/>
          <w:b/>
          <w:color w:val="4F81BD" w:themeColor="accent1"/>
          <w:szCs w:val="26"/>
        </w:rPr>
        <w:t xml:space="preserve">ocho de enero </w:t>
      </w:r>
      <w:r w:rsidRPr="00086D7F">
        <w:rPr>
          <w:rFonts w:ascii="Arial" w:hAnsi="Arial" w:cs="Arial"/>
          <w:b/>
          <w:color w:val="4F81BD" w:themeColor="accent1"/>
          <w:szCs w:val="26"/>
        </w:rPr>
        <w:t>de dos mil dieciocho</w:t>
      </w:r>
      <w:r w:rsidR="00547C44" w:rsidRPr="00086D7F">
        <w:rPr>
          <w:rFonts w:ascii="Arial" w:hAnsi="Arial" w:cs="Arial"/>
          <w:color w:val="4F81BD" w:themeColor="accent1"/>
          <w:szCs w:val="26"/>
        </w:rPr>
        <w:t>,</w:t>
      </w:r>
      <w:r w:rsidRPr="00086D7F">
        <w:rPr>
          <w:rFonts w:ascii="Arial" w:hAnsi="Arial" w:cs="Arial"/>
          <w:color w:val="4F81BD" w:themeColor="accent1"/>
          <w:szCs w:val="26"/>
        </w:rPr>
        <w:t xml:space="preserve"> el</w:t>
      </w:r>
      <w:r w:rsidR="00FF4E67" w:rsidRPr="00086D7F">
        <w:rPr>
          <w:rFonts w:ascii="Arial" w:hAnsi="Arial" w:cs="Arial"/>
          <w:color w:val="4F81BD" w:themeColor="accent1"/>
          <w:szCs w:val="26"/>
        </w:rPr>
        <w:t xml:space="preserve"> recurrente interpuso el presente medio de impugnación,</w:t>
      </w:r>
      <w:r w:rsidR="00D02FBD" w:rsidRPr="00086D7F">
        <w:rPr>
          <w:rFonts w:ascii="Arial" w:hAnsi="Arial" w:cs="Arial"/>
          <w:color w:val="4F81BD" w:themeColor="accent1"/>
          <w:szCs w:val="26"/>
        </w:rPr>
        <w:t xml:space="preserve"> </w:t>
      </w:r>
      <w:r w:rsidR="00662D15" w:rsidRPr="00086D7F">
        <w:rPr>
          <w:rFonts w:ascii="Arial" w:hAnsi="Arial" w:cs="Arial"/>
          <w:color w:val="4F81BD" w:themeColor="accent1"/>
          <w:szCs w:val="26"/>
        </w:rPr>
        <w:t xml:space="preserve">por </w:t>
      </w:r>
      <w:r w:rsidR="00FF4E67" w:rsidRPr="00086D7F">
        <w:rPr>
          <w:rFonts w:ascii="Arial" w:hAnsi="Arial" w:cs="Arial"/>
          <w:color w:val="4F81BD" w:themeColor="accent1"/>
          <w:szCs w:val="26"/>
        </w:rPr>
        <w:t xml:space="preserve">el cual </w:t>
      </w:r>
      <w:r w:rsidR="00662D15" w:rsidRPr="00086D7F">
        <w:rPr>
          <w:rFonts w:ascii="Arial" w:hAnsi="Arial" w:cs="Arial"/>
          <w:color w:val="4F81BD" w:themeColor="accent1"/>
          <w:szCs w:val="26"/>
        </w:rPr>
        <w:t>impugnó</w:t>
      </w:r>
      <w:r w:rsidR="00FF4E67" w:rsidRPr="00086D7F">
        <w:rPr>
          <w:rFonts w:ascii="Arial" w:hAnsi="Arial" w:cs="Arial"/>
          <w:color w:val="4F81BD" w:themeColor="accent1"/>
          <w:szCs w:val="26"/>
        </w:rPr>
        <w:t xml:space="preserve"> </w:t>
      </w:r>
      <w:r w:rsidR="005966C8" w:rsidRPr="00086D7F">
        <w:rPr>
          <w:rFonts w:ascii="Arial" w:hAnsi="Arial" w:cs="Arial"/>
          <w:color w:val="4F81BD" w:themeColor="accent1"/>
          <w:szCs w:val="26"/>
        </w:rPr>
        <w:t>la falta de respuesta</w:t>
      </w:r>
      <w:r w:rsidR="003C7758" w:rsidRPr="00086D7F">
        <w:rPr>
          <w:rFonts w:ascii="Arial" w:hAnsi="Arial" w:cs="Arial"/>
          <w:color w:val="4F81BD" w:themeColor="accent1"/>
          <w:szCs w:val="26"/>
        </w:rPr>
        <w:t xml:space="preserve"> dentro del plazo que reconoce el artículo 164 de la Ley de Transparencia y Acceso a la Información Pública del Estado.</w:t>
      </w:r>
    </w:p>
    <w:p w:rsidR="00547C44" w:rsidRPr="00086D7F" w:rsidRDefault="00547C44" w:rsidP="00662D15">
      <w:pPr>
        <w:spacing w:before="240"/>
        <w:rPr>
          <w:rFonts w:ascii="Arial" w:hAnsi="Arial" w:cs="Arial"/>
          <w:color w:val="4F81BD" w:themeColor="accent1"/>
        </w:rPr>
      </w:pPr>
      <w:r w:rsidRPr="00086D7F">
        <w:rPr>
          <w:rFonts w:ascii="Arial" w:hAnsi="Arial" w:cs="Arial"/>
          <w:color w:val="4F81BD" w:themeColor="accent1"/>
        </w:rPr>
        <w:lastRenderedPageBreak/>
        <w:tab/>
      </w:r>
      <w:r w:rsidR="00570B93" w:rsidRPr="00086D7F">
        <w:rPr>
          <w:rFonts w:ascii="Arial" w:hAnsi="Arial" w:cs="Arial"/>
          <w:b/>
          <w:color w:val="4F81BD" w:themeColor="accent1"/>
        </w:rPr>
        <w:t>TERCERO</w:t>
      </w:r>
      <w:r w:rsidRPr="00086D7F">
        <w:rPr>
          <w:rFonts w:ascii="Arial" w:hAnsi="Arial" w:cs="Arial"/>
          <w:b/>
          <w:color w:val="4F81BD" w:themeColor="accent1"/>
        </w:rPr>
        <w:t>. Turno.</w:t>
      </w:r>
      <w:r w:rsidRPr="00086D7F">
        <w:rPr>
          <w:rFonts w:ascii="Arial" w:hAnsi="Arial" w:cs="Arial"/>
          <w:color w:val="4F81BD" w:themeColor="accent1"/>
        </w:rPr>
        <w:t xml:space="preserve"> De conformidad con el artículo 174, fracción I</w:t>
      </w:r>
      <w:r w:rsidR="005F332C" w:rsidRPr="00086D7F">
        <w:rPr>
          <w:rFonts w:ascii="Arial" w:hAnsi="Arial" w:cs="Arial"/>
          <w:color w:val="4F81BD" w:themeColor="accent1"/>
        </w:rPr>
        <w:t>,</w:t>
      </w:r>
      <w:r w:rsidRPr="00086D7F">
        <w:rPr>
          <w:rFonts w:ascii="Arial" w:hAnsi="Arial" w:cs="Arial"/>
          <w:color w:val="4F81BD" w:themeColor="accent1"/>
        </w:rPr>
        <w:t xml:space="preserve"> de la Ley de Transparencia y Acceso a la Información Pública del Estado, el recurso de revisión </w:t>
      </w:r>
      <w:r w:rsidRPr="00086D7F">
        <w:rPr>
          <w:rFonts w:ascii="Arial" w:hAnsi="Arial" w:cs="Arial"/>
          <w:b/>
          <w:color w:val="4F81BD" w:themeColor="accent1"/>
        </w:rPr>
        <w:t>R</w:t>
      </w:r>
      <w:r w:rsidR="00570B93" w:rsidRPr="00086D7F">
        <w:rPr>
          <w:rFonts w:ascii="Arial" w:hAnsi="Arial" w:cs="Arial"/>
          <w:b/>
          <w:color w:val="4F81BD" w:themeColor="accent1"/>
        </w:rPr>
        <w:t>R-</w:t>
      </w:r>
      <w:r w:rsidR="00935706" w:rsidRPr="00086D7F">
        <w:rPr>
          <w:rFonts w:ascii="Arial" w:hAnsi="Arial" w:cs="Arial"/>
          <w:b/>
          <w:color w:val="4F81BD" w:themeColor="accent1"/>
        </w:rPr>
        <w:t>12</w:t>
      </w:r>
      <w:r w:rsidR="00D02FBD" w:rsidRPr="00086D7F">
        <w:rPr>
          <w:rFonts w:ascii="Arial" w:hAnsi="Arial" w:cs="Arial"/>
          <w:b/>
          <w:color w:val="4F81BD" w:themeColor="accent1"/>
        </w:rPr>
        <w:t>/2018</w:t>
      </w:r>
      <w:r w:rsidRPr="00086D7F">
        <w:rPr>
          <w:rFonts w:ascii="Arial" w:hAnsi="Arial" w:cs="Arial"/>
          <w:b/>
          <w:color w:val="4F81BD" w:themeColor="accent1"/>
        </w:rPr>
        <w:t>-3</w:t>
      </w:r>
      <w:r w:rsidRPr="00086D7F">
        <w:rPr>
          <w:rFonts w:ascii="Arial" w:hAnsi="Arial" w:cs="Arial"/>
          <w:color w:val="4F81BD" w:themeColor="accent1"/>
        </w:rPr>
        <w:t xml:space="preserve"> fue t</w:t>
      </w:r>
      <w:r w:rsidR="00013C06" w:rsidRPr="00086D7F">
        <w:rPr>
          <w:rFonts w:ascii="Arial" w:hAnsi="Arial" w:cs="Arial"/>
          <w:color w:val="4F81BD" w:themeColor="accent1"/>
        </w:rPr>
        <w:t>urnado a la Comisionada Ponente</w:t>
      </w:r>
      <w:r w:rsidRPr="00086D7F">
        <w:rPr>
          <w:rFonts w:ascii="Arial" w:hAnsi="Arial" w:cs="Arial"/>
          <w:color w:val="4F81BD" w:themeColor="accent1"/>
        </w:rPr>
        <w:t xml:space="preserve"> para que sustanciara el periodo de instrucción, y en su momento presentara al Pleno el proyecto de resolución correspondiente.</w:t>
      </w:r>
    </w:p>
    <w:p w:rsidR="00547C44" w:rsidRPr="00086D7F" w:rsidRDefault="00547C44" w:rsidP="00033326">
      <w:pPr>
        <w:spacing w:before="240" w:after="240"/>
        <w:rPr>
          <w:rFonts w:ascii="Arial" w:hAnsi="Arial" w:cs="Arial"/>
          <w:color w:val="4F81BD" w:themeColor="accent1"/>
        </w:rPr>
      </w:pPr>
      <w:r w:rsidRPr="00086D7F">
        <w:rPr>
          <w:rFonts w:ascii="Arial" w:hAnsi="Arial" w:cs="Arial"/>
          <w:b/>
          <w:color w:val="4F81BD" w:themeColor="accent1"/>
        </w:rPr>
        <w:tab/>
      </w:r>
      <w:r w:rsidR="00570B93" w:rsidRPr="00086D7F">
        <w:rPr>
          <w:rFonts w:ascii="Arial" w:hAnsi="Arial" w:cs="Arial"/>
          <w:b/>
          <w:color w:val="4F81BD" w:themeColor="accent1"/>
        </w:rPr>
        <w:t>CUARTO</w:t>
      </w:r>
      <w:r w:rsidRPr="00086D7F">
        <w:rPr>
          <w:rFonts w:ascii="Arial" w:hAnsi="Arial" w:cs="Arial"/>
          <w:b/>
          <w:color w:val="4F81BD" w:themeColor="accent1"/>
        </w:rPr>
        <w:t xml:space="preserve">. Admisión. </w:t>
      </w:r>
      <w:r w:rsidRPr="00086D7F">
        <w:rPr>
          <w:rFonts w:ascii="Arial" w:hAnsi="Arial" w:cs="Arial"/>
          <w:color w:val="4F81BD" w:themeColor="accent1"/>
        </w:rPr>
        <w:t xml:space="preserve">El </w:t>
      </w:r>
      <w:r w:rsidR="007E5ADC" w:rsidRPr="00086D7F">
        <w:rPr>
          <w:rFonts w:ascii="Arial" w:hAnsi="Arial" w:cs="Arial"/>
          <w:b/>
          <w:color w:val="4F81BD" w:themeColor="accent1"/>
        </w:rPr>
        <w:t>diecisiete</w:t>
      </w:r>
      <w:r w:rsidR="00AD3516" w:rsidRPr="00086D7F">
        <w:rPr>
          <w:rFonts w:ascii="Arial" w:hAnsi="Arial" w:cs="Arial"/>
          <w:b/>
          <w:color w:val="4F81BD" w:themeColor="accent1"/>
        </w:rPr>
        <w:t xml:space="preserve"> de </w:t>
      </w:r>
      <w:r w:rsidR="007E5ADC" w:rsidRPr="00086D7F">
        <w:rPr>
          <w:rFonts w:ascii="Arial" w:hAnsi="Arial" w:cs="Arial"/>
          <w:b/>
          <w:color w:val="4F81BD" w:themeColor="accent1"/>
        </w:rPr>
        <w:t>enero</w:t>
      </w:r>
      <w:r w:rsidR="00033326" w:rsidRPr="00086D7F">
        <w:rPr>
          <w:rFonts w:ascii="Arial" w:hAnsi="Arial" w:cs="Arial"/>
          <w:b/>
          <w:color w:val="4F81BD" w:themeColor="accent1"/>
        </w:rPr>
        <w:t xml:space="preserve"> de dos mil </w:t>
      </w:r>
      <w:r w:rsidR="00D02FBD" w:rsidRPr="00086D7F">
        <w:rPr>
          <w:rFonts w:ascii="Arial" w:hAnsi="Arial" w:cs="Arial"/>
          <w:b/>
          <w:color w:val="4F81BD" w:themeColor="accent1"/>
        </w:rPr>
        <w:t>dieciocho</w:t>
      </w:r>
      <w:r w:rsidRPr="00086D7F">
        <w:rPr>
          <w:rFonts w:ascii="Arial" w:hAnsi="Arial" w:cs="Arial"/>
          <w:color w:val="4F81BD" w:themeColor="accent1"/>
        </w:rPr>
        <w:t>, esta Comisión, con base en el artículo 174, fracción II</w:t>
      </w:r>
      <w:r w:rsidR="00424DB5" w:rsidRPr="00086D7F">
        <w:rPr>
          <w:rFonts w:ascii="Arial" w:hAnsi="Arial" w:cs="Arial"/>
          <w:color w:val="4F81BD" w:themeColor="accent1"/>
        </w:rPr>
        <w:t>,</w:t>
      </w:r>
      <w:r w:rsidRPr="00086D7F">
        <w:rPr>
          <w:rFonts w:ascii="Arial" w:hAnsi="Arial" w:cs="Arial"/>
          <w:color w:val="4F81BD" w:themeColor="accent1"/>
        </w:rPr>
        <w:t xml:space="preserve"> de la Ley de Transparencia del Estado, admitió el presente medio de impugnación, a fin de integrar el expediente respectivo y ponerlo a disposición de las partes para que en el plazo que reconoce la ley manifestaran y ofrecieran las pruebas que a su derecho correspondía. </w:t>
      </w:r>
    </w:p>
    <w:p w:rsidR="000A33AA" w:rsidRPr="00086D7F" w:rsidRDefault="00547C44" w:rsidP="00AE265B">
      <w:pPr>
        <w:rPr>
          <w:rFonts w:ascii="Arial" w:hAnsi="Arial" w:cs="Arial"/>
          <w:color w:val="4F81BD" w:themeColor="accent1"/>
        </w:rPr>
      </w:pPr>
      <w:r w:rsidRPr="00086D7F">
        <w:rPr>
          <w:rFonts w:ascii="Arial" w:hAnsi="Arial" w:cs="Arial"/>
          <w:b/>
          <w:color w:val="4F81BD" w:themeColor="accent1"/>
        </w:rPr>
        <w:tab/>
      </w:r>
      <w:r w:rsidR="00570B93" w:rsidRPr="00086D7F">
        <w:rPr>
          <w:rFonts w:ascii="Arial" w:hAnsi="Arial" w:cs="Arial"/>
          <w:b/>
          <w:color w:val="4F81BD" w:themeColor="accent1"/>
        </w:rPr>
        <w:t>QUINTO</w:t>
      </w:r>
      <w:r w:rsidRPr="00086D7F">
        <w:rPr>
          <w:rFonts w:ascii="Arial" w:hAnsi="Arial" w:cs="Arial"/>
          <w:b/>
          <w:color w:val="4F81BD" w:themeColor="accent1"/>
        </w:rPr>
        <w:t xml:space="preserve">. </w:t>
      </w:r>
      <w:r w:rsidR="00457939" w:rsidRPr="00086D7F">
        <w:rPr>
          <w:rFonts w:ascii="Arial" w:hAnsi="Arial" w:cs="Arial"/>
          <w:b/>
          <w:color w:val="4F81BD" w:themeColor="accent1"/>
        </w:rPr>
        <w:t>Manifestaciones de las partes</w:t>
      </w:r>
      <w:r w:rsidRPr="00086D7F">
        <w:rPr>
          <w:rFonts w:ascii="Arial" w:hAnsi="Arial" w:cs="Arial"/>
          <w:b/>
          <w:color w:val="4F81BD" w:themeColor="accent1"/>
        </w:rPr>
        <w:t xml:space="preserve">. </w:t>
      </w:r>
      <w:r w:rsidRPr="00086D7F">
        <w:rPr>
          <w:rFonts w:ascii="Arial" w:hAnsi="Arial" w:cs="Arial"/>
          <w:color w:val="4F81BD" w:themeColor="accent1"/>
        </w:rPr>
        <w:t xml:space="preserve">El </w:t>
      </w:r>
      <w:r w:rsidR="00AD3516" w:rsidRPr="00086D7F">
        <w:rPr>
          <w:rFonts w:ascii="Arial" w:hAnsi="Arial" w:cs="Arial"/>
          <w:b/>
          <w:color w:val="4F81BD" w:themeColor="accent1"/>
        </w:rPr>
        <w:t>veint</w:t>
      </w:r>
      <w:r w:rsidR="007E5ADC" w:rsidRPr="00086D7F">
        <w:rPr>
          <w:rFonts w:ascii="Arial" w:hAnsi="Arial" w:cs="Arial"/>
          <w:b/>
          <w:color w:val="4F81BD" w:themeColor="accent1"/>
        </w:rPr>
        <w:t>itrés</w:t>
      </w:r>
      <w:r w:rsidR="00D02FBD" w:rsidRPr="00086D7F">
        <w:rPr>
          <w:rFonts w:ascii="Arial" w:hAnsi="Arial" w:cs="Arial"/>
          <w:b/>
          <w:color w:val="4F81BD" w:themeColor="accent1"/>
        </w:rPr>
        <w:t xml:space="preserve"> de febrero</w:t>
      </w:r>
      <w:r w:rsidR="00935B9B" w:rsidRPr="00086D7F">
        <w:rPr>
          <w:rFonts w:ascii="Arial" w:hAnsi="Arial" w:cs="Arial"/>
          <w:b/>
          <w:color w:val="4F81BD" w:themeColor="accent1"/>
        </w:rPr>
        <w:t xml:space="preserve"> de dos mil dieciocho</w:t>
      </w:r>
      <w:r w:rsidRPr="00086D7F">
        <w:rPr>
          <w:rFonts w:ascii="Arial" w:hAnsi="Arial" w:cs="Arial"/>
          <w:color w:val="4F81BD" w:themeColor="accent1"/>
        </w:rPr>
        <w:t>, se emitió un acuerdo po</w:t>
      </w:r>
      <w:r w:rsidR="00C9337E" w:rsidRPr="00086D7F">
        <w:rPr>
          <w:rFonts w:ascii="Arial" w:hAnsi="Arial" w:cs="Arial"/>
          <w:color w:val="4F81BD" w:themeColor="accent1"/>
        </w:rPr>
        <w:t>r el cual se tuvo por recibido</w:t>
      </w:r>
      <w:r w:rsidR="00E76911" w:rsidRPr="00086D7F">
        <w:rPr>
          <w:rFonts w:ascii="Arial" w:hAnsi="Arial" w:cs="Arial"/>
          <w:color w:val="4F81BD" w:themeColor="accent1"/>
        </w:rPr>
        <w:t xml:space="preserve"> el </w:t>
      </w:r>
      <w:r w:rsidR="007E5ADC" w:rsidRPr="00086D7F">
        <w:rPr>
          <w:rFonts w:ascii="Arial" w:hAnsi="Arial" w:cs="Arial"/>
          <w:color w:val="4F81BD" w:themeColor="accent1"/>
        </w:rPr>
        <w:t>oficio</w:t>
      </w:r>
      <w:r w:rsidR="00E76911" w:rsidRPr="00086D7F">
        <w:rPr>
          <w:rFonts w:ascii="Arial" w:hAnsi="Arial" w:cs="Arial"/>
          <w:color w:val="4F81BD" w:themeColor="accent1"/>
        </w:rPr>
        <w:t xml:space="preserve"> signado por </w:t>
      </w:r>
      <w:r w:rsidR="007E5ADC" w:rsidRPr="00086D7F">
        <w:rPr>
          <w:rFonts w:ascii="Arial" w:hAnsi="Arial" w:cs="Arial"/>
          <w:color w:val="4F81BD" w:themeColor="accent1"/>
        </w:rPr>
        <w:t>la Titular de la Unidad de Transparencia del Ayuntamiento de Moctezuma</w:t>
      </w:r>
      <w:r w:rsidR="00570B93" w:rsidRPr="00086D7F">
        <w:rPr>
          <w:rFonts w:ascii="Arial" w:hAnsi="Arial" w:cs="Arial"/>
          <w:color w:val="4F81BD" w:themeColor="accent1"/>
        </w:rPr>
        <w:t xml:space="preserve">, mismas que se recibieron en tiempo acorde a la certificación que obra a foja </w:t>
      </w:r>
      <w:r w:rsidR="007E5ADC" w:rsidRPr="00086D7F">
        <w:rPr>
          <w:rFonts w:ascii="Arial" w:hAnsi="Arial" w:cs="Arial"/>
          <w:color w:val="4F81BD" w:themeColor="accent1"/>
        </w:rPr>
        <w:t>4</w:t>
      </w:r>
      <w:r w:rsidR="001326AF" w:rsidRPr="00086D7F">
        <w:rPr>
          <w:rFonts w:ascii="Arial" w:hAnsi="Arial" w:cs="Arial"/>
          <w:color w:val="4F81BD" w:themeColor="accent1"/>
        </w:rPr>
        <w:t>4</w:t>
      </w:r>
      <w:r w:rsidR="00570B93" w:rsidRPr="00086D7F">
        <w:rPr>
          <w:rFonts w:ascii="Arial" w:hAnsi="Arial" w:cs="Arial"/>
          <w:color w:val="4F81BD" w:themeColor="accent1"/>
        </w:rPr>
        <w:t xml:space="preserve"> del presente sumario.</w:t>
      </w:r>
    </w:p>
    <w:p w:rsidR="00547C44" w:rsidRPr="00086D7F" w:rsidRDefault="00547C44" w:rsidP="00A64E84">
      <w:pPr>
        <w:spacing w:before="240"/>
        <w:rPr>
          <w:rFonts w:ascii="Arial" w:hAnsi="Arial" w:cs="Arial"/>
          <w:color w:val="4F81BD" w:themeColor="accent1"/>
        </w:rPr>
      </w:pPr>
      <w:r w:rsidRPr="00086D7F">
        <w:rPr>
          <w:rFonts w:ascii="Arial" w:hAnsi="Arial" w:cs="Arial"/>
          <w:color w:val="4F81BD" w:themeColor="accent1"/>
        </w:rPr>
        <w:tab/>
        <w:t xml:space="preserve">Por lo que toca al </w:t>
      </w:r>
      <w:r w:rsidR="00545919" w:rsidRPr="00086D7F">
        <w:rPr>
          <w:rFonts w:ascii="Arial" w:hAnsi="Arial" w:cs="Arial"/>
          <w:color w:val="4F81BD" w:themeColor="accent1"/>
        </w:rPr>
        <w:t>inconforme</w:t>
      </w:r>
      <w:r w:rsidRPr="00086D7F">
        <w:rPr>
          <w:rFonts w:ascii="Arial" w:hAnsi="Arial" w:cs="Arial"/>
          <w:color w:val="4F81BD" w:themeColor="accent1"/>
        </w:rPr>
        <w:t>, éste no hizo uso de su derecho contenido en el artículo 174, fracción III</w:t>
      </w:r>
      <w:r w:rsidR="00935B9B" w:rsidRPr="00086D7F">
        <w:rPr>
          <w:rFonts w:ascii="Arial" w:hAnsi="Arial" w:cs="Arial"/>
          <w:color w:val="4F81BD" w:themeColor="accent1"/>
        </w:rPr>
        <w:t>,</w:t>
      </w:r>
      <w:r w:rsidRPr="00086D7F">
        <w:rPr>
          <w:rFonts w:ascii="Arial" w:hAnsi="Arial" w:cs="Arial"/>
          <w:color w:val="4F81BD" w:themeColor="accent1"/>
        </w:rPr>
        <w:t xml:space="preserve"> de la Ley de Transparencia del Estado.</w:t>
      </w:r>
    </w:p>
    <w:p w:rsidR="003C3862" w:rsidRPr="00086D7F" w:rsidRDefault="00547C44" w:rsidP="00547C44">
      <w:pPr>
        <w:spacing w:before="240"/>
        <w:rPr>
          <w:rFonts w:ascii="Arial" w:hAnsi="Arial" w:cs="Arial"/>
          <w:color w:val="4F81BD" w:themeColor="accent1"/>
        </w:rPr>
      </w:pPr>
      <w:r w:rsidRPr="00086D7F">
        <w:rPr>
          <w:rFonts w:ascii="Arial" w:hAnsi="Arial" w:cs="Arial"/>
          <w:color w:val="4F81BD" w:themeColor="accent1"/>
        </w:rPr>
        <w:tab/>
      </w:r>
      <w:r w:rsidR="00776BAF" w:rsidRPr="00086D7F">
        <w:rPr>
          <w:rFonts w:ascii="Arial" w:hAnsi="Arial" w:cs="Arial"/>
          <w:b/>
          <w:color w:val="4F81BD" w:themeColor="accent1"/>
        </w:rPr>
        <w:t>SEXTO</w:t>
      </w:r>
      <w:r w:rsidRPr="00086D7F">
        <w:rPr>
          <w:rFonts w:ascii="Arial" w:hAnsi="Arial" w:cs="Arial"/>
          <w:b/>
          <w:color w:val="4F81BD" w:themeColor="accent1"/>
        </w:rPr>
        <w:t xml:space="preserve">. Cierre de Instrucción. </w:t>
      </w:r>
      <w:r w:rsidRPr="00086D7F">
        <w:rPr>
          <w:rFonts w:ascii="Arial" w:hAnsi="Arial" w:cs="Arial"/>
          <w:color w:val="4F81BD" w:themeColor="accent1"/>
        </w:rPr>
        <w:t xml:space="preserve">El </w:t>
      </w:r>
      <w:r w:rsidR="006B676E" w:rsidRPr="00086D7F">
        <w:rPr>
          <w:rFonts w:ascii="Arial" w:hAnsi="Arial" w:cs="Arial"/>
          <w:b/>
          <w:color w:val="4F81BD" w:themeColor="accent1"/>
        </w:rPr>
        <w:t>veint</w:t>
      </w:r>
      <w:r w:rsidR="000F595F" w:rsidRPr="00086D7F">
        <w:rPr>
          <w:rFonts w:ascii="Arial" w:hAnsi="Arial" w:cs="Arial"/>
          <w:b/>
          <w:color w:val="4F81BD" w:themeColor="accent1"/>
        </w:rPr>
        <w:t>itrés</w:t>
      </w:r>
      <w:r w:rsidR="00D02FBD" w:rsidRPr="00086D7F">
        <w:rPr>
          <w:rFonts w:ascii="Arial" w:hAnsi="Arial" w:cs="Arial"/>
          <w:b/>
          <w:color w:val="4F81BD" w:themeColor="accent1"/>
        </w:rPr>
        <w:t xml:space="preserve"> de febrero</w:t>
      </w:r>
      <w:r w:rsidR="00935B9B" w:rsidRPr="00086D7F">
        <w:rPr>
          <w:rFonts w:ascii="Arial" w:hAnsi="Arial" w:cs="Arial"/>
          <w:b/>
          <w:color w:val="4F81BD" w:themeColor="accent1"/>
        </w:rPr>
        <w:t xml:space="preserve"> de dos mil dieciocho</w:t>
      </w:r>
      <w:r w:rsidRPr="00086D7F">
        <w:rPr>
          <w:rFonts w:ascii="Arial" w:hAnsi="Arial" w:cs="Arial"/>
          <w:color w:val="4F81BD" w:themeColor="accent1"/>
        </w:rPr>
        <w:t>, se decretó el Cierre de Instrucción del expediente formado con motivo del presente recurso de revisión, a fin de que la ponente presentara el proyecto de resolución correspondiente.</w:t>
      </w:r>
    </w:p>
    <w:p w:rsidR="00547C44" w:rsidRPr="00086D7F" w:rsidRDefault="00547C44" w:rsidP="00547C44">
      <w:pPr>
        <w:spacing w:before="240"/>
        <w:jc w:val="center"/>
        <w:rPr>
          <w:rFonts w:ascii="Arial" w:hAnsi="Arial" w:cs="Arial"/>
          <w:b/>
          <w:color w:val="4F81BD" w:themeColor="accent1"/>
        </w:rPr>
      </w:pPr>
      <w:r w:rsidRPr="00086D7F">
        <w:rPr>
          <w:rFonts w:ascii="Arial" w:hAnsi="Arial" w:cs="Arial"/>
          <w:b/>
          <w:color w:val="4F81BD" w:themeColor="accent1"/>
        </w:rPr>
        <w:t xml:space="preserve">C O N S I D E R A N D O </w:t>
      </w:r>
    </w:p>
    <w:p w:rsidR="0072714A" w:rsidRPr="00086D7F" w:rsidRDefault="00547C44" w:rsidP="00545919">
      <w:pPr>
        <w:pStyle w:val="Textoindependienteprimerasangra"/>
        <w:spacing w:before="240"/>
        <w:ind w:firstLine="900"/>
        <w:rPr>
          <w:rFonts w:ascii="Arial" w:hAnsi="Arial" w:cs="Arial"/>
          <w:color w:val="4F81BD" w:themeColor="accent1"/>
        </w:rPr>
      </w:pPr>
      <w:r w:rsidRPr="00086D7F">
        <w:rPr>
          <w:rFonts w:ascii="Arial" w:eastAsia="Arial Unicode MS" w:hAnsi="Arial" w:cs="Arial"/>
          <w:b/>
          <w:color w:val="4F81BD" w:themeColor="accent1"/>
        </w:rPr>
        <w:t>PRIMERO. Competencia.</w:t>
      </w:r>
      <w:r w:rsidRPr="00086D7F">
        <w:rPr>
          <w:rFonts w:ascii="Arial" w:eastAsia="Arial Unicode MS" w:hAnsi="Arial" w:cs="Arial"/>
          <w:color w:val="4F81BD" w:themeColor="accent1"/>
        </w:rPr>
        <w:t xml:space="preserve"> El Pleno de esta Comisión Estatal de Garantía de Acceso a la Información Pública es competente para resolver el presente recurso de revisión de conformidad con los artículos 6°, apartado A., fracción IV</w:t>
      </w:r>
      <w:r w:rsidR="00424DB5" w:rsidRPr="00086D7F">
        <w:rPr>
          <w:rFonts w:ascii="Arial" w:eastAsia="Arial Unicode MS" w:hAnsi="Arial" w:cs="Arial"/>
          <w:color w:val="4F81BD" w:themeColor="accent1"/>
        </w:rPr>
        <w:t>,</w:t>
      </w:r>
      <w:r w:rsidRPr="00086D7F">
        <w:rPr>
          <w:rFonts w:ascii="Arial" w:eastAsia="Arial Unicode MS" w:hAnsi="Arial" w:cs="Arial"/>
          <w:color w:val="4F81BD" w:themeColor="accent1"/>
        </w:rPr>
        <w:t xml:space="preserve"> de la Constitución Política de los Estados Unidos Mexicanos; 17, fracción III, párrafo tercero</w:t>
      </w:r>
      <w:r w:rsidR="00424DB5" w:rsidRPr="00086D7F">
        <w:rPr>
          <w:rFonts w:ascii="Arial" w:eastAsia="Arial Unicode MS" w:hAnsi="Arial" w:cs="Arial"/>
          <w:color w:val="4F81BD" w:themeColor="accent1"/>
        </w:rPr>
        <w:t>,</w:t>
      </w:r>
      <w:r w:rsidRPr="00086D7F">
        <w:rPr>
          <w:rFonts w:ascii="Arial" w:eastAsia="Arial Unicode MS" w:hAnsi="Arial" w:cs="Arial"/>
          <w:color w:val="4F81BD" w:themeColor="accent1"/>
        </w:rPr>
        <w:t xml:space="preserve"> de la Constitución Política del </w:t>
      </w:r>
      <w:r w:rsidRPr="00086D7F">
        <w:rPr>
          <w:rFonts w:ascii="Arial" w:eastAsia="Arial Unicode MS" w:hAnsi="Arial" w:cs="Arial"/>
          <w:color w:val="4F81BD" w:themeColor="accent1"/>
        </w:rPr>
        <w:lastRenderedPageBreak/>
        <w:t>Estado Libre y Soberano de San Luis Po</w:t>
      </w:r>
      <w:r w:rsidR="00424DB5" w:rsidRPr="00086D7F">
        <w:rPr>
          <w:rFonts w:ascii="Arial" w:eastAsia="Arial Unicode MS" w:hAnsi="Arial" w:cs="Arial"/>
          <w:color w:val="4F81BD" w:themeColor="accent1"/>
        </w:rPr>
        <w:t>tosí; 37, 42, fracciones I y II;</w:t>
      </w:r>
      <w:r w:rsidRPr="00086D7F">
        <w:rPr>
          <w:rFonts w:ascii="Arial" w:eastAsia="Arial Unicode MS" w:hAnsi="Arial" w:cs="Arial"/>
          <w:color w:val="4F81BD" w:themeColor="accent1"/>
        </w:rPr>
        <w:t xml:space="preserve"> 142 y 151 de la Ley General de Transparencia y Acceso a la Información Púb</w:t>
      </w:r>
      <w:r w:rsidR="00424DB5" w:rsidRPr="00086D7F">
        <w:rPr>
          <w:rFonts w:ascii="Arial" w:eastAsia="Arial Unicode MS" w:hAnsi="Arial" w:cs="Arial"/>
          <w:color w:val="4F81BD" w:themeColor="accent1"/>
        </w:rPr>
        <w:t>lica; 27, 34, fracciones I y II;</w:t>
      </w:r>
      <w:r w:rsidRPr="00086D7F">
        <w:rPr>
          <w:rFonts w:ascii="Arial" w:eastAsia="Arial Unicode MS" w:hAnsi="Arial" w:cs="Arial"/>
          <w:color w:val="4F81BD" w:themeColor="accent1"/>
        </w:rPr>
        <w:t xml:space="preserve"> 166 y 175 de la Ley de Transparencia y Acceso a la Inf</w:t>
      </w:r>
      <w:bookmarkStart w:id="0" w:name="_GoBack"/>
      <w:bookmarkEnd w:id="0"/>
      <w:r w:rsidRPr="00086D7F">
        <w:rPr>
          <w:rFonts w:ascii="Arial" w:eastAsia="Arial Unicode MS" w:hAnsi="Arial" w:cs="Arial"/>
          <w:color w:val="4F81BD" w:themeColor="accent1"/>
        </w:rPr>
        <w:t>ormación Pública del Estado de San Luis potosí, así</w:t>
      </w:r>
      <w:r w:rsidR="00FA039E" w:rsidRPr="00086D7F">
        <w:rPr>
          <w:rFonts w:ascii="Arial" w:eastAsia="Arial Unicode MS" w:hAnsi="Arial" w:cs="Arial"/>
          <w:color w:val="4F81BD" w:themeColor="accent1"/>
        </w:rPr>
        <w:t xml:space="preserve"> como</w:t>
      </w:r>
      <w:r w:rsidRPr="00086D7F">
        <w:rPr>
          <w:rFonts w:ascii="Arial" w:eastAsia="Arial Unicode MS" w:hAnsi="Arial" w:cs="Arial"/>
          <w:color w:val="4F81BD" w:themeColor="accent1"/>
        </w:rPr>
        <w:t xml:space="preserve"> de los artículos 1, 2, 4</w:t>
      </w:r>
      <w:r w:rsidR="00424DB5" w:rsidRPr="00086D7F">
        <w:rPr>
          <w:rFonts w:ascii="Arial" w:eastAsia="Arial Unicode MS" w:hAnsi="Arial" w:cs="Arial"/>
          <w:color w:val="4F81BD" w:themeColor="accent1"/>
        </w:rPr>
        <w:t>, fracción IV;</w:t>
      </w:r>
      <w:r w:rsidRPr="00086D7F">
        <w:rPr>
          <w:rFonts w:ascii="Arial" w:eastAsia="Arial Unicode MS" w:hAnsi="Arial" w:cs="Arial"/>
          <w:color w:val="4F81BD" w:themeColor="accent1"/>
        </w:rPr>
        <w:t xml:space="preserve"> 6 fracciones I y II; 7, 9 y 10</w:t>
      </w:r>
      <w:r w:rsidR="00424DB5" w:rsidRPr="00086D7F">
        <w:rPr>
          <w:rFonts w:ascii="Arial" w:eastAsia="Arial Unicode MS" w:hAnsi="Arial" w:cs="Arial"/>
          <w:color w:val="4F81BD" w:themeColor="accent1"/>
        </w:rPr>
        <w:t>,</w:t>
      </w:r>
      <w:r w:rsidRPr="00086D7F">
        <w:rPr>
          <w:rFonts w:ascii="Arial" w:eastAsia="Arial Unicode MS" w:hAnsi="Arial" w:cs="Arial"/>
          <w:color w:val="4F81BD" w:themeColor="accent1"/>
        </w:rPr>
        <w:t xml:space="preserve"> fracción XXVIII</w:t>
      </w:r>
      <w:r w:rsidR="00424DB5" w:rsidRPr="00086D7F">
        <w:rPr>
          <w:rFonts w:ascii="Arial" w:eastAsia="Arial Unicode MS" w:hAnsi="Arial" w:cs="Arial"/>
          <w:color w:val="4F81BD" w:themeColor="accent1"/>
        </w:rPr>
        <w:t>,</w:t>
      </w:r>
      <w:r w:rsidRPr="00086D7F">
        <w:rPr>
          <w:rFonts w:ascii="Arial" w:eastAsia="Arial Unicode MS" w:hAnsi="Arial" w:cs="Arial"/>
          <w:color w:val="4F81BD" w:themeColor="accent1"/>
        </w:rPr>
        <w:t xml:space="preserve"> del Reglamento Interior de la Comisión Estatal de Garantía de A</w:t>
      </w:r>
      <w:r w:rsidR="007D4729" w:rsidRPr="00086D7F">
        <w:rPr>
          <w:rFonts w:ascii="Arial" w:eastAsia="Arial Unicode MS" w:hAnsi="Arial" w:cs="Arial"/>
          <w:color w:val="4F81BD" w:themeColor="accent1"/>
        </w:rPr>
        <w:t>cceso a la Información Pública</w:t>
      </w:r>
      <w:r w:rsidR="00545919" w:rsidRPr="00086D7F">
        <w:rPr>
          <w:rFonts w:ascii="Arial" w:eastAsia="Arial Unicode MS" w:hAnsi="Arial" w:cs="Arial"/>
          <w:color w:val="4F81BD" w:themeColor="accent1"/>
        </w:rPr>
        <w:t>.</w:t>
      </w:r>
    </w:p>
    <w:p w:rsidR="00D02FBD" w:rsidRPr="00086D7F" w:rsidRDefault="00D02FBD" w:rsidP="00D02FBD">
      <w:pPr>
        <w:pStyle w:val="Textoindependienteprimerasangra"/>
        <w:spacing w:before="240"/>
        <w:ind w:firstLine="900"/>
        <w:rPr>
          <w:rFonts w:ascii="Arial" w:eastAsia="Arial Unicode MS" w:hAnsi="Arial" w:cs="Arial"/>
          <w:color w:val="4F81BD" w:themeColor="accent1"/>
        </w:rPr>
      </w:pPr>
      <w:r w:rsidRPr="00086D7F">
        <w:rPr>
          <w:rFonts w:ascii="Arial" w:eastAsia="Arial Unicode MS" w:hAnsi="Arial" w:cs="Arial"/>
          <w:b/>
          <w:color w:val="4F81BD" w:themeColor="accent1"/>
        </w:rPr>
        <w:t xml:space="preserve">SEGUNDO. Procedibilidad y Oportunidad. </w:t>
      </w:r>
      <w:r w:rsidRPr="00086D7F">
        <w:rPr>
          <w:rFonts w:ascii="Arial" w:eastAsia="Arial Unicode MS" w:hAnsi="Arial" w:cs="Arial"/>
          <w:color w:val="4F81BD" w:themeColor="accent1"/>
        </w:rPr>
        <w:t>Previo al estudio de fondo del asunto, se procede a analizar los requisitos de oportunidad y procedibilidad que debe reunir el presente medio de impugnación, los cuales están previstos en los artículos 166 y 168 de la Ley de Transparencia y Acceso a la Información Pública del Estado de San Luis Potosí.</w:t>
      </w:r>
    </w:p>
    <w:p w:rsidR="00D02FBD" w:rsidRPr="00086D7F" w:rsidRDefault="00D02FBD" w:rsidP="00D02FBD">
      <w:pPr>
        <w:pStyle w:val="Textoindependienteprimerasangra"/>
        <w:spacing w:before="240"/>
        <w:ind w:firstLine="900"/>
        <w:rPr>
          <w:rFonts w:ascii="Arial" w:eastAsia="Arial Unicode MS" w:hAnsi="Arial" w:cs="Arial"/>
          <w:b/>
          <w:color w:val="4F81BD" w:themeColor="accent1"/>
        </w:rPr>
      </w:pPr>
      <w:r w:rsidRPr="00086D7F">
        <w:rPr>
          <w:rFonts w:ascii="Arial" w:eastAsia="Arial Unicode MS" w:hAnsi="Arial" w:cs="Arial"/>
          <w:color w:val="4F81BD" w:themeColor="accent1"/>
        </w:rPr>
        <w:t xml:space="preserve">La solicitud de información se presentó el </w:t>
      </w:r>
      <w:r w:rsidR="0061744C" w:rsidRPr="00086D7F">
        <w:rPr>
          <w:rFonts w:ascii="Arial" w:eastAsia="Arial Unicode MS" w:hAnsi="Arial" w:cs="Arial"/>
          <w:b/>
          <w:color w:val="4F81BD" w:themeColor="accent1"/>
        </w:rPr>
        <w:t>seis de diciembre</w:t>
      </w:r>
      <w:r w:rsidR="00DB3454" w:rsidRPr="00086D7F">
        <w:rPr>
          <w:rFonts w:ascii="Arial" w:eastAsia="Arial Unicode MS" w:hAnsi="Arial" w:cs="Arial"/>
          <w:b/>
          <w:color w:val="4F81BD" w:themeColor="accent1"/>
        </w:rPr>
        <w:t xml:space="preserve"> de dos mil dieci</w:t>
      </w:r>
      <w:r w:rsidR="0061744C" w:rsidRPr="00086D7F">
        <w:rPr>
          <w:rFonts w:ascii="Arial" w:eastAsia="Arial Unicode MS" w:hAnsi="Arial" w:cs="Arial"/>
          <w:b/>
          <w:color w:val="4F81BD" w:themeColor="accent1"/>
        </w:rPr>
        <w:t>siete,</w:t>
      </w:r>
      <w:r w:rsidRPr="00086D7F">
        <w:rPr>
          <w:rFonts w:ascii="Arial" w:eastAsia="Arial Unicode MS" w:hAnsi="Arial" w:cs="Arial"/>
          <w:color w:val="4F81BD" w:themeColor="accent1"/>
        </w:rPr>
        <w:t xml:space="preserve"> por lo que el plazo para que el sujeto obligado emitiera una respuesta se integró por los días </w:t>
      </w:r>
      <w:r w:rsidR="0061744C" w:rsidRPr="00086D7F">
        <w:rPr>
          <w:rFonts w:ascii="Arial" w:eastAsia="Arial Unicode MS" w:hAnsi="Arial" w:cs="Arial"/>
          <w:b/>
          <w:color w:val="4F81BD" w:themeColor="accent1"/>
        </w:rPr>
        <w:t>siete, ocho, once, doce, trece, catorce, quince, dieciocho, diecinueve y veinte de diciembre del año próximo pasado</w:t>
      </w:r>
      <w:r w:rsidRPr="00086D7F">
        <w:rPr>
          <w:rFonts w:ascii="Arial" w:eastAsia="Arial Unicode MS" w:hAnsi="Arial" w:cs="Arial"/>
          <w:b/>
          <w:color w:val="4F81BD" w:themeColor="accent1"/>
        </w:rPr>
        <w:t xml:space="preserve">, </w:t>
      </w:r>
      <w:r w:rsidRPr="00086D7F">
        <w:rPr>
          <w:rFonts w:ascii="Arial" w:eastAsia="Arial Unicode MS" w:hAnsi="Arial" w:cs="Arial"/>
          <w:color w:val="4F81BD" w:themeColor="accent1"/>
        </w:rPr>
        <w:t>sin que fueran hábiles el</w:t>
      </w:r>
      <w:r w:rsidRPr="00086D7F">
        <w:rPr>
          <w:rFonts w:ascii="Arial" w:eastAsia="Arial Unicode MS" w:hAnsi="Arial" w:cs="Arial"/>
          <w:b/>
          <w:color w:val="4F81BD" w:themeColor="accent1"/>
        </w:rPr>
        <w:t xml:space="preserve"> </w:t>
      </w:r>
      <w:r w:rsidR="00416B37" w:rsidRPr="00086D7F">
        <w:rPr>
          <w:rFonts w:ascii="Arial" w:eastAsia="Arial Unicode MS" w:hAnsi="Arial" w:cs="Arial"/>
          <w:b/>
          <w:color w:val="4F81BD" w:themeColor="accent1"/>
        </w:rPr>
        <w:t>nueve, diez, dieciséis y diecisiete</w:t>
      </w:r>
      <w:r w:rsidRPr="00086D7F">
        <w:rPr>
          <w:rFonts w:ascii="Arial" w:eastAsia="Arial Unicode MS" w:hAnsi="Arial" w:cs="Arial"/>
          <w:b/>
          <w:color w:val="4F81BD" w:themeColor="accent1"/>
        </w:rPr>
        <w:t xml:space="preserve"> del mismo mes y año</w:t>
      </w:r>
      <w:r w:rsidR="00416B37" w:rsidRPr="00086D7F">
        <w:rPr>
          <w:rFonts w:ascii="Arial" w:eastAsia="Arial Unicode MS" w:hAnsi="Arial" w:cs="Arial"/>
          <w:b/>
          <w:color w:val="4F81BD" w:themeColor="accent1"/>
        </w:rPr>
        <w:t>,</w:t>
      </w:r>
      <w:r w:rsidRPr="00086D7F">
        <w:rPr>
          <w:rFonts w:ascii="Arial" w:eastAsia="Arial Unicode MS" w:hAnsi="Arial" w:cs="Arial"/>
          <w:b/>
          <w:color w:val="4F81BD" w:themeColor="accent1"/>
        </w:rPr>
        <w:t xml:space="preserve"> </w:t>
      </w:r>
      <w:r w:rsidRPr="00086D7F">
        <w:rPr>
          <w:rFonts w:ascii="Arial" w:eastAsia="Arial Unicode MS" w:hAnsi="Arial" w:cs="Arial"/>
          <w:color w:val="4F81BD" w:themeColor="accent1"/>
        </w:rPr>
        <w:t>por corresponde</w:t>
      </w:r>
      <w:r w:rsidR="0023298C" w:rsidRPr="00086D7F">
        <w:rPr>
          <w:rFonts w:ascii="Arial" w:eastAsia="Arial Unicode MS" w:hAnsi="Arial" w:cs="Arial"/>
          <w:color w:val="4F81BD" w:themeColor="accent1"/>
        </w:rPr>
        <w:t>r</w:t>
      </w:r>
      <w:r w:rsidRPr="00086D7F">
        <w:rPr>
          <w:rFonts w:ascii="Arial" w:eastAsia="Arial Unicode MS" w:hAnsi="Arial" w:cs="Arial"/>
          <w:color w:val="4F81BD" w:themeColor="accent1"/>
        </w:rPr>
        <w:t xml:space="preserve"> a sábados y domingos</w:t>
      </w:r>
      <w:r w:rsidRPr="00086D7F">
        <w:rPr>
          <w:rFonts w:ascii="Arial" w:eastAsia="Arial Unicode MS" w:hAnsi="Arial" w:cs="Arial"/>
          <w:b/>
          <w:color w:val="4F81BD" w:themeColor="accent1"/>
        </w:rPr>
        <w:t>.</w:t>
      </w:r>
    </w:p>
    <w:p w:rsidR="00D02FBD" w:rsidRPr="00086D7F" w:rsidRDefault="00D02FBD" w:rsidP="00D02FBD">
      <w:pPr>
        <w:pStyle w:val="Textoindependienteprimerasangra"/>
        <w:spacing w:before="240"/>
        <w:ind w:firstLine="900"/>
        <w:rPr>
          <w:rFonts w:ascii="Arial" w:eastAsia="Arial Unicode MS" w:hAnsi="Arial" w:cs="Arial"/>
          <w:color w:val="4F81BD" w:themeColor="accent1"/>
        </w:rPr>
      </w:pPr>
      <w:r w:rsidRPr="00086D7F">
        <w:rPr>
          <w:rFonts w:ascii="Arial" w:eastAsia="Arial Unicode MS" w:hAnsi="Arial" w:cs="Arial"/>
          <w:color w:val="4F81BD" w:themeColor="accent1"/>
        </w:rPr>
        <w:t xml:space="preserve">El recurso de revisión fue interpuesto dentro del plazo de quince días hábiles previsto en el artículo 166 de la Ley de Transparencia del Estado, toda vez que el término con que contaba el sujeto obligado para realizar la contestación a la solicitud de información, feneció el </w:t>
      </w:r>
      <w:r w:rsidR="00416B37" w:rsidRPr="00086D7F">
        <w:rPr>
          <w:rFonts w:ascii="Arial" w:eastAsia="Arial Unicode MS" w:hAnsi="Arial" w:cs="Arial"/>
          <w:b/>
          <w:color w:val="4F81BD" w:themeColor="accent1"/>
        </w:rPr>
        <w:t>veinte de diciembre</w:t>
      </w:r>
      <w:r w:rsidRPr="00086D7F">
        <w:rPr>
          <w:rFonts w:ascii="Arial" w:eastAsia="Arial Unicode MS" w:hAnsi="Arial" w:cs="Arial"/>
          <w:b/>
          <w:color w:val="4F81BD" w:themeColor="accent1"/>
        </w:rPr>
        <w:t xml:space="preserve"> de dos mil </w:t>
      </w:r>
      <w:r w:rsidR="0023298C" w:rsidRPr="00086D7F">
        <w:rPr>
          <w:rFonts w:ascii="Arial" w:eastAsia="Arial Unicode MS" w:hAnsi="Arial" w:cs="Arial"/>
          <w:b/>
          <w:color w:val="4F81BD" w:themeColor="accent1"/>
        </w:rPr>
        <w:t>dieci</w:t>
      </w:r>
      <w:r w:rsidR="00416B37" w:rsidRPr="00086D7F">
        <w:rPr>
          <w:rFonts w:ascii="Arial" w:eastAsia="Arial Unicode MS" w:hAnsi="Arial" w:cs="Arial"/>
          <w:b/>
          <w:color w:val="4F81BD" w:themeColor="accent1"/>
        </w:rPr>
        <w:t>siete</w:t>
      </w:r>
      <w:r w:rsidRPr="00086D7F">
        <w:rPr>
          <w:rFonts w:ascii="Arial" w:eastAsia="Arial Unicode MS" w:hAnsi="Arial" w:cs="Arial"/>
          <w:color w:val="4F81BD" w:themeColor="accent1"/>
        </w:rPr>
        <w:t xml:space="preserve">; por tanto, al ser presentado el recurso el </w:t>
      </w:r>
      <w:r w:rsidR="00416B37" w:rsidRPr="00086D7F">
        <w:rPr>
          <w:rFonts w:ascii="Arial" w:eastAsia="Arial Unicode MS" w:hAnsi="Arial" w:cs="Arial"/>
          <w:b/>
          <w:color w:val="4F81BD" w:themeColor="accent1"/>
        </w:rPr>
        <w:t>ocho de enero</w:t>
      </w:r>
      <w:r w:rsidR="0023298C" w:rsidRPr="00086D7F">
        <w:rPr>
          <w:rFonts w:ascii="Arial" w:eastAsia="Arial Unicode MS" w:hAnsi="Arial" w:cs="Arial"/>
          <w:b/>
          <w:color w:val="4F81BD" w:themeColor="accent1"/>
        </w:rPr>
        <w:t xml:space="preserve"> de</w:t>
      </w:r>
      <w:r w:rsidR="00416B37" w:rsidRPr="00086D7F">
        <w:rPr>
          <w:rFonts w:ascii="Arial" w:eastAsia="Arial Unicode MS" w:hAnsi="Arial" w:cs="Arial"/>
          <w:b/>
          <w:color w:val="4F81BD" w:themeColor="accent1"/>
        </w:rPr>
        <w:t xml:space="preserve"> dos mil dieciocho,</w:t>
      </w:r>
      <w:r w:rsidRPr="00086D7F">
        <w:rPr>
          <w:rFonts w:ascii="Arial" w:eastAsia="Arial Unicode MS" w:hAnsi="Arial" w:cs="Arial"/>
          <w:color w:val="4F81BD" w:themeColor="accent1"/>
        </w:rPr>
        <w:t xml:space="preserve"> se advierte que lo interpuso al </w:t>
      </w:r>
      <w:r w:rsidR="00416B37" w:rsidRPr="00086D7F">
        <w:rPr>
          <w:rFonts w:ascii="Arial" w:eastAsia="Arial Unicode MS" w:hAnsi="Arial" w:cs="Arial"/>
          <w:b/>
          <w:color w:val="4F81BD" w:themeColor="accent1"/>
        </w:rPr>
        <w:t>tercer</w:t>
      </w:r>
      <w:r w:rsidRPr="00086D7F">
        <w:rPr>
          <w:rFonts w:ascii="Arial" w:eastAsia="Arial Unicode MS" w:hAnsi="Arial" w:cs="Arial"/>
          <w:b/>
          <w:color w:val="4F81BD" w:themeColor="accent1"/>
        </w:rPr>
        <w:t xml:space="preserve"> día</w:t>
      </w:r>
      <w:r w:rsidRPr="00086D7F">
        <w:rPr>
          <w:rFonts w:ascii="Arial" w:eastAsia="Arial Unicode MS" w:hAnsi="Arial" w:cs="Arial"/>
          <w:color w:val="4F81BD" w:themeColor="accent1"/>
        </w:rPr>
        <w:t xml:space="preserve"> con que contaba para ello</w:t>
      </w:r>
      <w:r w:rsidR="00776BAF" w:rsidRPr="00086D7F">
        <w:rPr>
          <w:rFonts w:ascii="Arial" w:eastAsia="Arial Unicode MS" w:hAnsi="Arial" w:cs="Arial"/>
          <w:color w:val="4F81BD" w:themeColor="accent1"/>
        </w:rPr>
        <w:t>, conforme al calendario de esta Comisión</w:t>
      </w:r>
      <w:r w:rsidRPr="00086D7F">
        <w:rPr>
          <w:rFonts w:ascii="Arial" w:eastAsia="Arial Unicode MS" w:hAnsi="Arial" w:cs="Arial"/>
          <w:color w:val="4F81BD" w:themeColor="accent1"/>
        </w:rPr>
        <w:t>, es decir, dentro del plazo reconocido por el numeral</w:t>
      </w:r>
      <w:r w:rsidRPr="00086D7F">
        <w:rPr>
          <w:rFonts w:ascii="Arial" w:hAnsi="Arial" w:cs="Arial"/>
          <w:color w:val="4F81BD" w:themeColor="accent1"/>
          <w:lang w:val="es-MX"/>
        </w:rPr>
        <w:t xml:space="preserve"> 166 de la Ley de Transparencia del Estado, por lo que se concluye que se encuentra dentro de los márgenes temporales previstos en el precepto legal citado.</w:t>
      </w:r>
    </w:p>
    <w:p w:rsidR="00D02FBD" w:rsidRPr="00086D7F" w:rsidRDefault="00D02FBD" w:rsidP="00D02FBD">
      <w:pPr>
        <w:pStyle w:val="Textoindependienteprimerasangra"/>
        <w:spacing w:before="240"/>
        <w:ind w:firstLine="900"/>
        <w:rPr>
          <w:rFonts w:ascii="Arial" w:hAnsi="Arial" w:cs="Arial"/>
          <w:color w:val="4F81BD" w:themeColor="accent1"/>
          <w:lang w:val="es-MX"/>
        </w:rPr>
      </w:pPr>
      <w:r w:rsidRPr="00086D7F">
        <w:rPr>
          <w:rFonts w:ascii="Arial" w:hAnsi="Arial" w:cs="Arial"/>
          <w:color w:val="4F81BD" w:themeColor="accent1"/>
          <w:lang w:val="es-MX"/>
        </w:rPr>
        <w:lastRenderedPageBreak/>
        <w:t>Asimismo, tras la revisión del escrito de interposición, se concluye que se acreditan de manera satisfactoria los extremos a que alude el artículo 168 de la Ley de Transparencia y Acceso a la Información Pública del Estado de San Luis Potosí.</w:t>
      </w:r>
    </w:p>
    <w:p w:rsidR="00AE265B" w:rsidRPr="00086D7F" w:rsidRDefault="003C3862" w:rsidP="00D30EF7">
      <w:pPr>
        <w:pStyle w:val="Textoindependienteprimerasangra"/>
        <w:spacing w:before="240"/>
        <w:ind w:firstLine="900"/>
        <w:rPr>
          <w:rFonts w:ascii="Arial" w:hAnsi="Arial" w:cs="Arial"/>
          <w:color w:val="4F81BD" w:themeColor="accent1"/>
          <w:lang w:val="es-MX"/>
        </w:rPr>
      </w:pPr>
      <w:r w:rsidRPr="00086D7F">
        <w:rPr>
          <w:rFonts w:ascii="Arial" w:hAnsi="Arial" w:cs="Arial"/>
          <w:b/>
          <w:color w:val="4F81BD" w:themeColor="accent1"/>
          <w:sz w:val="24"/>
          <w:lang w:val="es-MX"/>
        </w:rPr>
        <w:t xml:space="preserve">TERCERO. </w:t>
      </w:r>
      <w:r w:rsidR="00AE265B" w:rsidRPr="00086D7F">
        <w:rPr>
          <w:rFonts w:ascii="Arial" w:hAnsi="Arial" w:cs="Arial"/>
          <w:b/>
          <w:color w:val="4F81BD" w:themeColor="accent1"/>
          <w:sz w:val="24"/>
          <w:lang w:val="es-MX"/>
        </w:rPr>
        <w:t xml:space="preserve">Estudio y análisis de fondo. </w:t>
      </w:r>
      <w:r w:rsidR="00AE265B" w:rsidRPr="00086D7F">
        <w:rPr>
          <w:rFonts w:ascii="Arial" w:hAnsi="Arial" w:cs="Arial"/>
          <w:color w:val="4F81BD" w:themeColor="accent1"/>
          <w:lang w:val="es-MX"/>
        </w:rPr>
        <w:t>Esta Comisión procede, con fundamento en el artículo 144, fracción VI, de la Ley General de Transparencia y Acceso a la Información Pública, al estudio de l</w:t>
      </w:r>
      <w:r w:rsidR="00776BAF" w:rsidRPr="00086D7F">
        <w:rPr>
          <w:rFonts w:ascii="Arial" w:hAnsi="Arial" w:cs="Arial"/>
          <w:color w:val="4F81BD" w:themeColor="accent1"/>
          <w:lang w:val="es-MX"/>
        </w:rPr>
        <w:t>a inconformidad planteada por el</w:t>
      </w:r>
      <w:r w:rsidR="00AE265B" w:rsidRPr="00086D7F">
        <w:rPr>
          <w:rFonts w:ascii="Arial" w:hAnsi="Arial" w:cs="Arial"/>
          <w:color w:val="4F81BD" w:themeColor="accent1"/>
          <w:lang w:val="es-MX"/>
        </w:rPr>
        <w:t xml:space="preserve"> hoy recurrente, </w:t>
      </w:r>
      <w:r w:rsidR="00D30EF7" w:rsidRPr="00086D7F">
        <w:rPr>
          <w:rFonts w:ascii="Arial" w:hAnsi="Arial" w:cs="Arial"/>
          <w:color w:val="4F81BD" w:themeColor="accent1"/>
          <w:lang w:val="es-MX"/>
        </w:rPr>
        <w:t xml:space="preserve">la cual encuadra en la hipótesis contenida en la fracción VI, del artículo 167 de la Ley de Transparencia y Acceso a la Información Pública del Estado de San Luis Potosí, es decir, no otorgó respuesta a la petitoria formulada por el particular. </w:t>
      </w:r>
    </w:p>
    <w:p w:rsidR="008E44DF" w:rsidRPr="00086D7F" w:rsidRDefault="008E44DF" w:rsidP="008E44DF">
      <w:pPr>
        <w:ind w:firstLine="708"/>
        <w:rPr>
          <w:rFonts w:ascii="Arial" w:eastAsia="Arial Unicode MS" w:hAnsi="Arial" w:cs="Arial"/>
          <w:color w:val="4F81BD" w:themeColor="accent1"/>
          <w:szCs w:val="26"/>
        </w:rPr>
      </w:pPr>
      <w:r w:rsidRPr="00086D7F">
        <w:rPr>
          <w:rFonts w:ascii="Arial" w:hAnsi="Arial" w:cs="Arial"/>
          <w:color w:val="4F81BD" w:themeColor="accent1"/>
          <w:szCs w:val="26"/>
          <w:lang w:val="es-ES_tradnl"/>
        </w:rPr>
        <w:t xml:space="preserve">Los motivos de inconformidad resultan fundados, mismos que se suplen en suplencia de la queja, de conformidad con lo dispuesto en el artículo 14 de la Ley de Transparencia del Estado, </w:t>
      </w:r>
      <w:r w:rsidRPr="00086D7F">
        <w:rPr>
          <w:rFonts w:ascii="Arial" w:hAnsi="Arial" w:cs="Arial"/>
          <w:color w:val="4F81BD" w:themeColor="accent1"/>
          <w:szCs w:val="26"/>
        </w:rPr>
        <w:t xml:space="preserve">con la finalidad de garantizar el ejercicio del derecho humano de acceso a la información. </w:t>
      </w:r>
    </w:p>
    <w:p w:rsidR="008E44DF" w:rsidRPr="00086D7F" w:rsidRDefault="008E44DF" w:rsidP="008E44DF">
      <w:pPr>
        <w:ind w:firstLine="708"/>
        <w:rPr>
          <w:rFonts w:ascii="Arial" w:hAnsi="Arial" w:cs="Arial"/>
          <w:color w:val="4F81BD" w:themeColor="accent1"/>
        </w:rPr>
      </w:pPr>
      <w:r w:rsidRPr="00086D7F">
        <w:rPr>
          <w:rFonts w:ascii="Arial" w:hAnsi="Arial" w:cs="Arial"/>
          <w:color w:val="4F81BD" w:themeColor="accent1"/>
          <w:szCs w:val="26"/>
        </w:rPr>
        <w:t xml:space="preserve">En consonancia a lo anterior, esta Comisión está facultada de manera implícita para integrar el contenido de los documentos y elementos técnicos que conforman el medio de impugnación del que se trata. Tal aseveración se justifica, ya que el Órgano </w:t>
      </w:r>
      <w:proofErr w:type="spellStart"/>
      <w:r w:rsidRPr="00086D7F">
        <w:rPr>
          <w:rFonts w:ascii="Arial" w:hAnsi="Arial" w:cs="Arial"/>
          <w:color w:val="4F81BD" w:themeColor="accent1"/>
          <w:szCs w:val="26"/>
        </w:rPr>
        <w:t>Resolutor</w:t>
      </w:r>
      <w:proofErr w:type="spellEnd"/>
      <w:r w:rsidRPr="00086D7F">
        <w:rPr>
          <w:rFonts w:ascii="Arial" w:hAnsi="Arial" w:cs="Arial"/>
          <w:color w:val="4F81BD" w:themeColor="accent1"/>
          <w:szCs w:val="26"/>
        </w:rPr>
        <w:t xml:space="preserve">, con base en el artículo 8°, fracciones, II y VIII, de la Ley de Transparencia del Estado, cuenta </w:t>
      </w:r>
      <w:r w:rsidRPr="00086D7F">
        <w:rPr>
          <w:rFonts w:ascii="Arial" w:hAnsi="Arial" w:cs="Arial"/>
          <w:color w:val="4F81BD" w:themeColor="accent1"/>
        </w:rPr>
        <w:t xml:space="preserve">con la experiencia y conocimientos suficientes para interpretar la redacción oscura o irregular, y determinar el verdadero sentido y la expresión exacta del pensamiento de su autor que por error incurre en omisiones o en imprecisiones contenidas en la respuesta que por este medio se impugna. </w:t>
      </w:r>
    </w:p>
    <w:p w:rsidR="008E44DF" w:rsidRPr="00086D7F" w:rsidRDefault="008E44DF" w:rsidP="008E44DF">
      <w:pPr>
        <w:ind w:firstLine="708"/>
        <w:rPr>
          <w:rFonts w:ascii="Arial" w:hAnsi="Arial" w:cs="Arial"/>
          <w:color w:val="4F81BD" w:themeColor="accent1"/>
        </w:rPr>
      </w:pPr>
      <w:r w:rsidRPr="00086D7F">
        <w:rPr>
          <w:rFonts w:ascii="Arial" w:hAnsi="Arial" w:cs="Arial"/>
          <w:color w:val="4F81BD" w:themeColor="accent1"/>
        </w:rPr>
        <w:t xml:space="preserve">Inspirado en esos principios, se  sostiene que la interpretación del recurso no se debe limitar al escrito en el que se inicia, sino que debe comprender el análisis de los documentos que lo integran y que, de hecho, forman parte de éste; pues sólo así puede alcanzarse una interpretación completa de la voluntad del recurrente y advertir el error o la omisión en que haya incurrido por ignorancia formal del derecho o, </w:t>
      </w:r>
      <w:r w:rsidRPr="00086D7F">
        <w:rPr>
          <w:rFonts w:ascii="Arial" w:hAnsi="Arial" w:cs="Arial"/>
          <w:color w:val="4F81BD" w:themeColor="accent1"/>
        </w:rPr>
        <w:lastRenderedPageBreak/>
        <w:t>como es el caso, que desconozca la actuación desplegada por la autoridad, lo que implica armonizar la información con la que se cuenta, a fin de que a través de ella se precise el verdadero sentido de la controversia planteada, lo que en ningún momento implica dejar en estado de indefensión al sujeto obligado, puesto que se le concedió la oportunidad de sostener la legalidad de su actuación.</w:t>
      </w:r>
    </w:p>
    <w:p w:rsidR="008E44DF" w:rsidRPr="00086D7F" w:rsidRDefault="008E44DF" w:rsidP="008E44DF">
      <w:pPr>
        <w:ind w:firstLine="708"/>
        <w:rPr>
          <w:rFonts w:ascii="Arial" w:hAnsi="Arial" w:cs="Arial"/>
          <w:color w:val="4F81BD" w:themeColor="accent1"/>
          <w:szCs w:val="26"/>
        </w:rPr>
      </w:pPr>
      <w:r w:rsidRPr="00086D7F">
        <w:rPr>
          <w:rFonts w:ascii="Arial" w:hAnsi="Arial" w:cs="Arial"/>
          <w:color w:val="4F81BD" w:themeColor="accent1"/>
          <w:szCs w:val="26"/>
        </w:rPr>
        <w:t>Por tanto, al encontrarse involucrado el alcance del derecho humano de acceso a la información, debe atenderse al principio de mayor beneficio para las partes y, por ende, en términos del artículo 1o. de la Constitución Política de los Estados Unidos Mexicanos, reformado mediante decreto publicado en el Diario Oficial de la Federación el 10 de junio de 2011, conforme al cual todas las autoridades deben aplicar el principio interpretativo pro persona, esto es, realizar la interpretación que más favorezca a los derechos del aquí recurrente, para garantizar de manera efectiva el derecho de acceso a la información pública en posesión del sujeto obligado en consonancia al principio de acceso a la justicia consagrado en el numeral 17 del Pacto Federal, lo cual modulado en la presente materia, por cuestión de método, se patentiza en los términos que a continuación se especifican.</w:t>
      </w:r>
    </w:p>
    <w:p w:rsidR="008E44DF" w:rsidRPr="00086D7F" w:rsidRDefault="008E44DF" w:rsidP="008E44DF">
      <w:pPr>
        <w:pStyle w:val="Textoindependienteprimerasangra"/>
        <w:spacing w:before="240"/>
        <w:ind w:firstLine="900"/>
        <w:rPr>
          <w:rFonts w:ascii="Arial" w:hAnsi="Arial" w:cs="Arial"/>
          <w:color w:val="4F81BD" w:themeColor="accent1"/>
          <w:lang w:val="es-MX"/>
        </w:rPr>
      </w:pPr>
      <w:r w:rsidRPr="00086D7F">
        <w:rPr>
          <w:rFonts w:ascii="Arial" w:hAnsi="Arial" w:cs="Arial"/>
          <w:color w:val="4F81BD" w:themeColor="accent1"/>
          <w:szCs w:val="26"/>
          <w:lang w:val="es-MX"/>
        </w:rPr>
        <w:t xml:space="preserve">En estudio de la inconformidad planteada, se reiteran fundados los motivos de queja del aquí disidente; por ello </w:t>
      </w:r>
      <w:r w:rsidRPr="00086D7F">
        <w:rPr>
          <w:rFonts w:ascii="Arial" w:hAnsi="Arial" w:cs="Arial"/>
          <w:color w:val="4F81BD" w:themeColor="accent1"/>
          <w:lang w:val="es-MX"/>
        </w:rPr>
        <w:t xml:space="preserve"> y con la finalidad de patentizar el anotado calificativo, se procede a examinar los motivos de queja señalados por el aquí inconforme, en un orden distinto al propuesto por el recurrente, sin cambiar los hechos que dieron origen a la interposición del presente recurso; sirve de apoyo a lo anterior -por analogía- la tesis de jurisprudencia (IV Región)2o. J/5 (10a.)</w:t>
      </w:r>
      <w:r w:rsidRPr="00086D7F">
        <w:rPr>
          <w:rFonts w:ascii="Arial" w:hAnsi="Arial" w:cs="Arial"/>
          <w:color w:val="4F81BD" w:themeColor="accent1"/>
        </w:rPr>
        <w:t xml:space="preserve">, emitida por el Segundo Tribunal Colegiado de Circuito del Centro Auxiliar de la Cuarta Región, que señala: </w:t>
      </w:r>
    </w:p>
    <w:p w:rsidR="008E44DF" w:rsidRPr="00086D7F" w:rsidRDefault="008E44DF" w:rsidP="00086D7F">
      <w:pPr>
        <w:spacing w:line="276" w:lineRule="auto"/>
        <w:ind w:firstLine="708"/>
        <w:rPr>
          <w:rFonts w:ascii="Arial" w:hAnsi="Arial" w:cs="Arial"/>
          <w:i/>
          <w:color w:val="4F81BD" w:themeColor="accent1"/>
          <w:sz w:val="22"/>
          <w:szCs w:val="22"/>
          <w:lang w:val="es-MX"/>
        </w:rPr>
      </w:pPr>
      <w:r w:rsidRPr="00086D7F">
        <w:rPr>
          <w:rFonts w:ascii="Arial" w:hAnsi="Arial" w:cs="Arial"/>
          <w:b/>
          <w:i/>
          <w:color w:val="4F81BD" w:themeColor="accent1"/>
          <w:sz w:val="22"/>
          <w:szCs w:val="22"/>
          <w:lang w:val="es-MX"/>
        </w:rPr>
        <w:t xml:space="preserve">“CONCEPTOS DE VIOLACIÓN O AGRAVIOS. PROCEDE SU ANÁLISIS DE MANERA INDIVIDUAL, CONJUNTA O POR GRUPOS Y EN EL ORDEN PROPUESTO O EN UNO DIVERSO. </w:t>
      </w:r>
      <w:r w:rsidRPr="00086D7F">
        <w:rPr>
          <w:rFonts w:ascii="Arial" w:hAnsi="Arial" w:cs="Arial"/>
          <w:i/>
          <w:color w:val="4F81BD" w:themeColor="accent1"/>
          <w:sz w:val="22"/>
          <w:szCs w:val="22"/>
          <w:lang w:val="es-MX"/>
        </w:rPr>
        <w:t xml:space="preserve">El artículo 76 de la Ley de Amparo, publicada en el Diario Oficial de la Federación el 2 de abril de 2013, en vigor al día siguiente, previene que el órgano jurisdiccional que conozca del amparo podrá examinar en su </w:t>
      </w:r>
      <w:r w:rsidRPr="00086D7F">
        <w:rPr>
          <w:rFonts w:ascii="Arial" w:hAnsi="Arial" w:cs="Arial"/>
          <w:i/>
          <w:color w:val="4F81BD" w:themeColor="accent1"/>
          <w:sz w:val="22"/>
          <w:szCs w:val="22"/>
          <w:lang w:val="es-MX"/>
        </w:rPr>
        <w:lastRenderedPageBreak/>
        <w:t>conjunto los conceptos de violación o los agravios, así como los demás razonamientos de las partes, a fin de resolver la cuestión efectivamente planteada, empero, no impone la obligación a dicho órgano de seguir el orden propuesto por el quejoso o recurrente, sino que la única condición que establece el referido precepto es que no se cambien los hechos de la demanda. Por tanto, el estudio correspondiente puede hacerse de manera individual, conjunta o por grupos, en el propio orden de su exposición o en uno diverso.”</w:t>
      </w:r>
    </w:p>
    <w:p w:rsidR="00D30EF7" w:rsidRPr="00086D7F" w:rsidRDefault="005B3590" w:rsidP="00D30EF7">
      <w:pPr>
        <w:spacing w:before="240" w:after="240"/>
        <w:ind w:firstLine="708"/>
        <w:rPr>
          <w:rFonts w:ascii="Arial" w:hAnsi="Arial" w:cs="Arial"/>
          <w:color w:val="4F81BD" w:themeColor="accent1"/>
          <w:szCs w:val="26"/>
        </w:rPr>
      </w:pPr>
      <w:r w:rsidRPr="00086D7F">
        <w:rPr>
          <w:rFonts w:ascii="Arial" w:hAnsi="Arial" w:cs="Arial"/>
          <w:color w:val="4F81BD" w:themeColor="accent1"/>
          <w:szCs w:val="26"/>
        </w:rPr>
        <w:t xml:space="preserve">Del </w:t>
      </w:r>
      <w:r w:rsidR="00D30EF7" w:rsidRPr="00086D7F">
        <w:rPr>
          <w:rFonts w:ascii="Arial" w:hAnsi="Arial" w:cs="Arial"/>
          <w:color w:val="4F81BD" w:themeColor="accent1"/>
          <w:szCs w:val="26"/>
        </w:rPr>
        <w:t xml:space="preserve">análisis de la inconformidad planteada por el aquí inconforme, este aduce que no se le notificó en su correo electrónico la respuesta generada en atención a su petición, por lo que aduce una falta de respuesta. </w:t>
      </w:r>
    </w:p>
    <w:p w:rsidR="008E44DF" w:rsidRPr="00086D7F" w:rsidRDefault="00D30EF7" w:rsidP="00D30EF7">
      <w:pPr>
        <w:spacing w:before="240" w:after="240"/>
        <w:ind w:firstLine="708"/>
        <w:rPr>
          <w:rFonts w:ascii="Arial" w:hAnsi="Arial" w:cs="Arial"/>
          <w:color w:val="4F81BD" w:themeColor="accent1"/>
          <w:szCs w:val="26"/>
        </w:rPr>
      </w:pPr>
      <w:r w:rsidRPr="00086D7F">
        <w:rPr>
          <w:rFonts w:ascii="Arial" w:hAnsi="Arial" w:cs="Arial"/>
          <w:color w:val="4F81BD" w:themeColor="accent1"/>
          <w:szCs w:val="26"/>
        </w:rPr>
        <w:t xml:space="preserve"> </w:t>
      </w:r>
      <w:r w:rsidR="008E44DF" w:rsidRPr="00086D7F">
        <w:rPr>
          <w:rFonts w:ascii="Arial" w:hAnsi="Arial" w:cs="Arial"/>
          <w:color w:val="4F81BD" w:themeColor="accent1"/>
          <w:szCs w:val="26"/>
        </w:rPr>
        <w:t xml:space="preserve">Ahora bien, respecto de la falta de respuesta que aduce el particular, es de señalarse que dicho motivo de disenso deviene infundado, en virtud de que el sujeto obligado acompañó al presente sumario la copia certificada de la captura de pantalla de la bandeja de salida del correo electrónico, del cual se advierte que se envió la respuesta al peticionario en quince de diciembre de dos mil diecisiete, la cual obra a fojas 18-20 del presente sumario. </w:t>
      </w:r>
    </w:p>
    <w:p w:rsidR="005B3590" w:rsidRPr="00086D7F" w:rsidRDefault="005B3590" w:rsidP="005B3590">
      <w:pPr>
        <w:spacing w:before="240" w:after="240"/>
        <w:ind w:firstLine="708"/>
        <w:rPr>
          <w:rFonts w:ascii="Arial" w:hAnsi="Arial" w:cs="Arial"/>
          <w:color w:val="4F81BD" w:themeColor="accent1"/>
          <w:szCs w:val="26"/>
        </w:rPr>
      </w:pPr>
      <w:r w:rsidRPr="00086D7F">
        <w:rPr>
          <w:rFonts w:ascii="Arial" w:hAnsi="Arial" w:cs="Arial"/>
          <w:color w:val="4F81BD" w:themeColor="accent1"/>
          <w:szCs w:val="26"/>
        </w:rPr>
        <w:t xml:space="preserve">En este sentido es de señalarse que la notificación que acredita la autoridad es de naturaleza electrónica, misma que debe ser entendida como el acto mediante el cual se da a conocer al interesado a través de un medio remoto una decisión administrativa, y por ello debe contar con un documento que de manera fehaciente demuestre la notificación al destinario, ya que de otro modo se violentaría en perjuicio del solicitante la garantía de seguridad jurídica que le asiste. </w:t>
      </w:r>
    </w:p>
    <w:p w:rsidR="005B3590" w:rsidRPr="00086D7F" w:rsidRDefault="005B3590" w:rsidP="005B3590">
      <w:pPr>
        <w:ind w:firstLine="708"/>
        <w:rPr>
          <w:rFonts w:ascii="Arial" w:hAnsi="Arial" w:cs="Arial"/>
          <w:color w:val="4F81BD" w:themeColor="accent1"/>
          <w:szCs w:val="26"/>
        </w:rPr>
      </w:pPr>
      <w:r w:rsidRPr="00086D7F">
        <w:rPr>
          <w:rFonts w:ascii="Arial" w:hAnsi="Arial" w:cs="Arial"/>
          <w:color w:val="4F81BD" w:themeColor="accent1"/>
          <w:szCs w:val="26"/>
        </w:rPr>
        <w:t>En ese sentido, el Tribunal Colegiado en Materias de Trabajo y Administrativa del Décimo Tercer Circuito, emitió un criterio relacionado con la cuestión que nos ocupa, mismo que se identifica con el número XIII.T.A.3 A (10a.), y que establece:</w:t>
      </w:r>
    </w:p>
    <w:p w:rsidR="005B3590" w:rsidRPr="00086D7F" w:rsidRDefault="005B3590" w:rsidP="00086D7F">
      <w:pPr>
        <w:spacing w:line="276" w:lineRule="auto"/>
        <w:ind w:firstLine="708"/>
        <w:rPr>
          <w:rFonts w:ascii="Arial" w:hAnsi="Arial" w:cs="Arial"/>
          <w:i/>
          <w:color w:val="4F81BD" w:themeColor="accent1"/>
          <w:sz w:val="22"/>
          <w:szCs w:val="22"/>
        </w:rPr>
      </w:pPr>
      <w:r w:rsidRPr="00086D7F">
        <w:rPr>
          <w:rFonts w:ascii="Arial" w:hAnsi="Arial" w:cs="Arial"/>
          <w:b/>
          <w:bCs/>
          <w:i/>
          <w:color w:val="4F81BD" w:themeColor="accent1"/>
          <w:sz w:val="22"/>
          <w:szCs w:val="22"/>
        </w:rPr>
        <w:t xml:space="preserve">“NOTIFICACIÓN ELECTRÓNICA. AL PRACTICARLA, LA AUTORIDAD DEBE ANEXAR EN AUTOS DEL EXPEDIENTE ADMINISTRATIVO O JUDICIAL DEL QUE DERIVE, LA CONSTANCIA FEHACIENTE DE RECEPCIÓN POR SU DESTINATARIO. </w:t>
      </w:r>
      <w:r w:rsidRPr="00086D7F">
        <w:rPr>
          <w:rFonts w:ascii="Arial" w:hAnsi="Arial" w:cs="Arial"/>
          <w:i/>
          <w:color w:val="4F81BD" w:themeColor="accent1"/>
          <w:sz w:val="22"/>
          <w:szCs w:val="22"/>
        </w:rPr>
        <w:t>La </w:t>
      </w:r>
      <w:r w:rsidRPr="00086D7F">
        <w:rPr>
          <w:rFonts w:ascii="Arial" w:hAnsi="Arial" w:cs="Arial"/>
          <w:bCs/>
          <w:i/>
          <w:color w:val="4F81BD" w:themeColor="accent1"/>
          <w:sz w:val="22"/>
          <w:szCs w:val="22"/>
        </w:rPr>
        <w:t>notificación</w:t>
      </w:r>
      <w:r w:rsidRPr="00086D7F">
        <w:rPr>
          <w:rFonts w:ascii="Arial" w:hAnsi="Arial" w:cs="Arial"/>
          <w:i/>
          <w:color w:val="4F81BD" w:themeColor="accent1"/>
          <w:sz w:val="22"/>
          <w:szCs w:val="22"/>
        </w:rPr>
        <w:t> </w:t>
      </w:r>
      <w:r w:rsidRPr="00086D7F">
        <w:rPr>
          <w:rFonts w:ascii="Arial" w:hAnsi="Arial" w:cs="Arial"/>
          <w:bCs/>
          <w:i/>
          <w:color w:val="4F81BD" w:themeColor="accent1"/>
          <w:sz w:val="22"/>
          <w:szCs w:val="22"/>
        </w:rPr>
        <w:t>electrónica</w:t>
      </w:r>
      <w:r w:rsidRPr="00086D7F">
        <w:rPr>
          <w:rFonts w:ascii="Arial" w:hAnsi="Arial" w:cs="Arial"/>
          <w:i/>
          <w:color w:val="4F81BD" w:themeColor="accent1"/>
          <w:sz w:val="22"/>
          <w:szCs w:val="22"/>
        </w:rPr>
        <w:t xml:space="preserve"> es el acto mediante el cual, con las formalidades legales preestablecidas, se da a conocer a los interesados a través de medios electrónicos y telemáticos, tales como una página web o correo electrónico, un </w:t>
      </w:r>
      <w:r w:rsidRPr="00086D7F">
        <w:rPr>
          <w:rFonts w:ascii="Arial" w:hAnsi="Arial" w:cs="Arial"/>
          <w:i/>
          <w:color w:val="4F81BD" w:themeColor="accent1"/>
          <w:sz w:val="22"/>
          <w:szCs w:val="22"/>
        </w:rPr>
        <w:lastRenderedPageBreak/>
        <w:t>acuerdo administrativo o resolución judicial, por lo que, al practicarla, la autoridad debe anexar en autos del expediente administrativo o judicial del que derive, la constancia fehaciente de recepción por su destinatario, sin que baste la razón actuarial de que se realizó de esa manera, pues la omisión de esa constancia constituye una violación que transgrede las leyes del procedimiento y afecta las defensas del quejoso, la cual actualiza el supuesto previsto en la </w:t>
      </w:r>
      <w:hyperlink r:id="rId8" w:history="1">
        <w:r w:rsidRPr="00086D7F">
          <w:rPr>
            <w:rStyle w:val="Hipervnculo"/>
            <w:rFonts w:ascii="Arial" w:hAnsi="Arial" w:cs="Arial"/>
            <w:i/>
            <w:color w:val="4F81BD" w:themeColor="accent1"/>
            <w:sz w:val="22"/>
            <w:szCs w:val="22"/>
          </w:rPr>
          <w:t>fracción I del artículo 172 de la Ley de Amparo</w:t>
        </w:r>
      </w:hyperlink>
      <w:r w:rsidRPr="00086D7F">
        <w:rPr>
          <w:rFonts w:ascii="Arial" w:hAnsi="Arial" w:cs="Arial"/>
          <w:i/>
          <w:color w:val="4F81BD" w:themeColor="accent1"/>
          <w:sz w:val="22"/>
          <w:szCs w:val="22"/>
        </w:rPr>
        <w:t>, vigente a partir del 3 de abril de 2013”.</w:t>
      </w:r>
    </w:p>
    <w:p w:rsidR="005B3590" w:rsidRPr="00086D7F" w:rsidRDefault="005B3590" w:rsidP="005B3590">
      <w:pPr>
        <w:ind w:firstLine="708"/>
        <w:rPr>
          <w:rFonts w:ascii="Arial" w:hAnsi="Arial" w:cs="Arial"/>
          <w:color w:val="4F81BD" w:themeColor="accent1"/>
          <w:szCs w:val="26"/>
        </w:rPr>
      </w:pPr>
      <w:r w:rsidRPr="00086D7F">
        <w:rPr>
          <w:rFonts w:ascii="Arial" w:hAnsi="Arial" w:cs="Arial"/>
          <w:color w:val="4F81BD" w:themeColor="accent1"/>
          <w:szCs w:val="26"/>
        </w:rPr>
        <w:t>En razón de la tesis invocada y del análisis de las constancias que acompañó el sujeto obligado, se puede verificar a foja dieciocho, que notificó al particular a través del correo electrónico que designó para tal efecto, en quince de diciembre de dos mil diecisiete, lo cual permite apreciar que se le entregó la respuesta que emitió el área ante la cual se le gestionó la solicitud de información.</w:t>
      </w:r>
    </w:p>
    <w:p w:rsidR="005B3590" w:rsidRPr="00086D7F" w:rsidRDefault="005B3590" w:rsidP="005B3590">
      <w:pPr>
        <w:spacing w:before="240" w:after="240"/>
        <w:ind w:firstLine="708"/>
        <w:rPr>
          <w:rFonts w:ascii="Arial" w:eastAsia="Arial Unicode MS" w:hAnsi="Arial" w:cs="Arial"/>
          <w:color w:val="4F81BD" w:themeColor="accent1"/>
        </w:rPr>
      </w:pPr>
      <w:r w:rsidRPr="00086D7F">
        <w:rPr>
          <w:rFonts w:ascii="Arial" w:hAnsi="Arial" w:cs="Arial"/>
          <w:color w:val="4F81BD" w:themeColor="accent1"/>
          <w:szCs w:val="26"/>
        </w:rPr>
        <w:t xml:space="preserve">Sentado lo anterior, este Órgano Colegiado procede a verificar si la información proporcionada es acorde a los principios establecidos en </w:t>
      </w:r>
      <w:r w:rsidRPr="00086D7F">
        <w:rPr>
          <w:rFonts w:ascii="Arial" w:eastAsia="Arial Unicode MS" w:hAnsi="Arial" w:cs="Arial"/>
          <w:color w:val="4F81BD" w:themeColor="accent1"/>
        </w:rPr>
        <w:t>los</w:t>
      </w:r>
      <w:r w:rsidRPr="00086D7F">
        <w:rPr>
          <w:rFonts w:ascii="Arial" w:hAnsi="Arial" w:cs="Arial"/>
          <w:color w:val="4F81BD" w:themeColor="accent1"/>
          <w:szCs w:val="26"/>
        </w:rPr>
        <w:t xml:space="preserve"> Lineamientos Técnicos Generales para la Publicación, Homologación y Estandarización de la Información de las Obligaciones Establecidas en el Título Quinto y en la Fracción IV del artículo 31 de la Ley General de Transparencia y Acceso a la Información Pública, que deben de Difundir los Sujetos Obligados en los Portales de Internet y en la Plataforma Nacional de Transparencia, que en su artículo quinto establecen:</w:t>
      </w:r>
    </w:p>
    <w:p w:rsidR="005B3590" w:rsidRPr="00086D7F" w:rsidRDefault="005B3590" w:rsidP="00086D7F">
      <w:pPr>
        <w:spacing w:after="240" w:line="276" w:lineRule="auto"/>
        <w:ind w:left="709" w:firstLine="709"/>
        <w:rPr>
          <w:rFonts w:ascii="Arial" w:hAnsi="Arial" w:cs="Arial"/>
          <w:color w:val="4F81BD" w:themeColor="accent1"/>
          <w:sz w:val="22"/>
          <w:szCs w:val="22"/>
        </w:rPr>
      </w:pPr>
      <w:r w:rsidRPr="00086D7F">
        <w:rPr>
          <w:rFonts w:ascii="Arial" w:hAnsi="Arial" w:cs="Arial"/>
          <w:i/>
          <w:color w:val="4F81BD" w:themeColor="accent1"/>
          <w:sz w:val="22"/>
          <w:szCs w:val="22"/>
          <w:shd w:val="clear" w:color="auto" w:fill="FFFFFF"/>
        </w:rPr>
        <w:t>“Calidad</w:t>
      </w:r>
      <w:r w:rsidRPr="00086D7F">
        <w:rPr>
          <w:rStyle w:val="apple-converted-space"/>
          <w:rFonts w:ascii="Arial" w:hAnsi="Arial" w:cs="Arial"/>
          <w:i/>
          <w:iCs/>
          <w:color w:val="4F81BD" w:themeColor="accent1"/>
          <w:sz w:val="22"/>
          <w:szCs w:val="22"/>
          <w:shd w:val="clear" w:color="auto" w:fill="FFFFFF"/>
        </w:rPr>
        <w:t> </w:t>
      </w:r>
      <w:r w:rsidRPr="00086D7F">
        <w:rPr>
          <w:rFonts w:ascii="Arial" w:hAnsi="Arial" w:cs="Arial"/>
          <w:i/>
          <w:color w:val="4F81BD" w:themeColor="accent1"/>
          <w:sz w:val="22"/>
          <w:szCs w:val="22"/>
          <w:shd w:val="clear" w:color="auto" w:fill="FFFFFF"/>
        </w:rPr>
        <w:t>de</w:t>
      </w:r>
      <w:r w:rsidRPr="00086D7F">
        <w:rPr>
          <w:rStyle w:val="apple-converted-space"/>
          <w:rFonts w:ascii="Arial" w:hAnsi="Arial" w:cs="Arial"/>
          <w:i/>
          <w:color w:val="4F81BD" w:themeColor="accent1"/>
          <w:sz w:val="22"/>
          <w:szCs w:val="22"/>
          <w:shd w:val="clear" w:color="auto" w:fill="FFFFFF"/>
        </w:rPr>
        <w:t> </w:t>
      </w:r>
      <w:r w:rsidRPr="00086D7F">
        <w:rPr>
          <w:rFonts w:ascii="Arial" w:hAnsi="Arial" w:cs="Arial"/>
          <w:i/>
          <w:color w:val="4F81BD" w:themeColor="accent1"/>
          <w:sz w:val="22"/>
          <w:szCs w:val="22"/>
          <w:shd w:val="clear" w:color="auto" w:fill="FFFFFF"/>
        </w:rPr>
        <w:t>la</w:t>
      </w:r>
      <w:r w:rsidRPr="00086D7F">
        <w:rPr>
          <w:rStyle w:val="apple-converted-space"/>
          <w:rFonts w:ascii="Arial" w:hAnsi="Arial" w:cs="Arial"/>
          <w:i/>
          <w:color w:val="4F81BD" w:themeColor="accent1"/>
          <w:sz w:val="22"/>
          <w:szCs w:val="22"/>
          <w:shd w:val="clear" w:color="auto" w:fill="FFFFFF"/>
        </w:rPr>
        <w:t> </w:t>
      </w:r>
      <w:r w:rsidRPr="00086D7F">
        <w:rPr>
          <w:rFonts w:ascii="Arial" w:hAnsi="Arial" w:cs="Arial"/>
          <w:i/>
          <w:color w:val="4F81BD" w:themeColor="accent1"/>
          <w:sz w:val="22"/>
          <w:szCs w:val="22"/>
          <w:shd w:val="clear" w:color="auto" w:fill="FFFFFF"/>
        </w:rPr>
        <w:t>información.</w:t>
      </w:r>
      <w:r w:rsidRPr="00086D7F">
        <w:rPr>
          <w:rStyle w:val="apple-converted-space"/>
          <w:rFonts w:ascii="Arial" w:hAnsi="Arial" w:cs="Arial"/>
          <w:i/>
          <w:color w:val="4F81BD" w:themeColor="accent1"/>
          <w:sz w:val="22"/>
          <w:szCs w:val="22"/>
          <w:shd w:val="clear" w:color="auto" w:fill="FFFFFF"/>
        </w:rPr>
        <w:t> </w:t>
      </w:r>
      <w:r w:rsidRPr="00086D7F">
        <w:rPr>
          <w:rFonts w:ascii="Arial" w:hAnsi="Arial" w:cs="Arial"/>
          <w:i/>
          <w:color w:val="4F81BD" w:themeColor="accent1"/>
          <w:sz w:val="22"/>
          <w:szCs w:val="22"/>
          <w:shd w:val="clear" w:color="auto" w:fill="FFFFFF"/>
        </w:rPr>
        <w:t>La</w:t>
      </w:r>
      <w:r w:rsidRPr="00086D7F">
        <w:rPr>
          <w:rStyle w:val="apple-converted-space"/>
          <w:rFonts w:ascii="Arial" w:hAnsi="Arial" w:cs="Arial"/>
          <w:i/>
          <w:color w:val="4F81BD" w:themeColor="accent1"/>
          <w:sz w:val="22"/>
          <w:szCs w:val="22"/>
          <w:shd w:val="clear" w:color="auto" w:fill="FFFFFF"/>
        </w:rPr>
        <w:t> </w:t>
      </w:r>
      <w:r w:rsidRPr="00086D7F">
        <w:rPr>
          <w:rFonts w:ascii="Arial" w:hAnsi="Arial" w:cs="Arial"/>
          <w:i/>
          <w:color w:val="4F81BD" w:themeColor="accent1"/>
          <w:sz w:val="22"/>
          <w:szCs w:val="22"/>
          <w:shd w:val="clear" w:color="auto" w:fill="FFFFFF"/>
        </w:rPr>
        <w:t>información</w:t>
      </w:r>
      <w:r w:rsidRPr="00086D7F">
        <w:rPr>
          <w:rStyle w:val="apple-converted-space"/>
          <w:rFonts w:ascii="Arial" w:hAnsi="Arial" w:cs="Arial"/>
          <w:i/>
          <w:color w:val="4F81BD" w:themeColor="accent1"/>
          <w:sz w:val="22"/>
          <w:szCs w:val="22"/>
          <w:shd w:val="clear" w:color="auto" w:fill="FFFFFF"/>
        </w:rPr>
        <w:t> </w:t>
      </w:r>
      <w:r w:rsidRPr="00086D7F">
        <w:rPr>
          <w:rFonts w:ascii="Arial" w:hAnsi="Arial" w:cs="Arial"/>
          <w:i/>
          <w:color w:val="4F81BD" w:themeColor="accent1"/>
          <w:sz w:val="22"/>
          <w:szCs w:val="22"/>
          <w:shd w:val="clear" w:color="auto" w:fill="FFFFFF"/>
        </w:rPr>
        <w:t>que</w:t>
      </w:r>
      <w:r w:rsidRPr="00086D7F">
        <w:rPr>
          <w:rStyle w:val="apple-converted-space"/>
          <w:rFonts w:ascii="Arial" w:hAnsi="Arial" w:cs="Arial"/>
          <w:i/>
          <w:color w:val="4F81BD" w:themeColor="accent1"/>
          <w:sz w:val="22"/>
          <w:szCs w:val="22"/>
          <w:shd w:val="clear" w:color="auto" w:fill="FFFFFF"/>
        </w:rPr>
        <w:t> </w:t>
      </w:r>
      <w:r w:rsidRPr="00086D7F">
        <w:rPr>
          <w:rFonts w:ascii="Arial" w:hAnsi="Arial" w:cs="Arial"/>
          <w:i/>
          <w:color w:val="4F81BD" w:themeColor="accent1"/>
          <w:sz w:val="22"/>
          <w:szCs w:val="22"/>
          <w:shd w:val="clear" w:color="auto" w:fill="FFFFFF"/>
        </w:rPr>
        <w:t>se</w:t>
      </w:r>
      <w:r w:rsidRPr="00086D7F">
        <w:rPr>
          <w:rStyle w:val="apple-converted-space"/>
          <w:rFonts w:ascii="Arial" w:hAnsi="Arial" w:cs="Arial"/>
          <w:i/>
          <w:color w:val="4F81BD" w:themeColor="accent1"/>
          <w:sz w:val="22"/>
          <w:szCs w:val="22"/>
          <w:shd w:val="clear" w:color="auto" w:fill="FFFFFF"/>
        </w:rPr>
        <w:t> </w:t>
      </w:r>
      <w:r w:rsidRPr="00086D7F">
        <w:rPr>
          <w:rFonts w:ascii="Arial" w:hAnsi="Arial" w:cs="Arial"/>
          <w:i/>
          <w:color w:val="4F81BD" w:themeColor="accent1"/>
          <w:sz w:val="22"/>
          <w:szCs w:val="22"/>
          <w:shd w:val="clear" w:color="auto" w:fill="FFFFFF"/>
        </w:rPr>
        <w:t>ponga</w:t>
      </w:r>
      <w:r w:rsidRPr="00086D7F">
        <w:rPr>
          <w:rStyle w:val="apple-converted-space"/>
          <w:rFonts w:ascii="Arial" w:hAnsi="Arial" w:cs="Arial"/>
          <w:i/>
          <w:color w:val="4F81BD" w:themeColor="accent1"/>
          <w:sz w:val="22"/>
          <w:szCs w:val="22"/>
          <w:shd w:val="clear" w:color="auto" w:fill="FFFFFF"/>
        </w:rPr>
        <w:t> </w:t>
      </w:r>
      <w:r w:rsidRPr="00086D7F">
        <w:rPr>
          <w:rFonts w:ascii="Arial" w:hAnsi="Arial" w:cs="Arial"/>
          <w:i/>
          <w:color w:val="4F81BD" w:themeColor="accent1"/>
          <w:sz w:val="22"/>
          <w:szCs w:val="22"/>
          <w:shd w:val="clear" w:color="auto" w:fill="FFFFFF"/>
        </w:rPr>
        <w:t>a</w:t>
      </w:r>
      <w:r w:rsidRPr="00086D7F">
        <w:rPr>
          <w:rStyle w:val="apple-converted-space"/>
          <w:rFonts w:ascii="Arial" w:hAnsi="Arial" w:cs="Arial"/>
          <w:i/>
          <w:color w:val="4F81BD" w:themeColor="accent1"/>
          <w:sz w:val="22"/>
          <w:szCs w:val="22"/>
          <w:shd w:val="clear" w:color="auto" w:fill="FFFFFF"/>
        </w:rPr>
        <w:t> </w:t>
      </w:r>
      <w:r w:rsidRPr="00086D7F">
        <w:rPr>
          <w:rFonts w:ascii="Arial" w:hAnsi="Arial" w:cs="Arial"/>
          <w:i/>
          <w:color w:val="4F81BD" w:themeColor="accent1"/>
          <w:sz w:val="22"/>
          <w:szCs w:val="22"/>
          <w:shd w:val="clear" w:color="auto" w:fill="FFFFFF"/>
        </w:rPr>
        <w:t>disposición</w:t>
      </w:r>
      <w:r w:rsidRPr="00086D7F">
        <w:rPr>
          <w:rStyle w:val="apple-converted-space"/>
          <w:rFonts w:ascii="Arial" w:hAnsi="Arial" w:cs="Arial"/>
          <w:i/>
          <w:color w:val="4F81BD" w:themeColor="accent1"/>
          <w:sz w:val="22"/>
          <w:szCs w:val="22"/>
          <w:shd w:val="clear" w:color="auto" w:fill="FFFFFF"/>
        </w:rPr>
        <w:t> </w:t>
      </w:r>
      <w:r w:rsidRPr="00086D7F">
        <w:rPr>
          <w:rFonts w:ascii="Arial" w:hAnsi="Arial" w:cs="Arial"/>
          <w:i/>
          <w:color w:val="4F81BD" w:themeColor="accent1"/>
          <w:sz w:val="22"/>
          <w:szCs w:val="22"/>
          <w:shd w:val="clear" w:color="auto" w:fill="FFFFFF"/>
        </w:rPr>
        <w:t>de</w:t>
      </w:r>
      <w:r w:rsidRPr="00086D7F">
        <w:rPr>
          <w:rStyle w:val="apple-converted-space"/>
          <w:rFonts w:ascii="Arial" w:hAnsi="Arial" w:cs="Arial"/>
          <w:i/>
          <w:color w:val="4F81BD" w:themeColor="accent1"/>
          <w:sz w:val="22"/>
          <w:szCs w:val="22"/>
          <w:shd w:val="clear" w:color="auto" w:fill="FFFFFF"/>
        </w:rPr>
        <w:t> </w:t>
      </w:r>
      <w:r w:rsidRPr="00086D7F">
        <w:rPr>
          <w:rFonts w:ascii="Arial" w:hAnsi="Arial" w:cs="Arial"/>
          <w:i/>
          <w:color w:val="4F81BD" w:themeColor="accent1"/>
          <w:sz w:val="22"/>
          <w:szCs w:val="22"/>
          <w:shd w:val="clear" w:color="auto" w:fill="FFFFFF"/>
        </w:rPr>
        <w:t>cualquier</w:t>
      </w:r>
      <w:r w:rsidRPr="00086D7F">
        <w:rPr>
          <w:rStyle w:val="apple-converted-space"/>
          <w:rFonts w:ascii="Arial" w:hAnsi="Arial" w:cs="Arial"/>
          <w:i/>
          <w:color w:val="4F81BD" w:themeColor="accent1"/>
          <w:sz w:val="22"/>
          <w:szCs w:val="22"/>
          <w:shd w:val="clear" w:color="auto" w:fill="FFFFFF"/>
        </w:rPr>
        <w:t> </w:t>
      </w:r>
      <w:r w:rsidRPr="00086D7F">
        <w:rPr>
          <w:rFonts w:ascii="Arial" w:hAnsi="Arial" w:cs="Arial"/>
          <w:i/>
          <w:color w:val="4F81BD" w:themeColor="accent1"/>
          <w:sz w:val="22"/>
          <w:szCs w:val="22"/>
          <w:shd w:val="clear" w:color="auto" w:fill="FFFFFF"/>
        </w:rPr>
        <w:t>interesado,</w:t>
      </w:r>
      <w:r w:rsidRPr="00086D7F">
        <w:rPr>
          <w:rStyle w:val="apple-converted-space"/>
          <w:rFonts w:ascii="Arial" w:hAnsi="Arial" w:cs="Arial"/>
          <w:i/>
          <w:color w:val="4F81BD" w:themeColor="accent1"/>
          <w:sz w:val="22"/>
          <w:szCs w:val="22"/>
          <w:shd w:val="clear" w:color="auto" w:fill="FFFFFF"/>
        </w:rPr>
        <w:t> </w:t>
      </w:r>
      <w:r w:rsidRPr="00086D7F">
        <w:rPr>
          <w:rFonts w:ascii="Arial" w:hAnsi="Arial" w:cs="Arial"/>
          <w:i/>
          <w:color w:val="4F81BD" w:themeColor="accent1"/>
          <w:sz w:val="22"/>
          <w:szCs w:val="22"/>
          <w:shd w:val="clear" w:color="auto" w:fill="FFFFFF"/>
        </w:rPr>
        <w:t>como</w:t>
      </w:r>
      <w:r w:rsidRPr="00086D7F">
        <w:rPr>
          <w:rStyle w:val="apple-converted-space"/>
          <w:rFonts w:ascii="Arial" w:hAnsi="Arial" w:cs="Arial"/>
          <w:i/>
          <w:color w:val="4F81BD" w:themeColor="accent1"/>
          <w:sz w:val="22"/>
          <w:szCs w:val="22"/>
          <w:shd w:val="clear" w:color="auto" w:fill="FFFFFF"/>
        </w:rPr>
        <w:t> </w:t>
      </w:r>
      <w:r w:rsidRPr="00086D7F">
        <w:rPr>
          <w:rFonts w:ascii="Arial" w:hAnsi="Arial" w:cs="Arial"/>
          <w:i/>
          <w:color w:val="4F81BD" w:themeColor="accent1"/>
          <w:sz w:val="22"/>
          <w:szCs w:val="22"/>
          <w:shd w:val="clear" w:color="auto" w:fill="FFFFFF"/>
        </w:rPr>
        <w:t>resultado</w:t>
      </w:r>
      <w:r w:rsidRPr="00086D7F">
        <w:rPr>
          <w:rStyle w:val="apple-converted-space"/>
          <w:rFonts w:ascii="Arial" w:hAnsi="Arial" w:cs="Arial"/>
          <w:i/>
          <w:color w:val="4F81BD" w:themeColor="accent1"/>
          <w:sz w:val="22"/>
          <w:szCs w:val="22"/>
          <w:shd w:val="clear" w:color="auto" w:fill="FFFFFF"/>
        </w:rPr>
        <w:t> </w:t>
      </w:r>
      <w:r w:rsidRPr="00086D7F">
        <w:rPr>
          <w:rFonts w:ascii="Arial" w:hAnsi="Arial" w:cs="Arial"/>
          <w:i/>
          <w:color w:val="4F81BD" w:themeColor="accent1"/>
          <w:sz w:val="22"/>
          <w:szCs w:val="22"/>
          <w:shd w:val="clear" w:color="auto" w:fill="FFFFFF"/>
        </w:rPr>
        <w:t>de</w:t>
      </w:r>
      <w:r w:rsidRPr="00086D7F">
        <w:rPr>
          <w:rStyle w:val="apple-converted-space"/>
          <w:rFonts w:ascii="Arial" w:hAnsi="Arial" w:cs="Arial"/>
          <w:i/>
          <w:color w:val="4F81BD" w:themeColor="accent1"/>
          <w:sz w:val="22"/>
          <w:szCs w:val="22"/>
          <w:shd w:val="clear" w:color="auto" w:fill="FFFFFF"/>
        </w:rPr>
        <w:t> </w:t>
      </w:r>
      <w:r w:rsidRPr="00086D7F">
        <w:rPr>
          <w:rFonts w:ascii="Arial" w:hAnsi="Arial" w:cs="Arial"/>
          <w:i/>
          <w:color w:val="4F81BD" w:themeColor="accent1"/>
          <w:sz w:val="22"/>
          <w:szCs w:val="22"/>
          <w:shd w:val="clear" w:color="auto" w:fill="FFFFFF"/>
        </w:rPr>
        <w:t>las políticas públicas en materia de transparencia, debe ser veraz, confiable, oportuna, congruente, integral, actualizada, accesible, comprensible y verificable”.</w:t>
      </w:r>
    </w:p>
    <w:p w:rsidR="005B3590" w:rsidRPr="00086D7F" w:rsidRDefault="005B3590" w:rsidP="005B3590">
      <w:pPr>
        <w:spacing w:before="240"/>
        <w:rPr>
          <w:rFonts w:ascii="Arial" w:hAnsi="Arial" w:cs="Arial"/>
          <w:color w:val="4F81BD" w:themeColor="accent1"/>
          <w:szCs w:val="26"/>
        </w:rPr>
      </w:pPr>
      <w:r w:rsidRPr="00086D7F">
        <w:rPr>
          <w:rFonts w:ascii="Arial" w:hAnsi="Arial" w:cs="Arial"/>
          <w:color w:val="4F81BD" w:themeColor="accent1"/>
        </w:rPr>
        <w:tab/>
      </w:r>
      <w:r w:rsidRPr="00086D7F">
        <w:rPr>
          <w:rFonts w:ascii="Arial" w:hAnsi="Arial" w:cs="Arial"/>
          <w:color w:val="4F81BD" w:themeColor="accent1"/>
          <w:szCs w:val="26"/>
        </w:rPr>
        <w:t>A su vez y en atención a las características que trae aparejada la calidad de la información, resulta aplicable lo dispuesto por el artículo sexto de los citados lineamientos, que establece:</w:t>
      </w:r>
    </w:p>
    <w:p w:rsidR="005B3590" w:rsidRPr="00086D7F" w:rsidRDefault="005B3590" w:rsidP="00086D7F">
      <w:pPr>
        <w:spacing w:line="276" w:lineRule="auto"/>
        <w:ind w:left="709" w:firstLine="567"/>
        <w:rPr>
          <w:rFonts w:ascii="Arial" w:hAnsi="Arial" w:cs="Arial"/>
          <w:i/>
          <w:color w:val="4F81BD" w:themeColor="accent1"/>
          <w:sz w:val="22"/>
          <w:szCs w:val="22"/>
        </w:rPr>
      </w:pPr>
      <w:r w:rsidRPr="00086D7F">
        <w:rPr>
          <w:rFonts w:ascii="Arial" w:hAnsi="Arial" w:cs="Arial"/>
          <w:i/>
          <w:color w:val="4F81BD" w:themeColor="accent1"/>
          <w:sz w:val="22"/>
          <w:szCs w:val="22"/>
        </w:rPr>
        <w:t>Sexto. Con base en los atributos de calidad de la información y accesibilidad antes referidos, y en lo dispuesto por el artículo 61 de la Ley General, se establece que la información publicada en los portales de transparencia de los sujetos obligados y en la Plataforma Nacional, deberá contar además con las siguientes características: veracidad, confiabilidad, oportunidad, congruencia, integralidad, actualidad, accesibilidad, comprensibilidad y verificabilidad. (...).</w:t>
      </w:r>
    </w:p>
    <w:p w:rsidR="005B3590" w:rsidRPr="00086D7F" w:rsidRDefault="005B3590" w:rsidP="00D30EF7">
      <w:pPr>
        <w:spacing w:before="240" w:after="240"/>
        <w:ind w:firstLine="708"/>
        <w:rPr>
          <w:rFonts w:ascii="Arial" w:hAnsi="Arial" w:cs="Arial"/>
          <w:color w:val="4F81BD" w:themeColor="accent1"/>
          <w:szCs w:val="26"/>
        </w:rPr>
      </w:pPr>
      <w:r w:rsidRPr="00086D7F">
        <w:rPr>
          <w:rFonts w:ascii="Arial" w:hAnsi="Arial" w:cs="Arial"/>
          <w:color w:val="4F81BD" w:themeColor="accent1"/>
          <w:szCs w:val="26"/>
        </w:rPr>
        <w:t xml:space="preserve">En este sentido, es menester precisar que si bien es cierto, el particular señaló en su ocurso de solicitud de información que deseaba </w:t>
      </w:r>
      <w:r w:rsidRPr="00086D7F">
        <w:rPr>
          <w:rFonts w:ascii="Arial" w:hAnsi="Arial" w:cs="Arial"/>
          <w:color w:val="4F81BD" w:themeColor="accent1"/>
          <w:szCs w:val="26"/>
        </w:rPr>
        <w:lastRenderedPageBreak/>
        <w:t xml:space="preserve">recibir la información en su correo electrónico y que en caso de que el Ayuntamiento no contara con la documentación en digital, solicitaba copia simple de la misma, la cual sería cubierta a costa del solicitante, lo cierto es que dada la naturaleza de la información requerida, en este apartado, se puntualiza lo siguiente: </w:t>
      </w:r>
    </w:p>
    <w:p w:rsidR="005B3590" w:rsidRPr="00086D7F" w:rsidRDefault="00D30EF7" w:rsidP="005B3590">
      <w:pPr>
        <w:pStyle w:val="Textoindependienteprimerasangra"/>
        <w:spacing w:before="240"/>
        <w:ind w:firstLine="900"/>
        <w:rPr>
          <w:rFonts w:ascii="Arial" w:hAnsi="Arial" w:cs="Arial"/>
          <w:color w:val="4F81BD" w:themeColor="accent1"/>
          <w:szCs w:val="26"/>
        </w:rPr>
      </w:pPr>
      <w:r w:rsidRPr="00086D7F">
        <w:rPr>
          <w:rFonts w:ascii="Arial" w:hAnsi="Arial" w:cs="Arial"/>
          <w:color w:val="4F81BD" w:themeColor="accent1"/>
          <w:szCs w:val="26"/>
        </w:rPr>
        <w:t>Respecto al punto señalado como número uno de la solicitud de información del ciudadano peticionario en el que requirió “Las actas de cabildo ordinarias y extraordinarias correspondientes a los meses de enero de dos mil diecisiete, ya que no todas se encuent</w:t>
      </w:r>
      <w:r w:rsidR="008E44DF" w:rsidRPr="00086D7F">
        <w:rPr>
          <w:rFonts w:ascii="Arial" w:hAnsi="Arial" w:cs="Arial"/>
          <w:color w:val="4F81BD" w:themeColor="accent1"/>
          <w:szCs w:val="26"/>
        </w:rPr>
        <w:t xml:space="preserve">ra en su portal de información”, el sujeto obligado señaló que el área responsable remitió al </w:t>
      </w:r>
      <w:r w:rsidR="00086D7F" w:rsidRPr="00086D7F">
        <w:rPr>
          <w:rFonts w:ascii="Arial" w:hAnsi="Arial" w:cs="Arial"/>
          <w:color w:val="4F81BD" w:themeColor="accent1"/>
          <w:szCs w:val="26"/>
        </w:rPr>
        <w:t>área</w:t>
      </w:r>
      <w:r w:rsidR="008E44DF" w:rsidRPr="00086D7F">
        <w:rPr>
          <w:rFonts w:ascii="Arial" w:hAnsi="Arial" w:cs="Arial"/>
          <w:color w:val="4F81BD" w:themeColor="accent1"/>
          <w:szCs w:val="26"/>
        </w:rPr>
        <w:t xml:space="preserve"> a su cargo la información solicitada, resultando dieciséis actas correspondientes al periodo aludido, las cuales constan en seiscientos treinta y un fojas, por lo que para tal efecto indicó el coste de la reproducción de dicha información, conforme lo establecido en la fracción VII del artículo 35 de la Ley de Ingresos para el Municipio de Moctezuma, lo cual arroja un total  de mil doscientos sesenta y nueve pesos 00/100 M.N</w:t>
      </w:r>
      <w:r w:rsidR="005B3590" w:rsidRPr="00086D7F">
        <w:rPr>
          <w:rFonts w:ascii="Arial" w:hAnsi="Arial" w:cs="Arial"/>
          <w:color w:val="4F81BD" w:themeColor="accent1"/>
          <w:szCs w:val="26"/>
        </w:rPr>
        <w:t>.</w:t>
      </w:r>
    </w:p>
    <w:p w:rsidR="005B3590" w:rsidRPr="00086D7F" w:rsidRDefault="005B3590" w:rsidP="005B3590">
      <w:pPr>
        <w:pStyle w:val="Textoindependienteprimerasangra"/>
        <w:spacing w:before="240"/>
        <w:ind w:firstLine="900"/>
        <w:rPr>
          <w:rFonts w:ascii="Arial" w:hAnsi="Arial" w:cs="Arial"/>
          <w:color w:val="4F81BD" w:themeColor="accent1"/>
        </w:rPr>
      </w:pPr>
      <w:r w:rsidRPr="00086D7F">
        <w:rPr>
          <w:rFonts w:ascii="Arial" w:hAnsi="Arial" w:cs="Arial"/>
          <w:color w:val="4F81BD" w:themeColor="accent1"/>
          <w:szCs w:val="26"/>
        </w:rPr>
        <w:t>En efecto, el área responsable -</w:t>
      </w:r>
      <w:r w:rsidRPr="00086D7F">
        <w:rPr>
          <w:rFonts w:ascii="Arial" w:hAnsi="Arial" w:cs="Arial"/>
          <w:color w:val="4F81BD" w:themeColor="accent1"/>
        </w:rPr>
        <w:t xml:space="preserve">Secretaría General- como servidor público en ejercicio de sus funciones, en consonancia con lo dispuesto por los numerales 18 y 19 de la Ley de Transparencia Local, como área administrativa del Ayuntamiento de Moctezuma, deberán documentar todo acto que derive del ejercicio de sus facultades, competencias o funciones ya que se presume que la información debe existir si se refiere a las facultades, competencias y funciones que los ordenamientos jurídicos aplicables otorgan a los sujetos obligados; esta Comisión estima que dicha información debe estar documentada por el Sujeto Obligado ya que de conformidad con el artículo 77, fracciones IV y V de la Ley Orgánica del Municipio Libre de San Luis Potosí, establece que para el despacho de los asuntos y para auxiliar al Presidente en sus funciones, cada Ayuntamiento contará con un </w:t>
      </w:r>
      <w:r w:rsidRPr="00086D7F">
        <w:rPr>
          <w:rFonts w:ascii="Arial" w:hAnsi="Arial" w:cs="Arial"/>
          <w:b/>
          <w:color w:val="4F81BD" w:themeColor="accent1"/>
        </w:rPr>
        <w:t>Secretario, que conforme su competencia, atribuciones y facultades</w:t>
      </w:r>
      <w:r w:rsidRPr="00086D7F">
        <w:rPr>
          <w:rFonts w:ascii="Arial" w:hAnsi="Arial" w:cs="Arial"/>
          <w:color w:val="4F81BD" w:themeColor="accent1"/>
        </w:rPr>
        <w:t xml:space="preserve"> que le son otorgadas por el </w:t>
      </w:r>
      <w:r w:rsidRPr="00086D7F">
        <w:rPr>
          <w:rFonts w:ascii="Arial" w:hAnsi="Arial" w:cs="Arial"/>
          <w:color w:val="4F81BD" w:themeColor="accent1"/>
        </w:rPr>
        <w:lastRenderedPageBreak/>
        <w:t xml:space="preserve">ordenamiento legal de referencia –en lo que aquí interesa- </w:t>
      </w:r>
      <w:r w:rsidRPr="00086D7F">
        <w:rPr>
          <w:rFonts w:ascii="Arial" w:hAnsi="Arial" w:cs="Arial"/>
          <w:b/>
          <w:color w:val="4F81BD" w:themeColor="accent1"/>
        </w:rPr>
        <w:t xml:space="preserve">debe estar presente y consecuentemente, deberá levantar las actas al término de cada sesión y recabar las firmas de los miembros. </w:t>
      </w:r>
    </w:p>
    <w:p w:rsidR="005B3590" w:rsidRPr="00086D7F" w:rsidRDefault="005B3590" w:rsidP="005B3590">
      <w:pPr>
        <w:pStyle w:val="Textoindependienteprimerasangra"/>
        <w:spacing w:before="240"/>
        <w:ind w:firstLine="900"/>
        <w:rPr>
          <w:rFonts w:ascii="Arial" w:hAnsi="Arial" w:cs="Arial"/>
          <w:color w:val="4F81BD" w:themeColor="accent1"/>
        </w:rPr>
      </w:pPr>
      <w:r w:rsidRPr="00086D7F">
        <w:rPr>
          <w:rFonts w:ascii="Arial" w:hAnsi="Arial" w:cs="Arial"/>
          <w:color w:val="4F81BD" w:themeColor="accent1"/>
        </w:rPr>
        <w:t xml:space="preserve">Lo anterior, en virtud de que esta Comisión con fundamento en el numeral 176 de la Ley de Transparencia y Acceso a la Información Pública del Estado, indica al ayuntamiento de Moctezuma que la información requerida conforme su naturaleza, es considerada como obligación de transparencia de conformidad el dispositivo legal que se transcribe a continuación: </w:t>
      </w:r>
    </w:p>
    <w:p w:rsidR="005B3590" w:rsidRPr="00086D7F" w:rsidRDefault="005B3590" w:rsidP="00086D7F">
      <w:pPr>
        <w:pStyle w:val="Textoindependienteprimerasangra"/>
        <w:spacing w:before="240" w:line="276" w:lineRule="auto"/>
        <w:ind w:firstLine="900"/>
        <w:rPr>
          <w:rFonts w:ascii="Arial" w:hAnsi="Arial" w:cs="Arial"/>
          <w:b/>
          <w:i/>
          <w:color w:val="4F81BD" w:themeColor="accent1"/>
          <w:sz w:val="22"/>
          <w:szCs w:val="22"/>
        </w:rPr>
      </w:pPr>
      <w:r w:rsidRPr="00086D7F">
        <w:rPr>
          <w:rFonts w:ascii="Arial" w:hAnsi="Arial" w:cs="Arial"/>
          <w:b/>
          <w:i/>
          <w:color w:val="4F81BD" w:themeColor="accent1"/>
          <w:sz w:val="22"/>
          <w:szCs w:val="22"/>
        </w:rPr>
        <w:t>ARTÍCULO 85.</w:t>
      </w:r>
      <w:r w:rsidRPr="00086D7F">
        <w:rPr>
          <w:rFonts w:ascii="Arial" w:hAnsi="Arial" w:cs="Arial"/>
          <w:i/>
          <w:color w:val="4F81BD" w:themeColor="accent1"/>
          <w:sz w:val="22"/>
          <w:szCs w:val="22"/>
        </w:rPr>
        <w:t xml:space="preserve"> Además de lo señalado en el artículo anterior de esta Ley, el Ejecutivo del Estado y </w:t>
      </w:r>
      <w:r w:rsidRPr="00086D7F">
        <w:rPr>
          <w:rFonts w:ascii="Arial" w:hAnsi="Arial" w:cs="Arial"/>
          <w:b/>
          <w:i/>
          <w:color w:val="4F81BD" w:themeColor="accent1"/>
          <w:sz w:val="22"/>
          <w:szCs w:val="22"/>
        </w:rPr>
        <w:t>los municipios, según corresponda a su ámbito de competencia, deberán poner a disposición del público, de oficio, y en forma completa y actualizada la siguiente información [...]</w:t>
      </w:r>
    </w:p>
    <w:p w:rsidR="005B3590" w:rsidRPr="00086D7F" w:rsidRDefault="005B3590" w:rsidP="00086D7F">
      <w:pPr>
        <w:pStyle w:val="Textoindependienteprimerasangra"/>
        <w:spacing w:before="240" w:line="276" w:lineRule="auto"/>
        <w:ind w:firstLine="900"/>
        <w:rPr>
          <w:rFonts w:ascii="Arial" w:hAnsi="Arial" w:cs="Arial"/>
          <w:b/>
          <w:i/>
          <w:color w:val="4F81BD" w:themeColor="accent1"/>
          <w:sz w:val="22"/>
          <w:szCs w:val="22"/>
        </w:rPr>
      </w:pPr>
      <w:r w:rsidRPr="00086D7F">
        <w:rPr>
          <w:rFonts w:ascii="Arial" w:hAnsi="Arial" w:cs="Arial"/>
          <w:i/>
          <w:color w:val="4F81BD" w:themeColor="accent1"/>
          <w:sz w:val="22"/>
          <w:szCs w:val="22"/>
        </w:rPr>
        <w:t xml:space="preserve">[...] II. Adicionalmente, </w:t>
      </w:r>
      <w:r w:rsidRPr="00086D7F">
        <w:rPr>
          <w:rFonts w:ascii="Arial" w:hAnsi="Arial" w:cs="Arial"/>
          <w:b/>
          <w:i/>
          <w:color w:val="4F81BD" w:themeColor="accent1"/>
          <w:sz w:val="22"/>
          <w:szCs w:val="22"/>
        </w:rPr>
        <w:t xml:space="preserve">en el caso de los municipios: </w:t>
      </w:r>
    </w:p>
    <w:p w:rsidR="005B3590" w:rsidRPr="00086D7F" w:rsidRDefault="005B3590" w:rsidP="00086D7F">
      <w:pPr>
        <w:pStyle w:val="Textoindependienteprimerasangra"/>
        <w:spacing w:before="240" w:line="276" w:lineRule="auto"/>
        <w:ind w:firstLine="900"/>
        <w:rPr>
          <w:rFonts w:ascii="Arial" w:hAnsi="Arial" w:cs="Arial"/>
          <w:i/>
          <w:color w:val="4F81BD" w:themeColor="accent1"/>
          <w:sz w:val="22"/>
          <w:szCs w:val="22"/>
        </w:rPr>
      </w:pPr>
      <w:r w:rsidRPr="00086D7F">
        <w:rPr>
          <w:rFonts w:ascii="Arial" w:hAnsi="Arial" w:cs="Arial"/>
          <w:i/>
          <w:color w:val="4F81BD" w:themeColor="accent1"/>
          <w:sz w:val="22"/>
          <w:szCs w:val="22"/>
        </w:rPr>
        <w:t>c</w:t>
      </w:r>
      <w:r w:rsidRPr="00086D7F">
        <w:rPr>
          <w:rFonts w:ascii="Arial" w:hAnsi="Arial" w:cs="Arial"/>
          <w:b/>
          <w:i/>
          <w:color w:val="4F81BD" w:themeColor="accent1"/>
          <w:sz w:val="22"/>
          <w:szCs w:val="22"/>
        </w:rPr>
        <w:t>) Las actas de sesiones de cabildo</w:t>
      </w:r>
      <w:r w:rsidRPr="00086D7F">
        <w:rPr>
          <w:rFonts w:ascii="Arial" w:hAnsi="Arial" w:cs="Arial"/>
          <w:i/>
          <w:color w:val="4F81BD" w:themeColor="accent1"/>
          <w:sz w:val="22"/>
          <w:szCs w:val="22"/>
        </w:rPr>
        <w:t>, los controles de asistencia de los integrantes del ayuntamiento a las sesiones de cabildo y el sentido de votación de los miembros del cabildo sobre las iniciativas o acuerdos. [...].</w:t>
      </w:r>
    </w:p>
    <w:p w:rsidR="00D30EF7" w:rsidRPr="00086D7F" w:rsidRDefault="005B3590" w:rsidP="005B3590">
      <w:pPr>
        <w:pStyle w:val="Textoindependienteprimerasangra"/>
        <w:spacing w:before="240"/>
        <w:ind w:firstLine="900"/>
        <w:rPr>
          <w:rFonts w:ascii="Arial" w:hAnsi="Arial" w:cs="Arial"/>
          <w:color w:val="4F81BD" w:themeColor="accent1"/>
          <w:szCs w:val="26"/>
        </w:rPr>
      </w:pPr>
      <w:r w:rsidRPr="00086D7F">
        <w:rPr>
          <w:rFonts w:ascii="Arial" w:hAnsi="Arial" w:cs="Arial"/>
          <w:color w:val="4F81BD" w:themeColor="accent1"/>
          <w:szCs w:val="26"/>
        </w:rPr>
        <w:t xml:space="preserve">Conforme a la naturaleza de la información que se solicita, se atiende que son obligaciones de transparencia aquellas que describen la información que deberán de poner a disposición de los particulares y mantener actualizada en los sitios de internet correspondientes y en la Plataforma Nacional todos los sujetos obligados, como lo es en la presente causa, las actas de cabildo que requiere el solicitante, por lo que en el caso concreto se estima que la información que se le solicita a la autoridad, éste si la posee y por ende debe proporcionarla, por lo que resulta inconcuso que se le proporcione únicamente el coste de la misma, cuando lo cierto es que por tratarse de una obligación contenida en la Ley de la materia, esta debe proporcionársele en términos del artículo </w:t>
      </w:r>
      <w:r w:rsidRPr="00086D7F">
        <w:rPr>
          <w:rFonts w:ascii="Arial" w:hAnsi="Arial" w:cs="Arial"/>
          <w:b/>
          <w:color w:val="4F81BD" w:themeColor="accent1"/>
          <w:szCs w:val="26"/>
        </w:rPr>
        <w:t>85, fracción II, inciso c, de la Ley de la materia</w:t>
      </w:r>
      <w:r w:rsidRPr="00086D7F">
        <w:rPr>
          <w:rFonts w:ascii="Arial" w:hAnsi="Arial" w:cs="Arial"/>
          <w:color w:val="4F81BD" w:themeColor="accent1"/>
          <w:szCs w:val="26"/>
        </w:rPr>
        <w:t xml:space="preserve">, sin coste alguno, es decir que proporcione la dirección electrónica en la cual se encuentra contenida la misma. </w:t>
      </w:r>
    </w:p>
    <w:p w:rsidR="005B3590" w:rsidRPr="00086D7F" w:rsidRDefault="005B3590" w:rsidP="005B3590">
      <w:pPr>
        <w:pStyle w:val="Textoindependienteprimerasangra"/>
        <w:spacing w:before="240"/>
        <w:ind w:firstLine="900"/>
        <w:rPr>
          <w:rFonts w:ascii="Arial" w:hAnsi="Arial" w:cs="Arial"/>
          <w:color w:val="4F81BD" w:themeColor="accent1"/>
        </w:rPr>
      </w:pPr>
      <w:r w:rsidRPr="00086D7F">
        <w:rPr>
          <w:rFonts w:ascii="Arial" w:hAnsi="Arial" w:cs="Arial"/>
          <w:color w:val="4F81BD" w:themeColor="accent1"/>
          <w:szCs w:val="26"/>
        </w:rPr>
        <w:lastRenderedPageBreak/>
        <w:t>Respecto al directorio de servidores públicos con referencia a sus ingresos actualizado al mes de noviembre de dos mil diecisiete, así como copia de las nóminas para su cotejo, el sujeto obligado señaló que dicha información se encontraba contenida en diecisiete fojas, pero en atención a la naturaleza de la información, se indica a la autoridad que ésta debe ser puesta a su disposición en términos del artículo 84, fracción XI de la Ley de Transparencia y Acceso a la Información Pública del Estado, sin coste alguno, es decir que proporcione la dirección electrónica en la cual se encuentra contenida la misma, a excepción de las copias simples de los recibos de nómina, los cuales deberá indicar el coste y en su caso atender el principio de gratuidad establecido en el numeral 165, fracción III, párrafo cuarto, (</w:t>
      </w:r>
      <w:r w:rsidRPr="00086D7F">
        <w:rPr>
          <w:rFonts w:ascii="Arial" w:hAnsi="Arial" w:cs="Arial"/>
          <w:color w:val="4F81BD" w:themeColor="accent1"/>
        </w:rPr>
        <w:t>La información deberá ser entregada sin costo, cuando implique la entrega de no más de veinte hojas simples).</w:t>
      </w:r>
    </w:p>
    <w:p w:rsidR="005B3590" w:rsidRPr="00086D7F" w:rsidRDefault="005B3590" w:rsidP="005B3590">
      <w:pPr>
        <w:pStyle w:val="Textoindependienteprimerasangra"/>
        <w:spacing w:before="240"/>
        <w:ind w:firstLine="900"/>
        <w:rPr>
          <w:rFonts w:ascii="Arial" w:hAnsi="Arial" w:cs="Arial"/>
          <w:color w:val="4F81BD" w:themeColor="accent1"/>
          <w:szCs w:val="26"/>
        </w:rPr>
      </w:pPr>
      <w:r w:rsidRPr="00086D7F">
        <w:rPr>
          <w:rFonts w:ascii="Arial" w:hAnsi="Arial" w:cs="Arial"/>
          <w:color w:val="4F81BD" w:themeColor="accent1"/>
        </w:rPr>
        <w:t xml:space="preserve">Respecto a la lista de beneficiarios de programas sociales, así como apoyos directos otorgados por el municipio, el sujeto obligado indicó que dicha información se encuentra contenida en veintisiete fojas simples, no obstante </w:t>
      </w:r>
      <w:r w:rsidRPr="00086D7F">
        <w:rPr>
          <w:rFonts w:ascii="Arial" w:hAnsi="Arial" w:cs="Arial"/>
          <w:color w:val="4F81BD" w:themeColor="accent1"/>
          <w:szCs w:val="26"/>
        </w:rPr>
        <w:t>en atención a la naturaleza de la información, se indica a la autoridad que ésta debe ser puesta a disposición del particular en términos del artículo 84, fracción X de la Ley de Transparencia y Acceso a la Información Pública del Estado, sin coste alguno, es decir que proporcione la dirección electrónica en la cual se encuentra contenida la misma.</w:t>
      </w:r>
    </w:p>
    <w:p w:rsidR="00810FBC" w:rsidRPr="00086D7F" w:rsidRDefault="00810FBC" w:rsidP="005B3590">
      <w:pPr>
        <w:pStyle w:val="Textoindependienteprimerasangra"/>
        <w:spacing w:before="240"/>
        <w:ind w:firstLine="900"/>
        <w:rPr>
          <w:rFonts w:ascii="Arial" w:hAnsi="Arial" w:cs="Arial"/>
          <w:color w:val="4F81BD" w:themeColor="accent1"/>
          <w:szCs w:val="26"/>
        </w:rPr>
      </w:pPr>
      <w:r w:rsidRPr="00086D7F">
        <w:rPr>
          <w:rFonts w:ascii="Arial" w:hAnsi="Arial" w:cs="Arial"/>
          <w:color w:val="4F81BD" w:themeColor="accent1"/>
          <w:szCs w:val="26"/>
        </w:rPr>
        <w:t>Por otra parte, referente a la información de ingresos y egresos correspondientes de enero a diciembre de dos mi diecisiete, indicó que lo peticionado se encuentra en tres fojas simples, por lo que para este punto en concreto deberá indicar el coste y en su caso atender el principio de gratuidad establecido en el numeral 165, fracción III, párrafo cuarto, (</w:t>
      </w:r>
      <w:r w:rsidRPr="00086D7F">
        <w:rPr>
          <w:rFonts w:ascii="Arial" w:hAnsi="Arial" w:cs="Arial"/>
          <w:color w:val="4F81BD" w:themeColor="accent1"/>
        </w:rPr>
        <w:t>La información deberá ser entregada sin costo, cuando implique la entrega de no más de veinte hojas simples).</w:t>
      </w:r>
    </w:p>
    <w:p w:rsidR="00810FBC" w:rsidRPr="00086D7F" w:rsidRDefault="00810FBC" w:rsidP="00810FBC">
      <w:pPr>
        <w:spacing w:before="240" w:after="240"/>
        <w:ind w:firstLine="708"/>
        <w:rPr>
          <w:rFonts w:ascii="Arial" w:hAnsi="Arial" w:cs="Arial"/>
          <w:color w:val="4F81BD" w:themeColor="accent1"/>
        </w:rPr>
      </w:pPr>
      <w:r w:rsidRPr="00086D7F">
        <w:rPr>
          <w:rFonts w:ascii="Arial" w:hAnsi="Arial" w:cs="Arial"/>
          <w:color w:val="4F81BD" w:themeColor="accent1"/>
          <w:szCs w:val="26"/>
        </w:rPr>
        <w:t xml:space="preserve">Lo anterior, conforme </w:t>
      </w:r>
      <w:r w:rsidRPr="00086D7F">
        <w:rPr>
          <w:rFonts w:ascii="Arial" w:hAnsi="Arial" w:cs="Arial"/>
          <w:color w:val="4F81BD" w:themeColor="accent1"/>
        </w:rPr>
        <w:t xml:space="preserve">al contenido de la fracción XX del artículo de la Ley de Transparencia y Acceso a la Información Pública del Estado de </w:t>
      </w:r>
      <w:r w:rsidRPr="00086D7F">
        <w:rPr>
          <w:rFonts w:ascii="Arial" w:hAnsi="Arial" w:cs="Arial"/>
          <w:color w:val="4F81BD" w:themeColor="accent1"/>
        </w:rPr>
        <w:lastRenderedPageBreak/>
        <w:t xml:space="preserve">San Luis Potosí, ya que las obligaciones de transparencia son la información que los sujetos obligados </w:t>
      </w:r>
      <w:proofErr w:type="gramStart"/>
      <w:r w:rsidRPr="00086D7F">
        <w:rPr>
          <w:rFonts w:ascii="Arial" w:hAnsi="Arial" w:cs="Arial"/>
          <w:color w:val="4F81BD" w:themeColor="accent1"/>
        </w:rPr>
        <w:t>deben</w:t>
      </w:r>
      <w:proofErr w:type="gramEnd"/>
      <w:r w:rsidRPr="00086D7F">
        <w:rPr>
          <w:rFonts w:ascii="Arial" w:hAnsi="Arial" w:cs="Arial"/>
          <w:color w:val="4F81BD" w:themeColor="accent1"/>
        </w:rPr>
        <w:t xml:space="preserve"> difundir de manera obligatoria, permanente y actualizada, sin que medie para ello, solicitud de acceso.</w:t>
      </w:r>
    </w:p>
    <w:p w:rsidR="00810FBC" w:rsidRPr="00086D7F" w:rsidRDefault="00810FBC" w:rsidP="00810FBC">
      <w:pPr>
        <w:spacing w:before="240" w:after="240"/>
        <w:ind w:firstLine="708"/>
        <w:rPr>
          <w:rFonts w:ascii="Arial" w:hAnsi="Arial" w:cs="Arial"/>
          <w:color w:val="4F81BD" w:themeColor="accent1"/>
        </w:rPr>
      </w:pPr>
      <w:r w:rsidRPr="00086D7F">
        <w:rPr>
          <w:rFonts w:ascii="Arial" w:hAnsi="Arial" w:cs="Arial"/>
          <w:color w:val="4F81BD" w:themeColor="accent1"/>
        </w:rPr>
        <w:t>Las obligaciones mínimas de transparencia comunes y específicas a los sujetos obligados, las cuales en relación a la ley que se abrogo, se ampliaron de manera cuantitativa y cualitativa, lo cual presupone el deber de los órganos e instancias del Estado de informar, de manera permanente, completa, actualizada, oportuna y pertinente, sobre sus actividades, funciones, ejercicio del gasto público y resultados, a fin de permitir mostrar a la ciudadanía la información que deriva del quehacer público de forma proactiva.</w:t>
      </w:r>
    </w:p>
    <w:p w:rsidR="00810FBC" w:rsidRPr="00086D7F" w:rsidRDefault="00810FBC" w:rsidP="00810FBC">
      <w:pPr>
        <w:spacing w:before="240" w:after="240"/>
        <w:ind w:firstLine="708"/>
        <w:rPr>
          <w:rFonts w:ascii="Arial" w:hAnsi="Arial" w:cs="Arial"/>
          <w:color w:val="4F81BD" w:themeColor="accent1"/>
        </w:rPr>
      </w:pPr>
      <w:r w:rsidRPr="00086D7F">
        <w:rPr>
          <w:rFonts w:ascii="Arial" w:hAnsi="Arial" w:cs="Arial"/>
          <w:color w:val="4F81BD" w:themeColor="accent1"/>
        </w:rPr>
        <w:t>Por otra parte, los numerales 24, fracción XI y 25, de la normatividad en cita, señalan que los sujetos obligados deberán cumplir con la publicación y actualización de la información relativa a las obligaciones de transparencia, en virtud de que la autoridad es el responsable del cumplimiento de las obligaciones, procedimientos y responsabilidades establecidas en la Constitución Política de los Estados Unidos Mexicanos, la Constitución Política del Estado de San Luis Potosí, la Ley General, y la Ley de Transparencia Local, en los términos que las mismas determinen.</w:t>
      </w:r>
    </w:p>
    <w:p w:rsidR="00810FBC" w:rsidRPr="00086D7F" w:rsidRDefault="00810FBC" w:rsidP="00810FBC">
      <w:pPr>
        <w:spacing w:before="240" w:after="240"/>
        <w:ind w:firstLine="708"/>
        <w:rPr>
          <w:rFonts w:ascii="Arial" w:hAnsi="Arial" w:cs="Arial"/>
          <w:color w:val="4F81BD" w:themeColor="accent1"/>
        </w:rPr>
      </w:pPr>
      <w:r w:rsidRPr="00086D7F">
        <w:rPr>
          <w:rFonts w:ascii="Arial" w:hAnsi="Arial" w:cs="Arial"/>
          <w:color w:val="4F81BD" w:themeColor="accent1"/>
        </w:rPr>
        <w:t>Para el cumplimiento de las obligaciones previstas en la  Ley de la materia, los sujetos obligados podrán desarrollar o adoptar, en lo individual o en acuerdo con otros sujetos obligados, esquemas de mejores prácticas que tengan por objeto:  Elevar el nivel de cumplimiento de las disposiciones previstas en la Ley de Transparencia y Acceso a la Información pública del Estado de San Luis Potosí; armonizar el acceso a la información por sectores; facilitar el ejercicio del derecho de acceso a la información a las personas, y procurar la accesibilidad de la información.</w:t>
      </w:r>
    </w:p>
    <w:p w:rsidR="00810FBC" w:rsidRPr="00086D7F" w:rsidRDefault="00810FBC" w:rsidP="00810FBC">
      <w:pPr>
        <w:spacing w:before="240" w:after="240"/>
        <w:ind w:firstLine="708"/>
        <w:rPr>
          <w:rFonts w:ascii="Arial" w:hAnsi="Arial" w:cs="Arial"/>
          <w:color w:val="4F81BD" w:themeColor="accent1"/>
        </w:rPr>
      </w:pPr>
      <w:r w:rsidRPr="00086D7F">
        <w:rPr>
          <w:rFonts w:ascii="Arial" w:hAnsi="Arial" w:cs="Arial"/>
          <w:color w:val="4F81BD" w:themeColor="accent1"/>
        </w:rPr>
        <w:lastRenderedPageBreak/>
        <w:t xml:space="preserve">Por tanto, los sujetos obligados pondrán a disposición del público y mantendrán actualizada, en los respectivos medios electrónicos, de acuerdo con sus facultades, atribuciones, funciones u objeto social, según corresponda, la información, por lo menos, de los temas, documentos y políticas que le correspondan a la autoridad, tal y como lo prevé la Ley de Transparencia Local, mismas que han quedado establecidas en la Tabla de aplicabilidad de obligaciones de transparencia de los sujetos obligados del Estado y Municipios de San Luis Potosí, aprobado por acuerdo CEGAIP-216-2017.S.E. </w:t>
      </w:r>
      <w:proofErr w:type="gramStart"/>
      <w:r w:rsidRPr="00086D7F">
        <w:rPr>
          <w:rFonts w:ascii="Arial" w:hAnsi="Arial" w:cs="Arial"/>
          <w:color w:val="4F81BD" w:themeColor="accent1"/>
        </w:rPr>
        <w:t>de</w:t>
      </w:r>
      <w:proofErr w:type="gramEnd"/>
      <w:r w:rsidRPr="00086D7F">
        <w:rPr>
          <w:rFonts w:ascii="Arial" w:hAnsi="Arial" w:cs="Arial"/>
          <w:color w:val="4F81BD" w:themeColor="accent1"/>
        </w:rPr>
        <w:t xml:space="preserve"> fecha del 8 de marzo del 2017.</w:t>
      </w:r>
    </w:p>
    <w:p w:rsidR="005B3590" w:rsidRPr="00086D7F" w:rsidRDefault="005B3590" w:rsidP="005B3590">
      <w:pPr>
        <w:pStyle w:val="Textoindependienteprimerasangra"/>
        <w:spacing w:before="240"/>
        <w:ind w:firstLine="900"/>
        <w:rPr>
          <w:rFonts w:ascii="Arial" w:hAnsi="Arial" w:cs="Arial"/>
          <w:b/>
          <w:color w:val="4F81BD" w:themeColor="accent1"/>
          <w:szCs w:val="26"/>
          <w:u w:val="single"/>
        </w:rPr>
      </w:pPr>
      <w:r w:rsidRPr="00086D7F">
        <w:rPr>
          <w:rFonts w:ascii="Arial" w:eastAsia="Arial Unicode MS" w:hAnsi="Arial" w:cs="Arial"/>
          <w:b/>
          <w:color w:val="4F81BD" w:themeColor="accent1"/>
          <w:u w:val="single"/>
          <w:lang w:val="es-MX"/>
        </w:rPr>
        <w:t xml:space="preserve">Consecuentemente, esta Comisión con fundamento en lo establecido por el artículo 175, fracción III, modifica la respuesta emitida por el sujeto obligado para efectos de que proporcione la información solicitada en los términos del artículo </w:t>
      </w:r>
      <w:r w:rsidRPr="00086D7F">
        <w:rPr>
          <w:rFonts w:ascii="Arial" w:hAnsi="Arial" w:cs="Arial"/>
          <w:b/>
          <w:color w:val="4F81BD" w:themeColor="accent1"/>
          <w:szCs w:val="26"/>
          <w:u w:val="single"/>
        </w:rPr>
        <w:t xml:space="preserve">85, fracción II, inciso c y </w:t>
      </w:r>
      <w:r w:rsidRPr="00086D7F">
        <w:rPr>
          <w:rFonts w:ascii="Arial" w:eastAsia="Arial Unicode MS" w:hAnsi="Arial" w:cs="Arial"/>
          <w:b/>
          <w:color w:val="4F81BD" w:themeColor="accent1"/>
          <w:u w:val="single"/>
          <w:lang w:val="es-MX"/>
        </w:rPr>
        <w:t xml:space="preserve">84, fracciones X y </w:t>
      </w:r>
      <w:r w:rsidRPr="00086D7F">
        <w:rPr>
          <w:rFonts w:ascii="Arial" w:hAnsi="Arial" w:cs="Arial"/>
          <w:b/>
          <w:color w:val="4F81BD" w:themeColor="accent1"/>
          <w:szCs w:val="26"/>
          <w:u w:val="single"/>
        </w:rPr>
        <w:t>XI de la Ley de Transparencia y Acceso a la Información Pública del Estado, es decir que proporcione la dirección electrónica en la cual se encuentra contenida la misma.</w:t>
      </w:r>
    </w:p>
    <w:p w:rsidR="005B3590" w:rsidRPr="00086D7F" w:rsidRDefault="005B3590" w:rsidP="005B3590">
      <w:pPr>
        <w:pStyle w:val="Textoindependienteprimerasangra"/>
        <w:spacing w:before="240"/>
        <w:ind w:firstLine="900"/>
        <w:rPr>
          <w:rFonts w:ascii="Arial" w:hAnsi="Arial" w:cs="Arial"/>
          <w:b/>
          <w:color w:val="4F81BD" w:themeColor="accent1"/>
          <w:u w:val="single"/>
        </w:rPr>
      </w:pPr>
      <w:r w:rsidRPr="00086D7F">
        <w:rPr>
          <w:rFonts w:ascii="Arial" w:eastAsia="Arial Unicode MS" w:hAnsi="Arial" w:cs="Arial"/>
          <w:b/>
          <w:color w:val="4F81BD" w:themeColor="accent1"/>
          <w:u w:val="single"/>
          <w:lang w:val="es-MX"/>
        </w:rPr>
        <w:t xml:space="preserve">Respecto a la información contenida en copias simples, la autoridad deberá </w:t>
      </w:r>
      <w:r w:rsidRPr="00086D7F">
        <w:rPr>
          <w:rFonts w:ascii="Arial" w:hAnsi="Arial" w:cs="Arial"/>
          <w:b/>
          <w:color w:val="4F81BD" w:themeColor="accent1"/>
          <w:szCs w:val="26"/>
          <w:u w:val="single"/>
        </w:rPr>
        <w:t>indicar el coste que tendrá la reproducción de la misma y en su caso deberá atender el principio de gratuidad establecido en el numeral 165, fracción III, párrafo cuarto, (</w:t>
      </w:r>
      <w:r w:rsidRPr="00086D7F">
        <w:rPr>
          <w:rFonts w:ascii="Arial" w:hAnsi="Arial" w:cs="Arial"/>
          <w:b/>
          <w:color w:val="4F81BD" w:themeColor="accent1"/>
          <w:u w:val="single"/>
        </w:rPr>
        <w:t>La información deberá ser entregada sin costo, cuando implique la entrega de no más de veinte hojas simples).</w:t>
      </w:r>
    </w:p>
    <w:p w:rsidR="005B3590" w:rsidRPr="00086D7F" w:rsidRDefault="005B3590" w:rsidP="005B3590">
      <w:pPr>
        <w:pStyle w:val="Prrafodelista"/>
        <w:shd w:val="clear" w:color="auto" w:fill="FFFFFF"/>
        <w:spacing w:before="240" w:after="240"/>
        <w:ind w:left="0"/>
        <w:rPr>
          <w:rFonts w:ascii="Arial" w:hAnsi="Arial" w:cs="Arial"/>
          <w:color w:val="4F81BD" w:themeColor="accent1"/>
          <w:szCs w:val="26"/>
          <w:lang w:eastAsia="es-MX"/>
        </w:rPr>
      </w:pPr>
      <w:r w:rsidRPr="00086D7F">
        <w:rPr>
          <w:rFonts w:ascii="Arial" w:hAnsi="Arial" w:cs="Arial"/>
          <w:color w:val="4F81BD" w:themeColor="accent1"/>
        </w:rPr>
        <w:tab/>
      </w:r>
      <w:r w:rsidRPr="00086D7F">
        <w:rPr>
          <w:rFonts w:ascii="Arial" w:eastAsia="Arial Unicode MS" w:hAnsi="Arial" w:cs="Arial"/>
          <w:color w:val="4F81BD" w:themeColor="accent1"/>
        </w:rPr>
        <w:t>Para efectos del cumplimiento de la presente resolución resulta pertinente tomar en cuenta las siguientes precisiones:</w:t>
      </w:r>
      <w:r w:rsidRPr="00086D7F">
        <w:rPr>
          <w:rFonts w:ascii="Arial" w:hAnsi="Arial" w:cs="Arial"/>
          <w:color w:val="4F81BD" w:themeColor="accent1"/>
          <w:szCs w:val="26"/>
          <w:lang w:eastAsia="es-MX"/>
        </w:rPr>
        <w:t> </w:t>
      </w:r>
    </w:p>
    <w:p w:rsidR="005B3590" w:rsidRPr="00086D7F" w:rsidRDefault="005B3590" w:rsidP="005B3590">
      <w:pPr>
        <w:spacing w:before="240"/>
        <w:rPr>
          <w:rFonts w:ascii="Arial" w:hAnsi="Arial" w:cs="Arial"/>
          <w:b/>
          <w:color w:val="4F81BD" w:themeColor="accent1"/>
        </w:rPr>
      </w:pPr>
      <w:r w:rsidRPr="00086D7F">
        <w:rPr>
          <w:rFonts w:ascii="Arial" w:hAnsi="Arial" w:cs="Arial"/>
          <w:color w:val="4F81BD" w:themeColor="accent1"/>
        </w:rPr>
        <w:tab/>
        <w:t xml:space="preserve">Con fundamento en los artículos 175, último párrafo y 183 de la Ley de Transparencia y Acceso a la Información Pública del Estado, se le concede al ente obligado el término de </w:t>
      </w:r>
      <w:r w:rsidRPr="00086D7F">
        <w:rPr>
          <w:rFonts w:ascii="Arial" w:hAnsi="Arial" w:cs="Arial"/>
          <w:b/>
          <w:color w:val="4F81BD" w:themeColor="accent1"/>
        </w:rPr>
        <w:t xml:space="preserve">10 diez días, </w:t>
      </w:r>
      <w:r w:rsidRPr="00086D7F">
        <w:rPr>
          <w:rFonts w:ascii="Arial" w:hAnsi="Arial" w:cs="Arial"/>
          <w:b/>
          <w:bCs/>
          <w:color w:val="4F81BD" w:themeColor="accent1"/>
          <w:szCs w:val="26"/>
          <w:lang w:val="es-MX" w:eastAsia="es-MX"/>
        </w:rPr>
        <w:t>contados a partir del día siguiente de su notificación,</w:t>
      </w:r>
      <w:r w:rsidRPr="00086D7F">
        <w:rPr>
          <w:rFonts w:ascii="Arial" w:hAnsi="Arial" w:cs="Arial"/>
          <w:b/>
          <w:color w:val="4F81BD" w:themeColor="accent1"/>
        </w:rPr>
        <w:t xml:space="preserve"> para que de cumplimiento a lo ordenado en la presente resolución.</w:t>
      </w:r>
    </w:p>
    <w:p w:rsidR="005B3590" w:rsidRPr="00086D7F" w:rsidRDefault="005B3590" w:rsidP="005B3590">
      <w:pPr>
        <w:spacing w:before="240"/>
        <w:rPr>
          <w:rFonts w:ascii="Arial" w:hAnsi="Arial" w:cs="Arial"/>
          <w:color w:val="4F81BD" w:themeColor="accent1"/>
        </w:rPr>
      </w:pPr>
      <w:r w:rsidRPr="00086D7F">
        <w:rPr>
          <w:rFonts w:ascii="Arial" w:hAnsi="Arial" w:cs="Arial"/>
          <w:color w:val="4F81BD" w:themeColor="accent1"/>
        </w:rPr>
        <w:lastRenderedPageBreak/>
        <w:tab/>
        <w:t>Se estima el plazo de 10 diez días, puesto que el ente obligado deberá entregar al particular lo requerido, por lo que en analogía al artículo 154 de la Ley de Transparencia y Acceso a la Información Pública es que se concede dicho término.</w:t>
      </w:r>
    </w:p>
    <w:p w:rsidR="005B3590" w:rsidRPr="00086D7F" w:rsidRDefault="005B3590" w:rsidP="005B3590">
      <w:pPr>
        <w:shd w:val="clear" w:color="auto" w:fill="FFFFFF"/>
        <w:spacing w:before="240"/>
        <w:ind w:firstLine="708"/>
        <w:rPr>
          <w:rFonts w:ascii="Arial" w:hAnsi="Arial" w:cs="Arial"/>
          <w:b/>
          <w:bCs/>
          <w:color w:val="4F81BD" w:themeColor="accent1"/>
          <w:szCs w:val="26"/>
          <w:lang w:val="es-MX" w:eastAsia="es-MX"/>
        </w:rPr>
      </w:pPr>
      <w:r w:rsidRPr="00086D7F">
        <w:rPr>
          <w:rFonts w:ascii="Arial" w:hAnsi="Arial" w:cs="Arial"/>
          <w:b/>
          <w:bCs/>
          <w:color w:val="4F81BD" w:themeColor="accent1"/>
          <w:szCs w:val="26"/>
          <w:lang w:val="es-MX" w:eastAsia="es-MX"/>
        </w:rPr>
        <w:t xml:space="preserve">Se hace del conocimiento del sujeto obligado que la presente resolución causa ejecutoría al momento de su aprobación, en virtud de que no admite recurso alguno, ya que no se actualiza ninguna de las hipótesis previstas en el artículo 160 de la Ley General de Transparencia y Acceso a la Información Pública; por lo que el término para dar cumplimiento, comenzará a partir de su notificación. </w:t>
      </w:r>
    </w:p>
    <w:p w:rsidR="005B3590" w:rsidRPr="00086D7F" w:rsidRDefault="005B3590" w:rsidP="005B3590">
      <w:pPr>
        <w:shd w:val="clear" w:color="auto" w:fill="FFFFFF"/>
        <w:spacing w:before="240"/>
        <w:ind w:firstLine="708"/>
        <w:rPr>
          <w:rFonts w:ascii="Arial" w:hAnsi="Arial" w:cs="Arial"/>
          <w:b/>
          <w:bCs/>
          <w:color w:val="4F81BD" w:themeColor="accent1"/>
          <w:szCs w:val="26"/>
          <w:lang w:val="es-MX" w:eastAsia="es-MX"/>
        </w:rPr>
      </w:pPr>
      <w:r w:rsidRPr="00086D7F">
        <w:rPr>
          <w:rFonts w:ascii="Arial" w:hAnsi="Arial" w:cs="Arial"/>
          <w:b/>
          <w:bCs/>
          <w:color w:val="4F81BD" w:themeColor="accent1"/>
          <w:szCs w:val="26"/>
          <w:lang w:val="es-MX" w:eastAsia="es-MX"/>
        </w:rPr>
        <w:t xml:space="preserve">Una vez concluido dicho plazo, </w:t>
      </w:r>
      <w:r w:rsidRPr="00086D7F">
        <w:rPr>
          <w:rFonts w:ascii="Arial" w:hAnsi="Arial" w:cs="Arial"/>
          <w:color w:val="4F81BD" w:themeColor="accent1"/>
          <w:szCs w:val="26"/>
          <w:lang w:val="es-MX" w:eastAsia="es-MX"/>
        </w:rPr>
        <w:t>dentro de los 03 tres días hábiles siguientes, deberá</w:t>
      </w:r>
      <w:r w:rsidRPr="00086D7F">
        <w:rPr>
          <w:rFonts w:ascii="Arial" w:hAnsi="Arial" w:cs="Arial"/>
          <w:b/>
          <w:bCs/>
          <w:color w:val="4F81BD" w:themeColor="accent1"/>
          <w:szCs w:val="26"/>
          <w:lang w:val="es-MX" w:eastAsia="es-MX"/>
        </w:rPr>
        <w:t xml:space="preserve"> </w:t>
      </w:r>
      <w:r w:rsidRPr="00086D7F">
        <w:rPr>
          <w:rFonts w:ascii="Arial" w:hAnsi="Arial" w:cs="Arial"/>
          <w:color w:val="4F81BD" w:themeColor="accent1"/>
          <w:szCs w:val="26"/>
          <w:lang w:val="es-MX" w:eastAsia="es-MX"/>
        </w:rPr>
        <w:t>informar el cumplimiento al presente fallo con los documentos fehacientes</w:t>
      </w:r>
      <w:r w:rsidRPr="00086D7F">
        <w:rPr>
          <w:rFonts w:ascii="Arial" w:hAnsi="Arial" w:cs="Arial"/>
          <w:color w:val="4F81BD" w:themeColor="accent1"/>
          <w:lang w:val="es-MX" w:eastAsia="es-MX"/>
        </w:rPr>
        <w:t> </w:t>
      </w:r>
      <w:r w:rsidRPr="00086D7F">
        <w:rPr>
          <w:rFonts w:ascii="Arial" w:hAnsi="Arial" w:cs="Arial"/>
          <w:b/>
          <w:bCs/>
          <w:color w:val="4F81BD" w:themeColor="accent1"/>
          <w:szCs w:val="26"/>
          <w:lang w:val="es-MX" w:eastAsia="es-MX"/>
        </w:rPr>
        <w:t>(</w:t>
      </w:r>
      <w:r w:rsidRPr="00086D7F">
        <w:rPr>
          <w:rFonts w:ascii="Arial" w:hAnsi="Arial" w:cs="Arial"/>
          <w:b/>
          <w:bCs/>
          <w:color w:val="4F81BD" w:themeColor="accent1"/>
          <w:sz w:val="28"/>
          <w:szCs w:val="26"/>
          <w:u w:val="single"/>
          <w:lang w:val="es-MX" w:eastAsia="es-MX"/>
        </w:rPr>
        <w:t>originales o copia certificada de documentos y bandeja de salida del correo electrónico</w:t>
      </w:r>
      <w:r w:rsidRPr="00086D7F">
        <w:rPr>
          <w:rFonts w:ascii="Arial" w:hAnsi="Arial" w:cs="Arial"/>
          <w:b/>
          <w:bCs/>
          <w:color w:val="4F81BD" w:themeColor="accent1"/>
          <w:szCs w:val="26"/>
          <w:lang w:val="es-MX" w:eastAsia="es-MX"/>
        </w:rPr>
        <w:t>),</w:t>
      </w:r>
      <w:r w:rsidRPr="00086D7F">
        <w:rPr>
          <w:rFonts w:ascii="Arial" w:hAnsi="Arial" w:cs="Arial"/>
          <w:color w:val="4F81BD" w:themeColor="accent1"/>
          <w:lang w:val="es-MX" w:eastAsia="es-MX"/>
        </w:rPr>
        <w:t> </w:t>
      </w:r>
      <w:r w:rsidRPr="00086D7F">
        <w:rPr>
          <w:rFonts w:ascii="Arial" w:hAnsi="Arial" w:cs="Arial"/>
          <w:color w:val="4F81BD" w:themeColor="accent1"/>
          <w:szCs w:val="26"/>
          <w:lang w:val="es-MX" w:eastAsia="es-MX"/>
        </w:rPr>
        <w:t>con fundamento en los artículos 177 y 184 de la Ley de Transparencia y Acceso a la Información Pública</w:t>
      </w:r>
      <w:r w:rsidRPr="00086D7F">
        <w:rPr>
          <w:rFonts w:ascii="Arial" w:hAnsi="Arial" w:cs="Arial"/>
          <w:color w:val="4F81BD" w:themeColor="accent1"/>
          <w:lang w:val="es-MX" w:eastAsia="es-MX"/>
        </w:rPr>
        <w:t> </w:t>
      </w:r>
      <w:r w:rsidRPr="00086D7F">
        <w:rPr>
          <w:rFonts w:ascii="Arial" w:hAnsi="Arial" w:cs="Arial"/>
          <w:b/>
          <w:bCs/>
          <w:color w:val="4F81BD" w:themeColor="accent1"/>
          <w:szCs w:val="26"/>
          <w:lang w:val="es-MX" w:eastAsia="es-MX"/>
        </w:rPr>
        <w:t>y en caso de no cumplir con esta resolución se dará vista con la denuncia correspondiente al Órgano de Control Interno o a quien resulte competente para integrar y sustanciar el procedimiento sanc</w:t>
      </w:r>
      <w:r w:rsidR="00810FBC" w:rsidRPr="00086D7F">
        <w:rPr>
          <w:rFonts w:ascii="Arial" w:hAnsi="Arial" w:cs="Arial"/>
          <w:b/>
          <w:bCs/>
          <w:color w:val="4F81BD" w:themeColor="accent1"/>
          <w:szCs w:val="26"/>
          <w:lang w:val="es-MX" w:eastAsia="es-MX"/>
        </w:rPr>
        <w:t>ion</w:t>
      </w:r>
      <w:r w:rsidRPr="00086D7F">
        <w:rPr>
          <w:rFonts w:ascii="Arial" w:hAnsi="Arial" w:cs="Arial"/>
          <w:b/>
          <w:bCs/>
          <w:color w:val="4F81BD" w:themeColor="accent1"/>
          <w:szCs w:val="26"/>
          <w:lang w:val="es-MX" w:eastAsia="es-MX"/>
        </w:rPr>
        <w:t>atorio por incurrir en posibles actos que actualicen la hipótesis contenida en el artículo 197, fracción XV, de la Ley de Transparencia y Acceso a la información Pública del Estado. Lo anterior, sin perjuicio de que esta Comisión realicé lo necesario para que se dé el debido cumplimiento a la presente resolución.</w:t>
      </w:r>
    </w:p>
    <w:p w:rsidR="005B3590" w:rsidRPr="00086D7F" w:rsidRDefault="005B3590" w:rsidP="005B3590">
      <w:pPr>
        <w:spacing w:before="240"/>
        <w:rPr>
          <w:rFonts w:ascii="Arial" w:hAnsi="Arial" w:cs="Arial"/>
          <w:color w:val="4F81BD" w:themeColor="accent1"/>
          <w:szCs w:val="26"/>
          <w:u w:val="single"/>
          <w:lang w:val="es-MX" w:eastAsia="es-MX"/>
        </w:rPr>
      </w:pPr>
      <w:r w:rsidRPr="00086D7F">
        <w:rPr>
          <w:rFonts w:ascii="Arial" w:hAnsi="Arial" w:cs="Arial"/>
          <w:bCs/>
          <w:color w:val="4F81BD" w:themeColor="accent1"/>
          <w:szCs w:val="26"/>
          <w:lang w:val="es-MX" w:eastAsia="es-MX"/>
        </w:rPr>
        <w:tab/>
      </w:r>
      <w:r w:rsidRPr="00086D7F">
        <w:rPr>
          <w:rFonts w:ascii="Arial" w:hAnsi="Arial" w:cs="Arial"/>
          <w:bCs/>
          <w:color w:val="4F81BD" w:themeColor="accent1"/>
          <w:szCs w:val="26"/>
          <w:u w:val="single"/>
          <w:lang w:val="es-MX" w:eastAsia="es-MX"/>
        </w:rPr>
        <w:t xml:space="preserve">De conformidad con el artículo 183 de la Ley de Transparencia y Acceso a la Información Pública del Estado, el sujeto obligado a través del Titular de la Unidad de Transparencia debe dar cumplimiento a la presente resolución; por lo tanto, se le apercibe legalmente que en caso de no hacerlo, se le impondrán, de conformidad con el artículo 190 de la citada Ley, las medidas de apremio que resulten pertinentes. Para el caso </w:t>
      </w:r>
      <w:r w:rsidRPr="00086D7F">
        <w:rPr>
          <w:rFonts w:ascii="Arial" w:hAnsi="Arial" w:cs="Arial"/>
          <w:bCs/>
          <w:color w:val="4F81BD" w:themeColor="accent1"/>
          <w:szCs w:val="26"/>
          <w:u w:val="single"/>
          <w:lang w:val="es-MX" w:eastAsia="es-MX"/>
        </w:rPr>
        <w:lastRenderedPageBreak/>
        <w:t>de que el incumplimiento se origine con motivo de las deficiencias en que incurra un área administrativa ante la cual gestione, deberá informarlo a esta Comisión y a su superior jerárquico para que se tomen las acciones necesarias para asegurar el respeto a la presente determinación.</w:t>
      </w:r>
    </w:p>
    <w:p w:rsidR="005B3590" w:rsidRPr="00086D7F" w:rsidRDefault="005B3590" w:rsidP="005B3590">
      <w:pPr>
        <w:spacing w:before="240" w:after="240"/>
        <w:rPr>
          <w:rFonts w:ascii="Arial" w:hAnsi="Arial" w:cs="Arial"/>
          <w:color w:val="4F81BD" w:themeColor="accent1"/>
          <w:szCs w:val="26"/>
          <w:lang w:val="es-MX" w:eastAsia="es-MX"/>
        </w:rPr>
      </w:pPr>
      <w:r w:rsidRPr="00086D7F">
        <w:rPr>
          <w:rFonts w:ascii="Arial" w:hAnsi="Arial" w:cs="Arial"/>
          <w:color w:val="4F81BD" w:themeColor="accent1"/>
          <w:szCs w:val="26"/>
          <w:lang w:val="es-MX" w:eastAsia="es-MX"/>
        </w:rPr>
        <w:t>Por lo anteriormente expuesto y fundado se:</w:t>
      </w:r>
    </w:p>
    <w:p w:rsidR="005B3590" w:rsidRPr="00086D7F" w:rsidRDefault="005B3590" w:rsidP="005B3590">
      <w:pPr>
        <w:shd w:val="clear" w:color="auto" w:fill="FFFFFF"/>
        <w:jc w:val="center"/>
        <w:outlineLvl w:val="0"/>
        <w:rPr>
          <w:rFonts w:ascii="Arial" w:hAnsi="Arial" w:cs="Arial"/>
          <w:b/>
          <w:bCs/>
          <w:color w:val="4F81BD" w:themeColor="accent1"/>
          <w:szCs w:val="26"/>
          <w:lang w:val="es-MX" w:eastAsia="es-MX"/>
        </w:rPr>
      </w:pPr>
      <w:r w:rsidRPr="00086D7F">
        <w:rPr>
          <w:rFonts w:ascii="Arial" w:hAnsi="Arial" w:cs="Arial"/>
          <w:b/>
          <w:bCs/>
          <w:color w:val="4F81BD" w:themeColor="accent1"/>
          <w:szCs w:val="26"/>
          <w:lang w:val="es-MX" w:eastAsia="es-MX"/>
        </w:rPr>
        <w:t>R E S U E L V E:</w:t>
      </w:r>
    </w:p>
    <w:p w:rsidR="005B3590" w:rsidRPr="00086D7F" w:rsidRDefault="005B3590" w:rsidP="005B3590">
      <w:pPr>
        <w:spacing w:before="240" w:after="240"/>
        <w:rPr>
          <w:rFonts w:ascii="Arial" w:hAnsi="Arial" w:cs="Arial"/>
          <w:color w:val="4F81BD" w:themeColor="accent1"/>
        </w:rPr>
      </w:pPr>
      <w:r w:rsidRPr="00086D7F">
        <w:rPr>
          <w:rFonts w:ascii="Arial" w:hAnsi="Arial" w:cs="Arial"/>
          <w:b/>
          <w:color w:val="4F81BD" w:themeColor="accent1"/>
        </w:rPr>
        <w:tab/>
        <w:t xml:space="preserve">ÚNICO. </w:t>
      </w:r>
      <w:r w:rsidRPr="00086D7F">
        <w:rPr>
          <w:rFonts w:ascii="Arial" w:hAnsi="Arial" w:cs="Arial"/>
          <w:color w:val="4F81BD" w:themeColor="accent1"/>
        </w:rPr>
        <w:t xml:space="preserve">Se </w:t>
      </w:r>
      <w:r w:rsidRPr="00086D7F">
        <w:rPr>
          <w:rFonts w:ascii="Arial" w:hAnsi="Arial" w:cs="Arial"/>
          <w:b/>
          <w:color w:val="4F81BD" w:themeColor="accent1"/>
        </w:rPr>
        <w:t>modifica</w:t>
      </w:r>
      <w:r w:rsidRPr="00086D7F">
        <w:rPr>
          <w:rFonts w:ascii="Arial" w:hAnsi="Arial" w:cs="Arial"/>
          <w:color w:val="4F81BD" w:themeColor="accent1"/>
        </w:rPr>
        <w:t xml:space="preserve"> la respuesta emitida por el sujeto obligado por las razones expuestas en el considerando tercero de la presente resolución.</w:t>
      </w:r>
    </w:p>
    <w:p w:rsidR="005B3590" w:rsidRPr="00086D7F" w:rsidRDefault="005B3590" w:rsidP="005B3590">
      <w:pPr>
        <w:spacing w:before="240" w:after="240"/>
        <w:rPr>
          <w:rFonts w:ascii="Arial" w:hAnsi="Arial" w:cs="Arial"/>
          <w:color w:val="4F81BD" w:themeColor="accent1"/>
        </w:rPr>
      </w:pPr>
      <w:r w:rsidRPr="00086D7F">
        <w:rPr>
          <w:rFonts w:ascii="Arial" w:hAnsi="Arial" w:cs="Arial"/>
          <w:color w:val="4F81BD" w:themeColor="accent1"/>
        </w:rPr>
        <w:tab/>
        <w:t>Notifíquese personalmente a las partes el contenido de la presente resolución, de conformidad con el artículo 177 de la Ley de Transparencia y Acceso a la Información Pública del Estado.</w:t>
      </w:r>
    </w:p>
    <w:p w:rsidR="005B3590" w:rsidRPr="00086D7F" w:rsidRDefault="005B3590" w:rsidP="005B3590">
      <w:pPr>
        <w:spacing w:before="240" w:after="240"/>
        <w:rPr>
          <w:rFonts w:ascii="Arial" w:hAnsi="Arial" w:cs="Arial"/>
          <w:color w:val="4F81BD" w:themeColor="accent1"/>
        </w:rPr>
      </w:pPr>
      <w:r w:rsidRPr="00086D7F">
        <w:rPr>
          <w:rFonts w:ascii="Arial" w:hAnsi="Arial" w:cs="Arial"/>
          <w:color w:val="4F81BD" w:themeColor="accent1"/>
        </w:rPr>
        <w:tab/>
        <w:t>La notificación que se realice al sujeto obligado será, con fundamento en el artículo 58 de la Ley de Transparencia y Acceso a la Información Pública del Estado, a través de la Unidad de Transparencia.</w:t>
      </w:r>
    </w:p>
    <w:p w:rsidR="005B3590" w:rsidRPr="00086D7F" w:rsidRDefault="005B3590" w:rsidP="005B3590">
      <w:pPr>
        <w:spacing w:before="240" w:after="240"/>
        <w:rPr>
          <w:rFonts w:ascii="Arial" w:hAnsi="Arial" w:cs="Arial"/>
          <w:color w:val="4F81BD" w:themeColor="accent1"/>
        </w:rPr>
      </w:pPr>
      <w:r w:rsidRPr="00086D7F">
        <w:rPr>
          <w:rFonts w:ascii="Arial" w:hAnsi="Arial" w:cs="Arial"/>
          <w:color w:val="4F81BD" w:themeColor="accent1"/>
        </w:rPr>
        <w:tab/>
        <w:t>Se hace de conocimiento del recurrente que, en caso de no estar de acuerdo con los términos de la resolución dictada, podrá impugnar la presente resolución a través del Juicio de Amparo indirecto que promueva ante el Poder Judicial de la Federación. Lo anterior con fundamento en el artículo 159 de la Ley General de Transparencia y Acceso a la Información Pública.</w:t>
      </w:r>
    </w:p>
    <w:p w:rsidR="005B3590" w:rsidRPr="00086D7F" w:rsidRDefault="005B3590" w:rsidP="005B3590">
      <w:pPr>
        <w:spacing w:before="240" w:after="240"/>
        <w:rPr>
          <w:rFonts w:ascii="Arial" w:hAnsi="Arial" w:cs="Arial"/>
          <w:color w:val="4F81BD" w:themeColor="accent1"/>
        </w:rPr>
      </w:pPr>
      <w:r w:rsidRPr="00086D7F">
        <w:rPr>
          <w:rFonts w:ascii="Arial" w:hAnsi="Arial" w:cs="Arial"/>
          <w:color w:val="4F81BD" w:themeColor="accent1"/>
        </w:rPr>
        <w:tab/>
        <w:t xml:space="preserve">Así lo resuelve, por unanimidad de votos, el pleno de la Comisión Estatal de Garantía de Acceso a la Información Pública, conformado por los Comisionados  Alejando Lafuente Torres, Paulina Sánchez Pérez del Pozo y Claudia Elizabeth Ávalos Cedillo, </w:t>
      </w:r>
      <w:r w:rsidR="00086D7F" w:rsidRPr="00086D7F">
        <w:rPr>
          <w:rFonts w:ascii="Arial" w:hAnsi="Arial" w:cs="Arial"/>
          <w:color w:val="4F81BD" w:themeColor="accent1"/>
        </w:rPr>
        <w:t xml:space="preserve">siendo ponente la última de los nombrados </w:t>
      </w:r>
      <w:r w:rsidRPr="00086D7F">
        <w:rPr>
          <w:rFonts w:ascii="Arial" w:hAnsi="Arial" w:cs="Arial"/>
          <w:color w:val="4F81BD" w:themeColor="accent1"/>
        </w:rPr>
        <w:t xml:space="preserve">en la sesión </w:t>
      </w:r>
      <w:r w:rsidR="00810FBC" w:rsidRPr="00086D7F">
        <w:rPr>
          <w:rFonts w:ascii="Arial" w:hAnsi="Arial" w:cs="Arial"/>
          <w:color w:val="4F81BD" w:themeColor="accent1"/>
        </w:rPr>
        <w:t>extra</w:t>
      </w:r>
      <w:r w:rsidRPr="00086D7F">
        <w:rPr>
          <w:rFonts w:ascii="Arial" w:hAnsi="Arial" w:cs="Arial"/>
          <w:color w:val="4F81BD" w:themeColor="accent1"/>
        </w:rPr>
        <w:t xml:space="preserve">ordinaria del siete de </w:t>
      </w:r>
      <w:r w:rsidR="00810FBC" w:rsidRPr="00086D7F">
        <w:rPr>
          <w:rFonts w:ascii="Arial" w:hAnsi="Arial" w:cs="Arial"/>
          <w:color w:val="4F81BD" w:themeColor="accent1"/>
        </w:rPr>
        <w:t>marzo de dos mil dieciocho</w:t>
      </w:r>
      <w:r w:rsidRPr="00086D7F">
        <w:rPr>
          <w:rFonts w:ascii="Arial" w:hAnsi="Arial" w:cs="Arial"/>
          <w:color w:val="4F81BD" w:themeColor="accent1"/>
        </w:rPr>
        <w:t>, ante la Secretaria de Pleno Rosa María Motilla García.</w:t>
      </w:r>
    </w:p>
    <w:tbl>
      <w:tblPr>
        <w:tblStyle w:val="Tablaconcuadrcula"/>
        <w:tblW w:w="889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219"/>
        <w:gridCol w:w="4678"/>
      </w:tblGrid>
      <w:tr w:rsidR="005B3590" w:rsidRPr="00086D7F" w:rsidTr="005B3590">
        <w:tc>
          <w:tcPr>
            <w:tcW w:w="4219" w:type="dxa"/>
          </w:tcPr>
          <w:p w:rsidR="005B3590" w:rsidRPr="00086D7F" w:rsidRDefault="005B3590" w:rsidP="005B3590">
            <w:pPr>
              <w:spacing w:after="240"/>
              <w:jc w:val="center"/>
              <w:rPr>
                <w:rFonts w:ascii="Arial" w:hAnsi="Arial" w:cs="Arial"/>
                <w:b/>
                <w:color w:val="4F81BD" w:themeColor="accent1"/>
                <w:sz w:val="24"/>
                <w:szCs w:val="26"/>
              </w:rPr>
            </w:pPr>
            <w:r w:rsidRPr="00086D7F">
              <w:rPr>
                <w:rFonts w:ascii="Arial" w:hAnsi="Arial" w:cs="Arial"/>
                <w:b/>
                <w:color w:val="4F81BD" w:themeColor="accent1"/>
                <w:sz w:val="24"/>
                <w:szCs w:val="26"/>
              </w:rPr>
              <w:lastRenderedPageBreak/>
              <w:t>COMISIONADO PRESIDENTE</w:t>
            </w:r>
          </w:p>
          <w:p w:rsidR="005B3590" w:rsidRPr="00086D7F" w:rsidRDefault="005B3590" w:rsidP="005B3590">
            <w:pPr>
              <w:spacing w:before="240" w:after="240"/>
              <w:jc w:val="center"/>
              <w:rPr>
                <w:rFonts w:ascii="Arial" w:hAnsi="Arial" w:cs="Arial"/>
                <w:b/>
                <w:color w:val="4F81BD" w:themeColor="accent1"/>
                <w:sz w:val="24"/>
                <w:szCs w:val="26"/>
              </w:rPr>
            </w:pPr>
          </w:p>
          <w:p w:rsidR="005B3590" w:rsidRPr="00086D7F" w:rsidRDefault="005B3590" w:rsidP="005B3590">
            <w:pPr>
              <w:spacing w:before="240" w:after="240"/>
              <w:jc w:val="center"/>
              <w:rPr>
                <w:rFonts w:ascii="Arial" w:hAnsi="Arial" w:cs="Arial"/>
                <w:color w:val="4F81BD" w:themeColor="accent1"/>
              </w:rPr>
            </w:pPr>
            <w:r w:rsidRPr="00086D7F">
              <w:rPr>
                <w:rFonts w:ascii="Arial" w:hAnsi="Arial" w:cs="Arial"/>
                <w:b/>
                <w:color w:val="4F81BD" w:themeColor="accent1"/>
                <w:sz w:val="24"/>
                <w:szCs w:val="26"/>
              </w:rPr>
              <w:t>ALEJANDRO LAFUENTE TORRES</w:t>
            </w:r>
          </w:p>
        </w:tc>
        <w:tc>
          <w:tcPr>
            <w:tcW w:w="4678" w:type="dxa"/>
          </w:tcPr>
          <w:p w:rsidR="005B3590" w:rsidRPr="00086D7F" w:rsidRDefault="005B3590" w:rsidP="005B3590">
            <w:pPr>
              <w:spacing w:after="240"/>
              <w:ind w:left="48"/>
              <w:jc w:val="center"/>
              <w:rPr>
                <w:rFonts w:ascii="Arial" w:hAnsi="Arial" w:cs="Arial"/>
                <w:b/>
                <w:color w:val="4F81BD" w:themeColor="accent1"/>
                <w:sz w:val="24"/>
                <w:szCs w:val="26"/>
              </w:rPr>
            </w:pPr>
            <w:r w:rsidRPr="00086D7F">
              <w:rPr>
                <w:rFonts w:ascii="Arial" w:hAnsi="Arial" w:cs="Arial"/>
                <w:b/>
                <w:color w:val="4F81BD" w:themeColor="accent1"/>
                <w:sz w:val="24"/>
                <w:szCs w:val="26"/>
              </w:rPr>
              <w:t>COMISIONADA</w:t>
            </w:r>
          </w:p>
          <w:p w:rsidR="005B3590" w:rsidRPr="00086D7F" w:rsidRDefault="005B3590" w:rsidP="005B3590">
            <w:pPr>
              <w:spacing w:before="240" w:after="240"/>
              <w:jc w:val="center"/>
              <w:rPr>
                <w:rFonts w:ascii="Arial" w:hAnsi="Arial" w:cs="Arial"/>
                <w:b/>
                <w:color w:val="4F81BD" w:themeColor="accent1"/>
                <w:sz w:val="24"/>
                <w:szCs w:val="26"/>
              </w:rPr>
            </w:pPr>
          </w:p>
          <w:p w:rsidR="005B3590" w:rsidRPr="00086D7F" w:rsidRDefault="005B3590" w:rsidP="005B3590">
            <w:pPr>
              <w:spacing w:before="240" w:after="240"/>
              <w:jc w:val="center"/>
              <w:rPr>
                <w:rFonts w:ascii="Arial" w:hAnsi="Arial" w:cs="Arial"/>
                <w:b/>
                <w:color w:val="4F81BD" w:themeColor="accent1"/>
                <w:sz w:val="24"/>
                <w:szCs w:val="26"/>
              </w:rPr>
            </w:pPr>
            <w:r w:rsidRPr="00086D7F">
              <w:rPr>
                <w:rFonts w:ascii="Arial" w:hAnsi="Arial" w:cs="Arial"/>
                <w:b/>
                <w:color w:val="4F81BD" w:themeColor="accent1"/>
                <w:sz w:val="24"/>
                <w:szCs w:val="26"/>
              </w:rPr>
              <w:t>PAULINA SÁNCHEZ PÉREZ DEL POZO</w:t>
            </w:r>
          </w:p>
          <w:p w:rsidR="005B3590" w:rsidRPr="00086D7F" w:rsidRDefault="005B3590" w:rsidP="005B3590">
            <w:pPr>
              <w:spacing w:before="240" w:after="240"/>
              <w:jc w:val="center"/>
              <w:rPr>
                <w:rFonts w:ascii="Arial" w:hAnsi="Arial" w:cs="Arial"/>
                <w:color w:val="4F81BD" w:themeColor="accent1"/>
              </w:rPr>
            </w:pPr>
          </w:p>
        </w:tc>
      </w:tr>
      <w:tr w:rsidR="005B3590" w:rsidRPr="00086D7F" w:rsidTr="005B3590">
        <w:trPr>
          <w:trHeight w:val="2075"/>
        </w:trPr>
        <w:tc>
          <w:tcPr>
            <w:tcW w:w="4219" w:type="dxa"/>
          </w:tcPr>
          <w:p w:rsidR="005B3590" w:rsidRPr="00086D7F" w:rsidRDefault="005B3590" w:rsidP="005B3590">
            <w:pPr>
              <w:spacing w:after="240" w:line="276" w:lineRule="auto"/>
              <w:jc w:val="center"/>
              <w:rPr>
                <w:rFonts w:ascii="Arial" w:hAnsi="Arial" w:cs="Arial"/>
                <w:b/>
                <w:color w:val="4F81BD" w:themeColor="accent1"/>
                <w:sz w:val="24"/>
                <w:szCs w:val="26"/>
              </w:rPr>
            </w:pPr>
            <w:r w:rsidRPr="00086D7F">
              <w:rPr>
                <w:rFonts w:ascii="Arial" w:hAnsi="Arial" w:cs="Arial"/>
                <w:b/>
                <w:color w:val="4F81BD" w:themeColor="accent1"/>
                <w:sz w:val="24"/>
                <w:szCs w:val="26"/>
              </w:rPr>
              <w:t>COMISIONADA</w:t>
            </w:r>
          </w:p>
          <w:p w:rsidR="005B3590" w:rsidRPr="00086D7F" w:rsidRDefault="005B3590" w:rsidP="005B3590">
            <w:pPr>
              <w:spacing w:line="276" w:lineRule="auto"/>
              <w:rPr>
                <w:rFonts w:ascii="Arial" w:hAnsi="Arial" w:cs="Arial"/>
                <w:b/>
                <w:color w:val="4F81BD" w:themeColor="accent1"/>
                <w:sz w:val="24"/>
                <w:szCs w:val="26"/>
              </w:rPr>
            </w:pPr>
          </w:p>
          <w:p w:rsidR="005B3590" w:rsidRPr="00086D7F" w:rsidRDefault="005B3590" w:rsidP="005B3590">
            <w:pPr>
              <w:rPr>
                <w:rFonts w:ascii="Arial" w:hAnsi="Arial" w:cs="Arial"/>
                <w:b/>
                <w:color w:val="4F81BD" w:themeColor="accent1"/>
                <w:sz w:val="24"/>
                <w:szCs w:val="26"/>
              </w:rPr>
            </w:pPr>
          </w:p>
          <w:p w:rsidR="005B3590" w:rsidRPr="00086D7F" w:rsidRDefault="005B3590" w:rsidP="005B3590">
            <w:pPr>
              <w:spacing w:before="240" w:after="240" w:line="276" w:lineRule="auto"/>
              <w:jc w:val="center"/>
              <w:rPr>
                <w:rFonts w:ascii="Arial" w:hAnsi="Arial" w:cs="Arial"/>
                <w:color w:val="4F81BD" w:themeColor="accent1"/>
              </w:rPr>
            </w:pPr>
            <w:r w:rsidRPr="00086D7F">
              <w:rPr>
                <w:rFonts w:ascii="Arial" w:hAnsi="Arial" w:cs="Arial"/>
                <w:b/>
                <w:color w:val="4F81BD" w:themeColor="accent1"/>
                <w:sz w:val="24"/>
                <w:szCs w:val="26"/>
              </w:rPr>
              <w:t>CLAUDIA ELIZABETH ÁVALOS CEDILLO</w:t>
            </w:r>
          </w:p>
        </w:tc>
        <w:tc>
          <w:tcPr>
            <w:tcW w:w="4678" w:type="dxa"/>
          </w:tcPr>
          <w:p w:rsidR="005B3590" w:rsidRPr="00086D7F" w:rsidRDefault="005B3590" w:rsidP="005B3590">
            <w:pPr>
              <w:ind w:left="48" w:firstLine="2"/>
              <w:jc w:val="center"/>
              <w:rPr>
                <w:rFonts w:ascii="Arial" w:hAnsi="Arial" w:cs="Arial"/>
                <w:b/>
                <w:color w:val="4F81BD" w:themeColor="accent1"/>
                <w:sz w:val="24"/>
                <w:szCs w:val="26"/>
              </w:rPr>
            </w:pPr>
            <w:r w:rsidRPr="00086D7F">
              <w:rPr>
                <w:rFonts w:ascii="Arial" w:hAnsi="Arial" w:cs="Arial"/>
                <w:b/>
                <w:color w:val="4F81BD" w:themeColor="accent1"/>
                <w:sz w:val="24"/>
                <w:szCs w:val="26"/>
              </w:rPr>
              <w:t>SECRETARIA DE PLENO</w:t>
            </w:r>
          </w:p>
          <w:p w:rsidR="005B3590" w:rsidRPr="00086D7F" w:rsidRDefault="005B3590" w:rsidP="005B3590">
            <w:pPr>
              <w:ind w:left="48"/>
              <w:jc w:val="center"/>
              <w:rPr>
                <w:rFonts w:ascii="Arial" w:hAnsi="Arial" w:cs="Arial"/>
                <w:b/>
                <w:color w:val="4F81BD" w:themeColor="accent1"/>
                <w:sz w:val="24"/>
                <w:szCs w:val="26"/>
              </w:rPr>
            </w:pPr>
          </w:p>
          <w:p w:rsidR="005B3590" w:rsidRPr="00086D7F" w:rsidRDefault="005B3590" w:rsidP="005B3590">
            <w:pPr>
              <w:spacing w:before="240"/>
              <w:rPr>
                <w:rFonts w:ascii="Arial" w:hAnsi="Arial" w:cs="Arial"/>
                <w:b/>
                <w:color w:val="4F81BD" w:themeColor="accent1"/>
                <w:sz w:val="24"/>
                <w:szCs w:val="26"/>
              </w:rPr>
            </w:pPr>
          </w:p>
          <w:p w:rsidR="005B3590" w:rsidRPr="00086D7F" w:rsidRDefault="005B3590" w:rsidP="005B3590">
            <w:pPr>
              <w:ind w:left="48"/>
              <w:jc w:val="center"/>
              <w:rPr>
                <w:rFonts w:ascii="Arial" w:hAnsi="Arial" w:cs="Arial"/>
                <w:b/>
                <w:color w:val="4F81BD" w:themeColor="accent1"/>
                <w:sz w:val="24"/>
                <w:szCs w:val="26"/>
              </w:rPr>
            </w:pPr>
            <w:r w:rsidRPr="00086D7F">
              <w:rPr>
                <w:rFonts w:ascii="Arial" w:hAnsi="Arial" w:cs="Arial"/>
                <w:b/>
                <w:color w:val="4F81BD" w:themeColor="accent1"/>
                <w:sz w:val="24"/>
                <w:szCs w:val="26"/>
              </w:rPr>
              <w:t>ROSA MARÍA MOTILLA GARCÍA</w:t>
            </w:r>
          </w:p>
        </w:tc>
      </w:tr>
    </w:tbl>
    <w:tbl>
      <w:tblPr>
        <w:tblW w:w="10613" w:type="dxa"/>
        <w:jc w:val="center"/>
        <w:tblLook w:val="01E0"/>
      </w:tblPr>
      <w:tblGrid>
        <w:gridCol w:w="4880"/>
        <w:gridCol w:w="358"/>
        <w:gridCol w:w="5375"/>
      </w:tblGrid>
      <w:tr w:rsidR="005B3590" w:rsidRPr="00086D7F" w:rsidTr="005B3590">
        <w:trPr>
          <w:trHeight w:val="126"/>
          <w:jc w:val="center"/>
        </w:trPr>
        <w:tc>
          <w:tcPr>
            <w:tcW w:w="4880" w:type="dxa"/>
          </w:tcPr>
          <w:p w:rsidR="005B3590" w:rsidRPr="00086D7F" w:rsidRDefault="005B3590" w:rsidP="005B3590">
            <w:pPr>
              <w:ind w:left="97"/>
              <w:jc w:val="center"/>
              <w:rPr>
                <w:rFonts w:ascii="Arial" w:hAnsi="Arial" w:cs="Arial"/>
                <w:b/>
                <w:color w:val="4F81BD" w:themeColor="accent1"/>
                <w:szCs w:val="26"/>
              </w:rPr>
            </w:pPr>
          </w:p>
        </w:tc>
        <w:tc>
          <w:tcPr>
            <w:tcW w:w="358" w:type="dxa"/>
          </w:tcPr>
          <w:p w:rsidR="005B3590" w:rsidRPr="00086D7F" w:rsidRDefault="005B3590" w:rsidP="005B3590">
            <w:pPr>
              <w:ind w:left="360" w:firstLine="708"/>
              <w:jc w:val="center"/>
              <w:rPr>
                <w:rFonts w:ascii="Arial" w:hAnsi="Arial" w:cs="Arial"/>
                <w:b/>
                <w:color w:val="4F81BD" w:themeColor="accent1"/>
                <w:szCs w:val="26"/>
              </w:rPr>
            </w:pPr>
          </w:p>
        </w:tc>
        <w:tc>
          <w:tcPr>
            <w:tcW w:w="5375" w:type="dxa"/>
          </w:tcPr>
          <w:p w:rsidR="005B3590" w:rsidRPr="00086D7F" w:rsidRDefault="005B3590" w:rsidP="005B3590">
            <w:pPr>
              <w:jc w:val="center"/>
              <w:rPr>
                <w:rFonts w:ascii="Arial" w:hAnsi="Arial" w:cs="Arial"/>
                <w:b/>
                <w:color w:val="4F81BD" w:themeColor="accent1"/>
                <w:szCs w:val="26"/>
              </w:rPr>
            </w:pPr>
          </w:p>
        </w:tc>
      </w:tr>
    </w:tbl>
    <w:p w:rsidR="005B3590" w:rsidRPr="00086D7F" w:rsidRDefault="005B3590" w:rsidP="005B3590">
      <w:pPr>
        <w:spacing w:after="240" w:line="240" w:lineRule="auto"/>
        <w:rPr>
          <w:rFonts w:ascii="Arial" w:hAnsi="Arial" w:cs="Arial"/>
          <w:i/>
          <w:color w:val="4F81BD" w:themeColor="accent1"/>
          <w:sz w:val="18"/>
        </w:rPr>
      </w:pPr>
      <w:r w:rsidRPr="00086D7F">
        <w:rPr>
          <w:rFonts w:ascii="Arial" w:hAnsi="Arial" w:cs="Arial"/>
          <w:color w:val="4F81BD" w:themeColor="accent1"/>
          <w:sz w:val="18"/>
        </w:rPr>
        <w:tab/>
      </w:r>
      <w:r w:rsidRPr="00086D7F">
        <w:rPr>
          <w:rFonts w:ascii="Arial" w:hAnsi="Arial" w:cs="Arial"/>
          <w:i/>
          <w:color w:val="4F81BD" w:themeColor="accent1"/>
          <w:sz w:val="18"/>
        </w:rPr>
        <w:t>Estas firmas pertenecen a la última foja de la resolución pronunciad</w:t>
      </w:r>
      <w:r w:rsidR="00810FBC" w:rsidRPr="00086D7F">
        <w:rPr>
          <w:rFonts w:ascii="Arial" w:hAnsi="Arial" w:cs="Arial"/>
          <w:i/>
          <w:color w:val="4F81BD" w:themeColor="accent1"/>
          <w:sz w:val="18"/>
        </w:rPr>
        <w:t>a en el recurso de revisión  012/2018</w:t>
      </w:r>
      <w:r w:rsidRPr="00086D7F">
        <w:rPr>
          <w:rFonts w:ascii="Arial" w:hAnsi="Arial" w:cs="Arial"/>
          <w:i/>
          <w:color w:val="4F81BD" w:themeColor="accent1"/>
          <w:sz w:val="18"/>
        </w:rPr>
        <w:t xml:space="preserve">-3 aprobada en sesión </w:t>
      </w:r>
      <w:r w:rsidR="00810FBC" w:rsidRPr="00086D7F">
        <w:rPr>
          <w:rFonts w:ascii="Arial" w:hAnsi="Arial" w:cs="Arial"/>
          <w:i/>
          <w:color w:val="4F81BD" w:themeColor="accent1"/>
          <w:sz w:val="18"/>
        </w:rPr>
        <w:t>extra</w:t>
      </w:r>
      <w:r w:rsidRPr="00086D7F">
        <w:rPr>
          <w:rFonts w:ascii="Arial" w:hAnsi="Arial" w:cs="Arial"/>
          <w:i/>
          <w:color w:val="4F81BD" w:themeColor="accent1"/>
          <w:sz w:val="18"/>
        </w:rPr>
        <w:t xml:space="preserve">ordinaria del siete de </w:t>
      </w:r>
      <w:r w:rsidR="00810FBC" w:rsidRPr="00086D7F">
        <w:rPr>
          <w:rFonts w:ascii="Arial" w:hAnsi="Arial" w:cs="Arial"/>
          <w:i/>
          <w:color w:val="4F81BD" w:themeColor="accent1"/>
          <w:sz w:val="18"/>
        </w:rPr>
        <w:t>marzo</w:t>
      </w:r>
      <w:r w:rsidRPr="00086D7F">
        <w:rPr>
          <w:rFonts w:ascii="Arial" w:hAnsi="Arial" w:cs="Arial"/>
          <w:i/>
          <w:color w:val="4F81BD" w:themeColor="accent1"/>
          <w:sz w:val="18"/>
        </w:rPr>
        <w:t xml:space="preserve"> de dos mil dieci</w:t>
      </w:r>
      <w:r w:rsidR="00810FBC" w:rsidRPr="00086D7F">
        <w:rPr>
          <w:rFonts w:ascii="Arial" w:hAnsi="Arial" w:cs="Arial"/>
          <w:i/>
          <w:color w:val="4F81BD" w:themeColor="accent1"/>
          <w:sz w:val="18"/>
        </w:rPr>
        <w:t>ocho</w:t>
      </w:r>
      <w:r w:rsidRPr="00086D7F">
        <w:rPr>
          <w:rFonts w:ascii="Arial" w:hAnsi="Arial" w:cs="Arial"/>
          <w:i/>
          <w:color w:val="4F81BD" w:themeColor="accent1"/>
          <w:sz w:val="18"/>
        </w:rPr>
        <w:t>.</w:t>
      </w:r>
    </w:p>
    <w:p w:rsidR="005B3590" w:rsidRPr="00086D7F" w:rsidRDefault="005B3590" w:rsidP="005B3590">
      <w:pPr>
        <w:spacing w:after="240" w:line="240" w:lineRule="auto"/>
        <w:rPr>
          <w:rFonts w:ascii="Arial" w:hAnsi="Arial" w:cs="Arial"/>
          <w:i/>
          <w:color w:val="4F81BD" w:themeColor="accent1"/>
          <w:sz w:val="18"/>
        </w:rPr>
      </w:pPr>
      <w:r w:rsidRPr="00086D7F">
        <w:rPr>
          <w:rFonts w:ascii="Arial" w:hAnsi="Arial" w:cs="Arial"/>
          <w:i/>
          <w:color w:val="4F81BD" w:themeColor="accent1"/>
          <w:sz w:val="18"/>
        </w:rPr>
        <w:t xml:space="preserve">Elaboró y Cotejó: </w:t>
      </w:r>
    </w:p>
    <w:p w:rsidR="005B3590" w:rsidRPr="00086D7F" w:rsidRDefault="00810FBC" w:rsidP="005B3590">
      <w:pPr>
        <w:spacing w:after="240" w:line="240" w:lineRule="auto"/>
        <w:rPr>
          <w:rFonts w:ascii="Arial" w:hAnsi="Arial" w:cs="Arial"/>
          <w:i/>
          <w:color w:val="4F81BD" w:themeColor="accent1"/>
        </w:rPr>
      </w:pPr>
      <w:r w:rsidRPr="00086D7F">
        <w:rPr>
          <w:rFonts w:ascii="Arial" w:hAnsi="Arial" w:cs="Arial"/>
          <w:i/>
          <w:color w:val="4F81BD" w:themeColor="accent1"/>
          <w:sz w:val="18"/>
        </w:rPr>
        <w:t>ABCR</w:t>
      </w:r>
    </w:p>
    <w:p w:rsidR="00810FBC" w:rsidRPr="00086D7F" w:rsidRDefault="00810FBC">
      <w:pPr>
        <w:spacing w:after="200" w:line="276" w:lineRule="auto"/>
        <w:jc w:val="left"/>
        <w:rPr>
          <w:rFonts w:ascii="Arial" w:hAnsi="Arial" w:cs="Arial"/>
          <w:color w:val="4F81BD" w:themeColor="accent1"/>
        </w:rPr>
      </w:pPr>
      <w:r w:rsidRPr="00086D7F">
        <w:rPr>
          <w:rFonts w:ascii="Arial" w:hAnsi="Arial" w:cs="Arial"/>
          <w:color w:val="4F81BD" w:themeColor="accent1"/>
        </w:rPr>
        <w:br w:type="page"/>
      </w:r>
    </w:p>
    <w:p w:rsidR="005B3590" w:rsidRPr="00086D7F" w:rsidRDefault="005B3590" w:rsidP="005B3590">
      <w:pPr>
        <w:rPr>
          <w:rFonts w:ascii="Arial" w:hAnsi="Arial" w:cs="Arial"/>
          <w:color w:val="4F81BD" w:themeColor="accent1"/>
        </w:rPr>
      </w:pPr>
    </w:p>
    <w:p w:rsidR="005B3590" w:rsidRPr="00086D7F" w:rsidRDefault="005B3590" w:rsidP="005B3590">
      <w:pPr>
        <w:rPr>
          <w:rFonts w:ascii="Arial" w:hAnsi="Arial" w:cs="Arial"/>
          <w:color w:val="4F81BD" w:themeColor="accent1"/>
        </w:rPr>
      </w:pPr>
    </w:p>
    <w:p w:rsidR="005B3590" w:rsidRPr="00086D7F" w:rsidRDefault="005B3590" w:rsidP="005B3590">
      <w:pPr>
        <w:rPr>
          <w:rFonts w:ascii="Arial" w:hAnsi="Arial" w:cs="Arial"/>
          <w:color w:val="4F81BD" w:themeColor="accent1"/>
        </w:rPr>
      </w:pPr>
    </w:p>
    <w:p w:rsidR="005B3590" w:rsidRPr="00086D7F" w:rsidRDefault="005B3590" w:rsidP="005B3590">
      <w:pPr>
        <w:rPr>
          <w:rFonts w:ascii="Arial" w:hAnsi="Arial" w:cs="Arial"/>
          <w:color w:val="4F81BD" w:themeColor="accent1"/>
        </w:rPr>
      </w:pPr>
    </w:p>
    <w:p w:rsidR="005B3590" w:rsidRPr="00086D7F" w:rsidRDefault="005B3590" w:rsidP="005B3590">
      <w:pPr>
        <w:rPr>
          <w:rFonts w:ascii="Arial" w:hAnsi="Arial" w:cs="Arial"/>
          <w:color w:val="4F81BD" w:themeColor="accent1"/>
        </w:rPr>
      </w:pPr>
    </w:p>
    <w:p w:rsidR="005B3590" w:rsidRPr="00086D7F" w:rsidRDefault="005B3590" w:rsidP="005B3590">
      <w:pPr>
        <w:rPr>
          <w:rFonts w:ascii="Arial" w:hAnsi="Arial" w:cs="Arial"/>
          <w:color w:val="4F81BD" w:themeColor="accent1"/>
        </w:rPr>
      </w:pPr>
    </w:p>
    <w:p w:rsidR="005B3590" w:rsidRPr="00086D7F" w:rsidRDefault="005B3590" w:rsidP="005B3590">
      <w:pPr>
        <w:rPr>
          <w:rFonts w:ascii="Arial" w:hAnsi="Arial" w:cs="Arial"/>
          <w:color w:val="4F81BD" w:themeColor="accent1"/>
        </w:rPr>
      </w:pPr>
    </w:p>
    <w:p w:rsidR="005B3590" w:rsidRPr="00086D7F" w:rsidRDefault="005B3590" w:rsidP="005B3590">
      <w:pPr>
        <w:pStyle w:val="Textoindependienteprimerasangra"/>
        <w:spacing w:before="240"/>
        <w:ind w:firstLine="900"/>
        <w:rPr>
          <w:rFonts w:ascii="Arial" w:hAnsi="Arial" w:cs="Arial"/>
          <w:color w:val="4F81BD" w:themeColor="accent1"/>
        </w:rPr>
      </w:pPr>
    </w:p>
    <w:sectPr w:rsidR="005B3590" w:rsidRPr="00086D7F" w:rsidSect="00EE69A4">
      <w:headerReference w:type="even" r:id="rId9"/>
      <w:headerReference w:type="default" r:id="rId10"/>
      <w:headerReference w:type="first" r:id="rId11"/>
      <w:pgSz w:w="12240" w:h="20160" w:code="5"/>
      <w:pgMar w:top="3062" w:right="851" w:bottom="2495" w:left="2835"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565F3" w:rsidRDefault="00F565F3" w:rsidP="00EE69A4">
      <w:pPr>
        <w:spacing w:line="240" w:lineRule="auto"/>
      </w:pPr>
      <w:r>
        <w:separator/>
      </w:r>
    </w:p>
  </w:endnote>
  <w:endnote w:type="continuationSeparator" w:id="0">
    <w:p w:rsidR="00F565F3" w:rsidRDefault="00F565F3" w:rsidP="00EE69A4">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565F3" w:rsidRDefault="00F565F3" w:rsidP="00EE69A4">
      <w:pPr>
        <w:spacing w:line="240" w:lineRule="auto"/>
      </w:pPr>
      <w:r>
        <w:separator/>
      </w:r>
    </w:p>
  </w:footnote>
  <w:footnote w:type="continuationSeparator" w:id="0">
    <w:p w:rsidR="00F565F3" w:rsidRDefault="00F565F3" w:rsidP="00EE69A4">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8669881"/>
      <w:docPartObj>
        <w:docPartGallery w:val="Page Numbers (Top of Page)"/>
        <w:docPartUnique/>
      </w:docPartObj>
    </w:sdtPr>
    <w:sdtContent>
      <w:p w:rsidR="005B3590" w:rsidRDefault="00A809E0">
        <w:pPr>
          <w:pStyle w:val="Encabezado"/>
          <w:jc w:val="center"/>
        </w:pPr>
        <w:fldSimple w:instr=" PAGE   \* MERGEFORMAT ">
          <w:r w:rsidR="005B3590">
            <w:rPr>
              <w:noProof/>
            </w:rPr>
            <w:t>2</w:t>
          </w:r>
        </w:fldSimple>
      </w:p>
    </w:sdtContent>
  </w:sdt>
  <w:p w:rsidR="005B3590" w:rsidRDefault="005B3590">
    <w:pPr>
      <w:pStyle w:val="Encabezado"/>
    </w:pPr>
    <w:r>
      <w:t>CEGAIP-RR-018/2016-3</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8669903"/>
      <w:docPartObj>
        <w:docPartGallery w:val="Page Numbers (Top of Page)"/>
        <w:docPartUnique/>
      </w:docPartObj>
    </w:sdtPr>
    <w:sdtContent>
      <w:p w:rsidR="005B3590" w:rsidRDefault="00A809E0">
        <w:pPr>
          <w:pStyle w:val="Encabezado"/>
          <w:jc w:val="center"/>
        </w:pPr>
        <w:fldSimple w:instr=" PAGE   \* MERGEFORMAT ">
          <w:r w:rsidR="00086D7F">
            <w:rPr>
              <w:noProof/>
            </w:rPr>
            <w:t>16</w:t>
          </w:r>
        </w:fldSimple>
      </w:p>
    </w:sdtContent>
  </w:sdt>
  <w:p w:rsidR="005B3590" w:rsidRPr="00086D7F" w:rsidRDefault="005B3590">
    <w:pPr>
      <w:pStyle w:val="Encabezado"/>
      <w:rPr>
        <w:color w:val="4F81BD" w:themeColor="accent1"/>
        <w:lang w:val="es-MX"/>
      </w:rPr>
    </w:pPr>
    <w:r w:rsidRPr="00086D7F">
      <w:rPr>
        <w:color w:val="4F81BD" w:themeColor="accent1"/>
        <w:lang w:val="es-MX"/>
      </w:rPr>
      <w:t>CEGAIP-RR-012/2018-3</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8669880"/>
      <w:docPartObj>
        <w:docPartGallery w:val="Page Numbers (Top of Page)"/>
        <w:docPartUnique/>
      </w:docPartObj>
    </w:sdtPr>
    <w:sdtContent>
      <w:p w:rsidR="005B3590" w:rsidRDefault="00A809E0">
        <w:pPr>
          <w:pStyle w:val="Encabezado"/>
          <w:jc w:val="center"/>
        </w:pPr>
        <w:fldSimple w:instr=" PAGE   \* MERGEFORMAT ">
          <w:r w:rsidR="00086D7F">
            <w:rPr>
              <w:noProof/>
            </w:rPr>
            <w:t>1</w:t>
          </w:r>
        </w:fldSimple>
      </w:p>
    </w:sdtContent>
  </w:sdt>
  <w:p w:rsidR="005B3590" w:rsidRDefault="005B3590">
    <w:pPr>
      <w:pStyle w:val="Encabezad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A479ED"/>
    <w:multiLevelType w:val="hybridMultilevel"/>
    <w:tmpl w:val="CBC83646"/>
    <w:lvl w:ilvl="0" w:tplc="080A0001">
      <w:start w:val="1"/>
      <w:numFmt w:val="bullet"/>
      <w:lvlText w:val=""/>
      <w:lvlJc w:val="left"/>
      <w:pPr>
        <w:ind w:left="1980" w:hanging="360"/>
      </w:pPr>
      <w:rPr>
        <w:rFonts w:ascii="Symbol" w:hAnsi="Symbol" w:hint="default"/>
      </w:rPr>
    </w:lvl>
    <w:lvl w:ilvl="1" w:tplc="080A0003" w:tentative="1">
      <w:start w:val="1"/>
      <w:numFmt w:val="bullet"/>
      <w:lvlText w:val="o"/>
      <w:lvlJc w:val="left"/>
      <w:pPr>
        <w:ind w:left="2700" w:hanging="360"/>
      </w:pPr>
      <w:rPr>
        <w:rFonts w:ascii="Courier New" w:hAnsi="Courier New" w:cs="Courier New" w:hint="default"/>
      </w:rPr>
    </w:lvl>
    <w:lvl w:ilvl="2" w:tplc="080A0005" w:tentative="1">
      <w:start w:val="1"/>
      <w:numFmt w:val="bullet"/>
      <w:lvlText w:val=""/>
      <w:lvlJc w:val="left"/>
      <w:pPr>
        <w:ind w:left="3420" w:hanging="360"/>
      </w:pPr>
      <w:rPr>
        <w:rFonts w:ascii="Wingdings" w:hAnsi="Wingdings" w:hint="default"/>
      </w:rPr>
    </w:lvl>
    <w:lvl w:ilvl="3" w:tplc="080A0001" w:tentative="1">
      <w:start w:val="1"/>
      <w:numFmt w:val="bullet"/>
      <w:lvlText w:val=""/>
      <w:lvlJc w:val="left"/>
      <w:pPr>
        <w:ind w:left="4140" w:hanging="360"/>
      </w:pPr>
      <w:rPr>
        <w:rFonts w:ascii="Symbol" w:hAnsi="Symbol" w:hint="default"/>
      </w:rPr>
    </w:lvl>
    <w:lvl w:ilvl="4" w:tplc="080A0003" w:tentative="1">
      <w:start w:val="1"/>
      <w:numFmt w:val="bullet"/>
      <w:lvlText w:val="o"/>
      <w:lvlJc w:val="left"/>
      <w:pPr>
        <w:ind w:left="4860" w:hanging="360"/>
      </w:pPr>
      <w:rPr>
        <w:rFonts w:ascii="Courier New" w:hAnsi="Courier New" w:cs="Courier New" w:hint="default"/>
      </w:rPr>
    </w:lvl>
    <w:lvl w:ilvl="5" w:tplc="080A0005" w:tentative="1">
      <w:start w:val="1"/>
      <w:numFmt w:val="bullet"/>
      <w:lvlText w:val=""/>
      <w:lvlJc w:val="left"/>
      <w:pPr>
        <w:ind w:left="5580" w:hanging="360"/>
      </w:pPr>
      <w:rPr>
        <w:rFonts w:ascii="Wingdings" w:hAnsi="Wingdings" w:hint="default"/>
      </w:rPr>
    </w:lvl>
    <w:lvl w:ilvl="6" w:tplc="080A0001" w:tentative="1">
      <w:start w:val="1"/>
      <w:numFmt w:val="bullet"/>
      <w:lvlText w:val=""/>
      <w:lvlJc w:val="left"/>
      <w:pPr>
        <w:ind w:left="6300" w:hanging="360"/>
      </w:pPr>
      <w:rPr>
        <w:rFonts w:ascii="Symbol" w:hAnsi="Symbol" w:hint="default"/>
      </w:rPr>
    </w:lvl>
    <w:lvl w:ilvl="7" w:tplc="080A0003" w:tentative="1">
      <w:start w:val="1"/>
      <w:numFmt w:val="bullet"/>
      <w:lvlText w:val="o"/>
      <w:lvlJc w:val="left"/>
      <w:pPr>
        <w:ind w:left="7020" w:hanging="360"/>
      </w:pPr>
      <w:rPr>
        <w:rFonts w:ascii="Courier New" w:hAnsi="Courier New" w:cs="Courier New" w:hint="default"/>
      </w:rPr>
    </w:lvl>
    <w:lvl w:ilvl="8" w:tplc="080A0005" w:tentative="1">
      <w:start w:val="1"/>
      <w:numFmt w:val="bullet"/>
      <w:lvlText w:val=""/>
      <w:lvlJc w:val="left"/>
      <w:pPr>
        <w:ind w:left="7740" w:hanging="360"/>
      </w:pPr>
      <w:rPr>
        <w:rFonts w:ascii="Wingdings" w:hAnsi="Wingdings" w:hint="default"/>
      </w:rPr>
    </w:lvl>
  </w:abstractNum>
  <w:abstractNum w:abstractNumId="1">
    <w:nsid w:val="0B461F16"/>
    <w:multiLevelType w:val="hybridMultilevel"/>
    <w:tmpl w:val="2ACACD1A"/>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0FB95E26"/>
    <w:multiLevelType w:val="hybridMultilevel"/>
    <w:tmpl w:val="4E544E9C"/>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3">
    <w:nsid w:val="115656A0"/>
    <w:multiLevelType w:val="hybridMultilevel"/>
    <w:tmpl w:val="CF3A5C24"/>
    <w:lvl w:ilvl="0" w:tplc="927C37B0">
      <w:start w:val="1"/>
      <w:numFmt w:val="lowerLetter"/>
      <w:lvlText w:val="%1)"/>
      <w:lvlJc w:val="left"/>
      <w:pPr>
        <w:ind w:left="1260" w:hanging="360"/>
      </w:pPr>
      <w:rPr>
        <w:rFonts w:hint="default"/>
      </w:rPr>
    </w:lvl>
    <w:lvl w:ilvl="1" w:tplc="080A0019" w:tentative="1">
      <w:start w:val="1"/>
      <w:numFmt w:val="lowerLetter"/>
      <w:lvlText w:val="%2."/>
      <w:lvlJc w:val="left"/>
      <w:pPr>
        <w:ind w:left="1980" w:hanging="360"/>
      </w:pPr>
    </w:lvl>
    <w:lvl w:ilvl="2" w:tplc="080A001B" w:tentative="1">
      <w:start w:val="1"/>
      <w:numFmt w:val="lowerRoman"/>
      <w:lvlText w:val="%3."/>
      <w:lvlJc w:val="right"/>
      <w:pPr>
        <w:ind w:left="2700" w:hanging="180"/>
      </w:pPr>
    </w:lvl>
    <w:lvl w:ilvl="3" w:tplc="080A000F" w:tentative="1">
      <w:start w:val="1"/>
      <w:numFmt w:val="decimal"/>
      <w:lvlText w:val="%4."/>
      <w:lvlJc w:val="left"/>
      <w:pPr>
        <w:ind w:left="3420" w:hanging="360"/>
      </w:pPr>
    </w:lvl>
    <w:lvl w:ilvl="4" w:tplc="080A0019" w:tentative="1">
      <w:start w:val="1"/>
      <w:numFmt w:val="lowerLetter"/>
      <w:lvlText w:val="%5."/>
      <w:lvlJc w:val="left"/>
      <w:pPr>
        <w:ind w:left="4140" w:hanging="360"/>
      </w:pPr>
    </w:lvl>
    <w:lvl w:ilvl="5" w:tplc="080A001B" w:tentative="1">
      <w:start w:val="1"/>
      <w:numFmt w:val="lowerRoman"/>
      <w:lvlText w:val="%6."/>
      <w:lvlJc w:val="right"/>
      <w:pPr>
        <w:ind w:left="4860" w:hanging="180"/>
      </w:pPr>
    </w:lvl>
    <w:lvl w:ilvl="6" w:tplc="080A000F" w:tentative="1">
      <w:start w:val="1"/>
      <w:numFmt w:val="decimal"/>
      <w:lvlText w:val="%7."/>
      <w:lvlJc w:val="left"/>
      <w:pPr>
        <w:ind w:left="5580" w:hanging="360"/>
      </w:pPr>
    </w:lvl>
    <w:lvl w:ilvl="7" w:tplc="080A0019" w:tentative="1">
      <w:start w:val="1"/>
      <w:numFmt w:val="lowerLetter"/>
      <w:lvlText w:val="%8."/>
      <w:lvlJc w:val="left"/>
      <w:pPr>
        <w:ind w:left="6300" w:hanging="360"/>
      </w:pPr>
    </w:lvl>
    <w:lvl w:ilvl="8" w:tplc="080A001B" w:tentative="1">
      <w:start w:val="1"/>
      <w:numFmt w:val="lowerRoman"/>
      <w:lvlText w:val="%9."/>
      <w:lvlJc w:val="right"/>
      <w:pPr>
        <w:ind w:left="7020" w:hanging="180"/>
      </w:pPr>
    </w:lvl>
  </w:abstractNum>
  <w:abstractNum w:abstractNumId="4">
    <w:nsid w:val="142A46F5"/>
    <w:multiLevelType w:val="hybridMultilevel"/>
    <w:tmpl w:val="AFC6E9AC"/>
    <w:lvl w:ilvl="0" w:tplc="8072F42A">
      <w:start w:val="1"/>
      <w:numFmt w:val="lowerLetter"/>
      <w:lvlText w:val="%1)"/>
      <w:lvlJc w:val="left"/>
      <w:pPr>
        <w:ind w:left="2850" w:hanging="360"/>
      </w:pPr>
      <w:rPr>
        <w:rFonts w:hint="default"/>
      </w:rPr>
    </w:lvl>
    <w:lvl w:ilvl="1" w:tplc="080A0019" w:tentative="1">
      <w:start w:val="1"/>
      <w:numFmt w:val="lowerLetter"/>
      <w:lvlText w:val="%2."/>
      <w:lvlJc w:val="left"/>
      <w:pPr>
        <w:ind w:left="3570" w:hanging="360"/>
      </w:pPr>
    </w:lvl>
    <w:lvl w:ilvl="2" w:tplc="080A001B" w:tentative="1">
      <w:start w:val="1"/>
      <w:numFmt w:val="lowerRoman"/>
      <w:lvlText w:val="%3."/>
      <w:lvlJc w:val="right"/>
      <w:pPr>
        <w:ind w:left="4290" w:hanging="180"/>
      </w:pPr>
    </w:lvl>
    <w:lvl w:ilvl="3" w:tplc="080A000F" w:tentative="1">
      <w:start w:val="1"/>
      <w:numFmt w:val="decimal"/>
      <w:lvlText w:val="%4."/>
      <w:lvlJc w:val="left"/>
      <w:pPr>
        <w:ind w:left="5010" w:hanging="360"/>
      </w:pPr>
    </w:lvl>
    <w:lvl w:ilvl="4" w:tplc="080A0019" w:tentative="1">
      <w:start w:val="1"/>
      <w:numFmt w:val="lowerLetter"/>
      <w:lvlText w:val="%5."/>
      <w:lvlJc w:val="left"/>
      <w:pPr>
        <w:ind w:left="5730" w:hanging="360"/>
      </w:pPr>
    </w:lvl>
    <w:lvl w:ilvl="5" w:tplc="080A001B" w:tentative="1">
      <w:start w:val="1"/>
      <w:numFmt w:val="lowerRoman"/>
      <w:lvlText w:val="%6."/>
      <w:lvlJc w:val="right"/>
      <w:pPr>
        <w:ind w:left="6450" w:hanging="180"/>
      </w:pPr>
    </w:lvl>
    <w:lvl w:ilvl="6" w:tplc="080A000F" w:tentative="1">
      <w:start w:val="1"/>
      <w:numFmt w:val="decimal"/>
      <w:lvlText w:val="%7."/>
      <w:lvlJc w:val="left"/>
      <w:pPr>
        <w:ind w:left="7170" w:hanging="360"/>
      </w:pPr>
    </w:lvl>
    <w:lvl w:ilvl="7" w:tplc="080A0019" w:tentative="1">
      <w:start w:val="1"/>
      <w:numFmt w:val="lowerLetter"/>
      <w:lvlText w:val="%8."/>
      <w:lvlJc w:val="left"/>
      <w:pPr>
        <w:ind w:left="7890" w:hanging="360"/>
      </w:pPr>
    </w:lvl>
    <w:lvl w:ilvl="8" w:tplc="080A001B" w:tentative="1">
      <w:start w:val="1"/>
      <w:numFmt w:val="lowerRoman"/>
      <w:lvlText w:val="%9."/>
      <w:lvlJc w:val="right"/>
      <w:pPr>
        <w:ind w:left="8610" w:hanging="180"/>
      </w:pPr>
    </w:lvl>
  </w:abstractNum>
  <w:abstractNum w:abstractNumId="5">
    <w:nsid w:val="1CAC1F95"/>
    <w:multiLevelType w:val="hybridMultilevel"/>
    <w:tmpl w:val="2FE845F6"/>
    <w:lvl w:ilvl="0" w:tplc="4FAE14F4">
      <w:start w:val="1"/>
      <w:numFmt w:val="lowerLetter"/>
      <w:lvlText w:val="%1)"/>
      <w:lvlJc w:val="left"/>
      <w:pPr>
        <w:ind w:left="1260" w:hanging="360"/>
      </w:pPr>
      <w:rPr>
        <w:rFonts w:hint="default"/>
      </w:rPr>
    </w:lvl>
    <w:lvl w:ilvl="1" w:tplc="080A0019" w:tentative="1">
      <w:start w:val="1"/>
      <w:numFmt w:val="lowerLetter"/>
      <w:lvlText w:val="%2."/>
      <w:lvlJc w:val="left"/>
      <w:pPr>
        <w:ind w:left="1980" w:hanging="360"/>
      </w:pPr>
    </w:lvl>
    <w:lvl w:ilvl="2" w:tplc="080A001B" w:tentative="1">
      <w:start w:val="1"/>
      <w:numFmt w:val="lowerRoman"/>
      <w:lvlText w:val="%3."/>
      <w:lvlJc w:val="right"/>
      <w:pPr>
        <w:ind w:left="2700" w:hanging="180"/>
      </w:pPr>
    </w:lvl>
    <w:lvl w:ilvl="3" w:tplc="080A000F" w:tentative="1">
      <w:start w:val="1"/>
      <w:numFmt w:val="decimal"/>
      <w:lvlText w:val="%4."/>
      <w:lvlJc w:val="left"/>
      <w:pPr>
        <w:ind w:left="3420" w:hanging="360"/>
      </w:pPr>
    </w:lvl>
    <w:lvl w:ilvl="4" w:tplc="080A0019" w:tentative="1">
      <w:start w:val="1"/>
      <w:numFmt w:val="lowerLetter"/>
      <w:lvlText w:val="%5."/>
      <w:lvlJc w:val="left"/>
      <w:pPr>
        <w:ind w:left="4140" w:hanging="360"/>
      </w:pPr>
    </w:lvl>
    <w:lvl w:ilvl="5" w:tplc="080A001B" w:tentative="1">
      <w:start w:val="1"/>
      <w:numFmt w:val="lowerRoman"/>
      <w:lvlText w:val="%6."/>
      <w:lvlJc w:val="right"/>
      <w:pPr>
        <w:ind w:left="4860" w:hanging="180"/>
      </w:pPr>
    </w:lvl>
    <w:lvl w:ilvl="6" w:tplc="080A000F" w:tentative="1">
      <w:start w:val="1"/>
      <w:numFmt w:val="decimal"/>
      <w:lvlText w:val="%7."/>
      <w:lvlJc w:val="left"/>
      <w:pPr>
        <w:ind w:left="5580" w:hanging="360"/>
      </w:pPr>
    </w:lvl>
    <w:lvl w:ilvl="7" w:tplc="080A0019" w:tentative="1">
      <w:start w:val="1"/>
      <w:numFmt w:val="lowerLetter"/>
      <w:lvlText w:val="%8."/>
      <w:lvlJc w:val="left"/>
      <w:pPr>
        <w:ind w:left="6300" w:hanging="360"/>
      </w:pPr>
    </w:lvl>
    <w:lvl w:ilvl="8" w:tplc="080A001B" w:tentative="1">
      <w:start w:val="1"/>
      <w:numFmt w:val="lowerRoman"/>
      <w:lvlText w:val="%9."/>
      <w:lvlJc w:val="right"/>
      <w:pPr>
        <w:ind w:left="7020" w:hanging="180"/>
      </w:pPr>
    </w:lvl>
  </w:abstractNum>
  <w:abstractNum w:abstractNumId="6">
    <w:nsid w:val="24823EF5"/>
    <w:multiLevelType w:val="hybridMultilevel"/>
    <w:tmpl w:val="441C64A4"/>
    <w:lvl w:ilvl="0" w:tplc="ED86B9C4">
      <w:start w:val="1"/>
      <w:numFmt w:val="lowerLetter"/>
      <w:lvlText w:val="%1)"/>
      <w:lvlJc w:val="left"/>
      <w:pPr>
        <w:ind w:left="1260" w:hanging="360"/>
      </w:pPr>
      <w:rPr>
        <w:rFonts w:hint="default"/>
      </w:rPr>
    </w:lvl>
    <w:lvl w:ilvl="1" w:tplc="080A0019" w:tentative="1">
      <w:start w:val="1"/>
      <w:numFmt w:val="lowerLetter"/>
      <w:lvlText w:val="%2."/>
      <w:lvlJc w:val="left"/>
      <w:pPr>
        <w:ind w:left="1980" w:hanging="360"/>
      </w:pPr>
    </w:lvl>
    <w:lvl w:ilvl="2" w:tplc="080A001B" w:tentative="1">
      <w:start w:val="1"/>
      <w:numFmt w:val="lowerRoman"/>
      <w:lvlText w:val="%3."/>
      <w:lvlJc w:val="right"/>
      <w:pPr>
        <w:ind w:left="2700" w:hanging="180"/>
      </w:pPr>
    </w:lvl>
    <w:lvl w:ilvl="3" w:tplc="080A000F" w:tentative="1">
      <w:start w:val="1"/>
      <w:numFmt w:val="decimal"/>
      <w:lvlText w:val="%4."/>
      <w:lvlJc w:val="left"/>
      <w:pPr>
        <w:ind w:left="3420" w:hanging="360"/>
      </w:pPr>
    </w:lvl>
    <w:lvl w:ilvl="4" w:tplc="080A0019" w:tentative="1">
      <w:start w:val="1"/>
      <w:numFmt w:val="lowerLetter"/>
      <w:lvlText w:val="%5."/>
      <w:lvlJc w:val="left"/>
      <w:pPr>
        <w:ind w:left="4140" w:hanging="360"/>
      </w:pPr>
    </w:lvl>
    <w:lvl w:ilvl="5" w:tplc="080A001B" w:tentative="1">
      <w:start w:val="1"/>
      <w:numFmt w:val="lowerRoman"/>
      <w:lvlText w:val="%6."/>
      <w:lvlJc w:val="right"/>
      <w:pPr>
        <w:ind w:left="4860" w:hanging="180"/>
      </w:pPr>
    </w:lvl>
    <w:lvl w:ilvl="6" w:tplc="080A000F" w:tentative="1">
      <w:start w:val="1"/>
      <w:numFmt w:val="decimal"/>
      <w:lvlText w:val="%7."/>
      <w:lvlJc w:val="left"/>
      <w:pPr>
        <w:ind w:left="5580" w:hanging="360"/>
      </w:pPr>
    </w:lvl>
    <w:lvl w:ilvl="7" w:tplc="080A0019" w:tentative="1">
      <w:start w:val="1"/>
      <w:numFmt w:val="lowerLetter"/>
      <w:lvlText w:val="%8."/>
      <w:lvlJc w:val="left"/>
      <w:pPr>
        <w:ind w:left="6300" w:hanging="360"/>
      </w:pPr>
    </w:lvl>
    <w:lvl w:ilvl="8" w:tplc="080A001B" w:tentative="1">
      <w:start w:val="1"/>
      <w:numFmt w:val="lowerRoman"/>
      <w:lvlText w:val="%9."/>
      <w:lvlJc w:val="right"/>
      <w:pPr>
        <w:ind w:left="7020" w:hanging="180"/>
      </w:pPr>
    </w:lvl>
  </w:abstractNum>
  <w:abstractNum w:abstractNumId="7">
    <w:nsid w:val="2F657BA3"/>
    <w:multiLevelType w:val="hybridMultilevel"/>
    <w:tmpl w:val="EB805140"/>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nsid w:val="33D540EF"/>
    <w:multiLevelType w:val="hybridMultilevel"/>
    <w:tmpl w:val="A1108954"/>
    <w:lvl w:ilvl="0" w:tplc="080A000F">
      <w:start w:val="1"/>
      <w:numFmt w:val="decimal"/>
      <w:lvlText w:val="%1."/>
      <w:lvlJc w:val="left"/>
      <w:pPr>
        <w:ind w:left="930" w:hanging="360"/>
      </w:pPr>
    </w:lvl>
    <w:lvl w:ilvl="1" w:tplc="080A0019" w:tentative="1">
      <w:start w:val="1"/>
      <w:numFmt w:val="lowerLetter"/>
      <w:lvlText w:val="%2."/>
      <w:lvlJc w:val="left"/>
      <w:pPr>
        <w:ind w:left="1650" w:hanging="360"/>
      </w:pPr>
    </w:lvl>
    <w:lvl w:ilvl="2" w:tplc="080A001B" w:tentative="1">
      <w:start w:val="1"/>
      <w:numFmt w:val="lowerRoman"/>
      <w:lvlText w:val="%3."/>
      <w:lvlJc w:val="right"/>
      <w:pPr>
        <w:ind w:left="2370" w:hanging="180"/>
      </w:pPr>
    </w:lvl>
    <w:lvl w:ilvl="3" w:tplc="080A000F" w:tentative="1">
      <w:start w:val="1"/>
      <w:numFmt w:val="decimal"/>
      <w:lvlText w:val="%4."/>
      <w:lvlJc w:val="left"/>
      <w:pPr>
        <w:ind w:left="3090" w:hanging="360"/>
      </w:pPr>
    </w:lvl>
    <w:lvl w:ilvl="4" w:tplc="080A0019" w:tentative="1">
      <w:start w:val="1"/>
      <w:numFmt w:val="lowerLetter"/>
      <w:lvlText w:val="%5."/>
      <w:lvlJc w:val="left"/>
      <w:pPr>
        <w:ind w:left="3810" w:hanging="360"/>
      </w:pPr>
    </w:lvl>
    <w:lvl w:ilvl="5" w:tplc="080A001B" w:tentative="1">
      <w:start w:val="1"/>
      <w:numFmt w:val="lowerRoman"/>
      <w:lvlText w:val="%6."/>
      <w:lvlJc w:val="right"/>
      <w:pPr>
        <w:ind w:left="4530" w:hanging="180"/>
      </w:pPr>
    </w:lvl>
    <w:lvl w:ilvl="6" w:tplc="080A000F" w:tentative="1">
      <w:start w:val="1"/>
      <w:numFmt w:val="decimal"/>
      <w:lvlText w:val="%7."/>
      <w:lvlJc w:val="left"/>
      <w:pPr>
        <w:ind w:left="5250" w:hanging="360"/>
      </w:pPr>
    </w:lvl>
    <w:lvl w:ilvl="7" w:tplc="080A0019" w:tentative="1">
      <w:start w:val="1"/>
      <w:numFmt w:val="lowerLetter"/>
      <w:lvlText w:val="%8."/>
      <w:lvlJc w:val="left"/>
      <w:pPr>
        <w:ind w:left="5970" w:hanging="360"/>
      </w:pPr>
    </w:lvl>
    <w:lvl w:ilvl="8" w:tplc="080A001B" w:tentative="1">
      <w:start w:val="1"/>
      <w:numFmt w:val="lowerRoman"/>
      <w:lvlText w:val="%9."/>
      <w:lvlJc w:val="right"/>
      <w:pPr>
        <w:ind w:left="6690" w:hanging="180"/>
      </w:pPr>
    </w:lvl>
  </w:abstractNum>
  <w:abstractNum w:abstractNumId="9">
    <w:nsid w:val="350D00B5"/>
    <w:multiLevelType w:val="hybridMultilevel"/>
    <w:tmpl w:val="99FE202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nsid w:val="36EE07B4"/>
    <w:multiLevelType w:val="hybridMultilevel"/>
    <w:tmpl w:val="955A242E"/>
    <w:lvl w:ilvl="0" w:tplc="9DEA8C66">
      <w:start w:val="1"/>
      <w:numFmt w:val="lowerLetter"/>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11">
    <w:nsid w:val="3AA16E65"/>
    <w:multiLevelType w:val="hybridMultilevel"/>
    <w:tmpl w:val="4DE0E4F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nsid w:val="4879110E"/>
    <w:multiLevelType w:val="hybridMultilevel"/>
    <w:tmpl w:val="09F6A086"/>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nsid w:val="4FB93017"/>
    <w:multiLevelType w:val="hybridMultilevel"/>
    <w:tmpl w:val="4D8A40CC"/>
    <w:lvl w:ilvl="0" w:tplc="080A0001">
      <w:start w:val="1"/>
      <w:numFmt w:val="bullet"/>
      <w:lvlText w:val=""/>
      <w:lvlJc w:val="left"/>
      <w:pPr>
        <w:ind w:left="1620" w:hanging="360"/>
      </w:pPr>
      <w:rPr>
        <w:rFonts w:ascii="Symbol" w:hAnsi="Symbol" w:hint="default"/>
      </w:rPr>
    </w:lvl>
    <w:lvl w:ilvl="1" w:tplc="080A0003" w:tentative="1">
      <w:start w:val="1"/>
      <w:numFmt w:val="bullet"/>
      <w:lvlText w:val="o"/>
      <w:lvlJc w:val="left"/>
      <w:pPr>
        <w:ind w:left="2340" w:hanging="360"/>
      </w:pPr>
      <w:rPr>
        <w:rFonts w:ascii="Courier New" w:hAnsi="Courier New" w:cs="Courier New" w:hint="default"/>
      </w:rPr>
    </w:lvl>
    <w:lvl w:ilvl="2" w:tplc="080A0005" w:tentative="1">
      <w:start w:val="1"/>
      <w:numFmt w:val="bullet"/>
      <w:lvlText w:val=""/>
      <w:lvlJc w:val="left"/>
      <w:pPr>
        <w:ind w:left="3060" w:hanging="360"/>
      </w:pPr>
      <w:rPr>
        <w:rFonts w:ascii="Wingdings" w:hAnsi="Wingdings" w:hint="default"/>
      </w:rPr>
    </w:lvl>
    <w:lvl w:ilvl="3" w:tplc="080A0001" w:tentative="1">
      <w:start w:val="1"/>
      <w:numFmt w:val="bullet"/>
      <w:lvlText w:val=""/>
      <w:lvlJc w:val="left"/>
      <w:pPr>
        <w:ind w:left="3780" w:hanging="360"/>
      </w:pPr>
      <w:rPr>
        <w:rFonts w:ascii="Symbol" w:hAnsi="Symbol" w:hint="default"/>
      </w:rPr>
    </w:lvl>
    <w:lvl w:ilvl="4" w:tplc="080A0003" w:tentative="1">
      <w:start w:val="1"/>
      <w:numFmt w:val="bullet"/>
      <w:lvlText w:val="o"/>
      <w:lvlJc w:val="left"/>
      <w:pPr>
        <w:ind w:left="4500" w:hanging="360"/>
      </w:pPr>
      <w:rPr>
        <w:rFonts w:ascii="Courier New" w:hAnsi="Courier New" w:cs="Courier New" w:hint="default"/>
      </w:rPr>
    </w:lvl>
    <w:lvl w:ilvl="5" w:tplc="080A0005" w:tentative="1">
      <w:start w:val="1"/>
      <w:numFmt w:val="bullet"/>
      <w:lvlText w:val=""/>
      <w:lvlJc w:val="left"/>
      <w:pPr>
        <w:ind w:left="5220" w:hanging="360"/>
      </w:pPr>
      <w:rPr>
        <w:rFonts w:ascii="Wingdings" w:hAnsi="Wingdings" w:hint="default"/>
      </w:rPr>
    </w:lvl>
    <w:lvl w:ilvl="6" w:tplc="080A0001" w:tentative="1">
      <w:start w:val="1"/>
      <w:numFmt w:val="bullet"/>
      <w:lvlText w:val=""/>
      <w:lvlJc w:val="left"/>
      <w:pPr>
        <w:ind w:left="5940" w:hanging="360"/>
      </w:pPr>
      <w:rPr>
        <w:rFonts w:ascii="Symbol" w:hAnsi="Symbol" w:hint="default"/>
      </w:rPr>
    </w:lvl>
    <w:lvl w:ilvl="7" w:tplc="080A0003" w:tentative="1">
      <w:start w:val="1"/>
      <w:numFmt w:val="bullet"/>
      <w:lvlText w:val="o"/>
      <w:lvlJc w:val="left"/>
      <w:pPr>
        <w:ind w:left="6660" w:hanging="360"/>
      </w:pPr>
      <w:rPr>
        <w:rFonts w:ascii="Courier New" w:hAnsi="Courier New" w:cs="Courier New" w:hint="default"/>
      </w:rPr>
    </w:lvl>
    <w:lvl w:ilvl="8" w:tplc="080A0005" w:tentative="1">
      <w:start w:val="1"/>
      <w:numFmt w:val="bullet"/>
      <w:lvlText w:val=""/>
      <w:lvlJc w:val="left"/>
      <w:pPr>
        <w:ind w:left="7380" w:hanging="360"/>
      </w:pPr>
      <w:rPr>
        <w:rFonts w:ascii="Wingdings" w:hAnsi="Wingdings" w:hint="default"/>
      </w:rPr>
    </w:lvl>
  </w:abstractNum>
  <w:abstractNum w:abstractNumId="14">
    <w:nsid w:val="50260564"/>
    <w:multiLevelType w:val="hybridMultilevel"/>
    <w:tmpl w:val="38BCED5E"/>
    <w:lvl w:ilvl="0" w:tplc="EC563C6A">
      <w:start w:val="1"/>
      <w:numFmt w:val="upperLetter"/>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15">
    <w:nsid w:val="52392391"/>
    <w:multiLevelType w:val="hybridMultilevel"/>
    <w:tmpl w:val="D598A39C"/>
    <w:lvl w:ilvl="0" w:tplc="510221CC">
      <w:numFmt w:val="bullet"/>
      <w:lvlText w:val=""/>
      <w:lvlJc w:val="left"/>
      <w:pPr>
        <w:ind w:left="1211" w:hanging="360"/>
      </w:pPr>
      <w:rPr>
        <w:rFonts w:ascii="Symbol" w:eastAsia="Arial Unicode MS" w:hAnsi="Symbol" w:cs="Arial" w:hint="default"/>
      </w:rPr>
    </w:lvl>
    <w:lvl w:ilvl="1" w:tplc="080A0003" w:tentative="1">
      <w:start w:val="1"/>
      <w:numFmt w:val="bullet"/>
      <w:lvlText w:val="o"/>
      <w:lvlJc w:val="left"/>
      <w:pPr>
        <w:ind w:left="1931" w:hanging="360"/>
      </w:pPr>
      <w:rPr>
        <w:rFonts w:ascii="Courier New" w:hAnsi="Courier New" w:cs="Courier New" w:hint="default"/>
      </w:rPr>
    </w:lvl>
    <w:lvl w:ilvl="2" w:tplc="080A0005" w:tentative="1">
      <w:start w:val="1"/>
      <w:numFmt w:val="bullet"/>
      <w:lvlText w:val=""/>
      <w:lvlJc w:val="left"/>
      <w:pPr>
        <w:ind w:left="2651" w:hanging="360"/>
      </w:pPr>
      <w:rPr>
        <w:rFonts w:ascii="Wingdings" w:hAnsi="Wingdings" w:hint="default"/>
      </w:rPr>
    </w:lvl>
    <w:lvl w:ilvl="3" w:tplc="080A0001" w:tentative="1">
      <w:start w:val="1"/>
      <w:numFmt w:val="bullet"/>
      <w:lvlText w:val=""/>
      <w:lvlJc w:val="left"/>
      <w:pPr>
        <w:ind w:left="3371" w:hanging="360"/>
      </w:pPr>
      <w:rPr>
        <w:rFonts w:ascii="Symbol" w:hAnsi="Symbol" w:hint="default"/>
      </w:rPr>
    </w:lvl>
    <w:lvl w:ilvl="4" w:tplc="080A0003" w:tentative="1">
      <w:start w:val="1"/>
      <w:numFmt w:val="bullet"/>
      <w:lvlText w:val="o"/>
      <w:lvlJc w:val="left"/>
      <w:pPr>
        <w:ind w:left="4091" w:hanging="360"/>
      </w:pPr>
      <w:rPr>
        <w:rFonts w:ascii="Courier New" w:hAnsi="Courier New" w:cs="Courier New" w:hint="default"/>
      </w:rPr>
    </w:lvl>
    <w:lvl w:ilvl="5" w:tplc="080A0005" w:tentative="1">
      <w:start w:val="1"/>
      <w:numFmt w:val="bullet"/>
      <w:lvlText w:val=""/>
      <w:lvlJc w:val="left"/>
      <w:pPr>
        <w:ind w:left="4811" w:hanging="360"/>
      </w:pPr>
      <w:rPr>
        <w:rFonts w:ascii="Wingdings" w:hAnsi="Wingdings" w:hint="default"/>
      </w:rPr>
    </w:lvl>
    <w:lvl w:ilvl="6" w:tplc="080A0001" w:tentative="1">
      <w:start w:val="1"/>
      <w:numFmt w:val="bullet"/>
      <w:lvlText w:val=""/>
      <w:lvlJc w:val="left"/>
      <w:pPr>
        <w:ind w:left="5531" w:hanging="360"/>
      </w:pPr>
      <w:rPr>
        <w:rFonts w:ascii="Symbol" w:hAnsi="Symbol" w:hint="default"/>
      </w:rPr>
    </w:lvl>
    <w:lvl w:ilvl="7" w:tplc="080A0003" w:tentative="1">
      <w:start w:val="1"/>
      <w:numFmt w:val="bullet"/>
      <w:lvlText w:val="o"/>
      <w:lvlJc w:val="left"/>
      <w:pPr>
        <w:ind w:left="6251" w:hanging="360"/>
      </w:pPr>
      <w:rPr>
        <w:rFonts w:ascii="Courier New" w:hAnsi="Courier New" w:cs="Courier New" w:hint="default"/>
      </w:rPr>
    </w:lvl>
    <w:lvl w:ilvl="8" w:tplc="080A0005" w:tentative="1">
      <w:start w:val="1"/>
      <w:numFmt w:val="bullet"/>
      <w:lvlText w:val=""/>
      <w:lvlJc w:val="left"/>
      <w:pPr>
        <w:ind w:left="6971" w:hanging="360"/>
      </w:pPr>
      <w:rPr>
        <w:rFonts w:ascii="Wingdings" w:hAnsi="Wingdings" w:hint="default"/>
      </w:rPr>
    </w:lvl>
  </w:abstractNum>
  <w:abstractNum w:abstractNumId="16">
    <w:nsid w:val="5311723B"/>
    <w:multiLevelType w:val="hybridMultilevel"/>
    <w:tmpl w:val="1C64A858"/>
    <w:lvl w:ilvl="0" w:tplc="03845096">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nsid w:val="56762D72"/>
    <w:multiLevelType w:val="hybridMultilevel"/>
    <w:tmpl w:val="41C0D35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8">
    <w:nsid w:val="5F907510"/>
    <w:multiLevelType w:val="hybridMultilevel"/>
    <w:tmpl w:val="A52ACE5C"/>
    <w:lvl w:ilvl="0" w:tplc="837E08AA">
      <w:start w:val="1"/>
      <w:numFmt w:val="lowerLetter"/>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19">
    <w:nsid w:val="62DB4176"/>
    <w:multiLevelType w:val="hybridMultilevel"/>
    <w:tmpl w:val="B7B8A2C2"/>
    <w:lvl w:ilvl="0" w:tplc="0B145F12">
      <w:start w:val="1"/>
      <w:numFmt w:val="decimal"/>
      <w:lvlText w:val="%1."/>
      <w:lvlJc w:val="left"/>
      <w:pPr>
        <w:ind w:left="1260" w:hanging="360"/>
      </w:pPr>
      <w:rPr>
        <w:rFonts w:hint="default"/>
      </w:rPr>
    </w:lvl>
    <w:lvl w:ilvl="1" w:tplc="080A0019" w:tentative="1">
      <w:start w:val="1"/>
      <w:numFmt w:val="lowerLetter"/>
      <w:lvlText w:val="%2."/>
      <w:lvlJc w:val="left"/>
      <w:pPr>
        <w:ind w:left="1980" w:hanging="360"/>
      </w:pPr>
    </w:lvl>
    <w:lvl w:ilvl="2" w:tplc="080A001B" w:tentative="1">
      <w:start w:val="1"/>
      <w:numFmt w:val="lowerRoman"/>
      <w:lvlText w:val="%3."/>
      <w:lvlJc w:val="right"/>
      <w:pPr>
        <w:ind w:left="2700" w:hanging="180"/>
      </w:pPr>
    </w:lvl>
    <w:lvl w:ilvl="3" w:tplc="080A000F" w:tentative="1">
      <w:start w:val="1"/>
      <w:numFmt w:val="decimal"/>
      <w:lvlText w:val="%4."/>
      <w:lvlJc w:val="left"/>
      <w:pPr>
        <w:ind w:left="3420" w:hanging="360"/>
      </w:pPr>
    </w:lvl>
    <w:lvl w:ilvl="4" w:tplc="080A0019" w:tentative="1">
      <w:start w:val="1"/>
      <w:numFmt w:val="lowerLetter"/>
      <w:lvlText w:val="%5."/>
      <w:lvlJc w:val="left"/>
      <w:pPr>
        <w:ind w:left="4140" w:hanging="360"/>
      </w:pPr>
    </w:lvl>
    <w:lvl w:ilvl="5" w:tplc="080A001B" w:tentative="1">
      <w:start w:val="1"/>
      <w:numFmt w:val="lowerRoman"/>
      <w:lvlText w:val="%6."/>
      <w:lvlJc w:val="right"/>
      <w:pPr>
        <w:ind w:left="4860" w:hanging="180"/>
      </w:pPr>
    </w:lvl>
    <w:lvl w:ilvl="6" w:tplc="080A000F" w:tentative="1">
      <w:start w:val="1"/>
      <w:numFmt w:val="decimal"/>
      <w:lvlText w:val="%7."/>
      <w:lvlJc w:val="left"/>
      <w:pPr>
        <w:ind w:left="5580" w:hanging="360"/>
      </w:pPr>
    </w:lvl>
    <w:lvl w:ilvl="7" w:tplc="080A0019" w:tentative="1">
      <w:start w:val="1"/>
      <w:numFmt w:val="lowerLetter"/>
      <w:lvlText w:val="%8."/>
      <w:lvlJc w:val="left"/>
      <w:pPr>
        <w:ind w:left="6300" w:hanging="360"/>
      </w:pPr>
    </w:lvl>
    <w:lvl w:ilvl="8" w:tplc="080A001B" w:tentative="1">
      <w:start w:val="1"/>
      <w:numFmt w:val="lowerRoman"/>
      <w:lvlText w:val="%9."/>
      <w:lvlJc w:val="right"/>
      <w:pPr>
        <w:ind w:left="7020" w:hanging="180"/>
      </w:pPr>
    </w:lvl>
  </w:abstractNum>
  <w:abstractNum w:abstractNumId="20">
    <w:nsid w:val="6462592B"/>
    <w:multiLevelType w:val="hybridMultilevel"/>
    <w:tmpl w:val="2766B9A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1">
    <w:nsid w:val="736E1286"/>
    <w:multiLevelType w:val="hybridMultilevel"/>
    <w:tmpl w:val="469073D8"/>
    <w:lvl w:ilvl="0" w:tplc="1848D0D0">
      <w:start w:val="1"/>
      <w:numFmt w:val="upperRoman"/>
      <w:lvlText w:val="%1."/>
      <w:lvlJc w:val="left"/>
      <w:pPr>
        <w:ind w:left="1620" w:hanging="720"/>
      </w:pPr>
      <w:rPr>
        <w:rFonts w:hint="default"/>
      </w:rPr>
    </w:lvl>
    <w:lvl w:ilvl="1" w:tplc="080A0019" w:tentative="1">
      <w:start w:val="1"/>
      <w:numFmt w:val="lowerLetter"/>
      <w:lvlText w:val="%2."/>
      <w:lvlJc w:val="left"/>
      <w:pPr>
        <w:ind w:left="1980" w:hanging="360"/>
      </w:pPr>
    </w:lvl>
    <w:lvl w:ilvl="2" w:tplc="080A001B" w:tentative="1">
      <w:start w:val="1"/>
      <w:numFmt w:val="lowerRoman"/>
      <w:lvlText w:val="%3."/>
      <w:lvlJc w:val="right"/>
      <w:pPr>
        <w:ind w:left="2700" w:hanging="180"/>
      </w:pPr>
    </w:lvl>
    <w:lvl w:ilvl="3" w:tplc="080A000F" w:tentative="1">
      <w:start w:val="1"/>
      <w:numFmt w:val="decimal"/>
      <w:lvlText w:val="%4."/>
      <w:lvlJc w:val="left"/>
      <w:pPr>
        <w:ind w:left="3420" w:hanging="360"/>
      </w:pPr>
    </w:lvl>
    <w:lvl w:ilvl="4" w:tplc="080A0019" w:tentative="1">
      <w:start w:val="1"/>
      <w:numFmt w:val="lowerLetter"/>
      <w:lvlText w:val="%5."/>
      <w:lvlJc w:val="left"/>
      <w:pPr>
        <w:ind w:left="4140" w:hanging="360"/>
      </w:pPr>
    </w:lvl>
    <w:lvl w:ilvl="5" w:tplc="080A001B" w:tentative="1">
      <w:start w:val="1"/>
      <w:numFmt w:val="lowerRoman"/>
      <w:lvlText w:val="%6."/>
      <w:lvlJc w:val="right"/>
      <w:pPr>
        <w:ind w:left="4860" w:hanging="180"/>
      </w:pPr>
    </w:lvl>
    <w:lvl w:ilvl="6" w:tplc="080A000F" w:tentative="1">
      <w:start w:val="1"/>
      <w:numFmt w:val="decimal"/>
      <w:lvlText w:val="%7."/>
      <w:lvlJc w:val="left"/>
      <w:pPr>
        <w:ind w:left="5580" w:hanging="360"/>
      </w:pPr>
    </w:lvl>
    <w:lvl w:ilvl="7" w:tplc="080A0019" w:tentative="1">
      <w:start w:val="1"/>
      <w:numFmt w:val="lowerLetter"/>
      <w:lvlText w:val="%8."/>
      <w:lvlJc w:val="left"/>
      <w:pPr>
        <w:ind w:left="6300" w:hanging="360"/>
      </w:pPr>
    </w:lvl>
    <w:lvl w:ilvl="8" w:tplc="080A001B" w:tentative="1">
      <w:start w:val="1"/>
      <w:numFmt w:val="lowerRoman"/>
      <w:lvlText w:val="%9."/>
      <w:lvlJc w:val="right"/>
      <w:pPr>
        <w:ind w:left="7020" w:hanging="180"/>
      </w:pPr>
    </w:lvl>
  </w:abstractNum>
  <w:abstractNum w:abstractNumId="22">
    <w:nsid w:val="75EB7F57"/>
    <w:multiLevelType w:val="hybridMultilevel"/>
    <w:tmpl w:val="0454830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nsid w:val="77640E38"/>
    <w:multiLevelType w:val="hybridMultilevel"/>
    <w:tmpl w:val="DD325606"/>
    <w:lvl w:ilvl="0" w:tplc="47B422B4">
      <w:start w:val="1"/>
      <w:numFmt w:val="lowerLetter"/>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24">
    <w:nsid w:val="784E258E"/>
    <w:multiLevelType w:val="hybridMultilevel"/>
    <w:tmpl w:val="D124EFA4"/>
    <w:lvl w:ilvl="0" w:tplc="7354BD4E">
      <w:start w:val="1"/>
      <w:numFmt w:val="lowerLetter"/>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25">
    <w:nsid w:val="7BCB673D"/>
    <w:multiLevelType w:val="hybridMultilevel"/>
    <w:tmpl w:val="BA36418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2"/>
  </w:num>
  <w:num w:numId="2">
    <w:abstractNumId w:val="23"/>
  </w:num>
  <w:num w:numId="3">
    <w:abstractNumId w:val="18"/>
  </w:num>
  <w:num w:numId="4">
    <w:abstractNumId w:val="3"/>
  </w:num>
  <w:num w:numId="5">
    <w:abstractNumId w:val="5"/>
  </w:num>
  <w:num w:numId="6">
    <w:abstractNumId w:val="14"/>
  </w:num>
  <w:num w:numId="7">
    <w:abstractNumId w:val="1"/>
  </w:num>
  <w:num w:numId="8">
    <w:abstractNumId w:val="6"/>
  </w:num>
  <w:num w:numId="9">
    <w:abstractNumId w:val="25"/>
  </w:num>
  <w:num w:numId="10">
    <w:abstractNumId w:val="21"/>
  </w:num>
  <w:num w:numId="11">
    <w:abstractNumId w:val="13"/>
  </w:num>
  <w:num w:numId="12">
    <w:abstractNumId w:val="16"/>
  </w:num>
  <w:num w:numId="13">
    <w:abstractNumId w:val="10"/>
  </w:num>
  <w:num w:numId="14">
    <w:abstractNumId w:val="11"/>
  </w:num>
  <w:num w:numId="15">
    <w:abstractNumId w:val="8"/>
  </w:num>
  <w:num w:numId="16">
    <w:abstractNumId w:val="20"/>
  </w:num>
  <w:num w:numId="17">
    <w:abstractNumId w:val="17"/>
  </w:num>
  <w:num w:numId="18">
    <w:abstractNumId w:val="9"/>
  </w:num>
  <w:num w:numId="19">
    <w:abstractNumId w:val="7"/>
  </w:num>
  <w:num w:numId="20">
    <w:abstractNumId w:val="12"/>
  </w:num>
  <w:num w:numId="21">
    <w:abstractNumId w:val="0"/>
  </w:num>
  <w:num w:numId="22">
    <w:abstractNumId w:val="22"/>
  </w:num>
  <w:num w:numId="23">
    <w:abstractNumId w:val="19"/>
  </w:num>
  <w:num w:numId="24">
    <w:abstractNumId w:val="4"/>
  </w:num>
  <w:num w:numId="25">
    <w:abstractNumId w:val="24"/>
  </w:num>
  <w:num w:numId="26">
    <w:abstractNumId w:val="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mirrorMargins/>
  <w:proofState w:spelling="clean" w:grammar="clean"/>
  <w:defaultTabStop w:val="708"/>
  <w:hyphenationZone w:val="425"/>
  <w:drawingGridHorizontalSpacing w:val="130"/>
  <w:displayHorizontalDrawingGridEvery w:val="2"/>
  <w:displayVerticalDrawingGridEvery w:val="2"/>
  <w:characterSpacingControl w:val="doNotCompress"/>
  <w:hdrShapeDefaults>
    <o:shapedefaults v:ext="edit" spidmax="8194"/>
  </w:hdrShapeDefaults>
  <w:footnotePr>
    <w:footnote w:id="-1"/>
    <w:footnote w:id="0"/>
  </w:footnotePr>
  <w:endnotePr>
    <w:endnote w:id="-1"/>
    <w:endnote w:id="0"/>
  </w:endnotePr>
  <w:compat/>
  <w:rsids>
    <w:rsidRoot w:val="00547C44"/>
    <w:rsid w:val="0000036C"/>
    <w:rsid w:val="00000970"/>
    <w:rsid w:val="000011B1"/>
    <w:rsid w:val="00002D57"/>
    <w:rsid w:val="0001055D"/>
    <w:rsid w:val="00011F94"/>
    <w:rsid w:val="00013C06"/>
    <w:rsid w:val="0001774A"/>
    <w:rsid w:val="000177DD"/>
    <w:rsid w:val="00033326"/>
    <w:rsid w:val="00037408"/>
    <w:rsid w:val="000425FE"/>
    <w:rsid w:val="0004354C"/>
    <w:rsid w:val="000451BF"/>
    <w:rsid w:val="00061128"/>
    <w:rsid w:val="00062D73"/>
    <w:rsid w:val="00072340"/>
    <w:rsid w:val="00077E33"/>
    <w:rsid w:val="00086D7F"/>
    <w:rsid w:val="000967F2"/>
    <w:rsid w:val="00096C1B"/>
    <w:rsid w:val="000A1D16"/>
    <w:rsid w:val="000A33AA"/>
    <w:rsid w:val="000A6A64"/>
    <w:rsid w:val="000B38D3"/>
    <w:rsid w:val="000B4951"/>
    <w:rsid w:val="000B55A2"/>
    <w:rsid w:val="000C6676"/>
    <w:rsid w:val="000D1BDE"/>
    <w:rsid w:val="000D5428"/>
    <w:rsid w:val="000D7425"/>
    <w:rsid w:val="000E16E9"/>
    <w:rsid w:val="000E3570"/>
    <w:rsid w:val="000E7BEA"/>
    <w:rsid w:val="000F595F"/>
    <w:rsid w:val="0011496B"/>
    <w:rsid w:val="001205B0"/>
    <w:rsid w:val="001271CF"/>
    <w:rsid w:val="001326AF"/>
    <w:rsid w:val="00132933"/>
    <w:rsid w:val="001342AE"/>
    <w:rsid w:val="00160177"/>
    <w:rsid w:val="00177EEC"/>
    <w:rsid w:val="00186B7C"/>
    <w:rsid w:val="00190533"/>
    <w:rsid w:val="001A0323"/>
    <w:rsid w:val="001A3F9B"/>
    <w:rsid w:val="001A4183"/>
    <w:rsid w:val="001A4FD4"/>
    <w:rsid w:val="001A7205"/>
    <w:rsid w:val="001A7253"/>
    <w:rsid w:val="001B3E73"/>
    <w:rsid w:val="001B7F3F"/>
    <w:rsid w:val="001D3660"/>
    <w:rsid w:val="001D41A7"/>
    <w:rsid w:val="001F5D11"/>
    <w:rsid w:val="00202A8C"/>
    <w:rsid w:val="002041D3"/>
    <w:rsid w:val="00220BFA"/>
    <w:rsid w:val="00225A33"/>
    <w:rsid w:val="0023298C"/>
    <w:rsid w:val="00244E9C"/>
    <w:rsid w:val="00247D45"/>
    <w:rsid w:val="00256CA2"/>
    <w:rsid w:val="00261BC8"/>
    <w:rsid w:val="002670F1"/>
    <w:rsid w:val="00273CD8"/>
    <w:rsid w:val="00277874"/>
    <w:rsid w:val="00284664"/>
    <w:rsid w:val="002873E5"/>
    <w:rsid w:val="0029291C"/>
    <w:rsid w:val="0029435C"/>
    <w:rsid w:val="00297933"/>
    <w:rsid w:val="00297F19"/>
    <w:rsid w:val="002A0FC4"/>
    <w:rsid w:val="002A17D6"/>
    <w:rsid w:val="002B0933"/>
    <w:rsid w:val="002B722D"/>
    <w:rsid w:val="002B740A"/>
    <w:rsid w:val="002B7451"/>
    <w:rsid w:val="002C20C3"/>
    <w:rsid w:val="002C476E"/>
    <w:rsid w:val="002E0A37"/>
    <w:rsid w:val="002E615D"/>
    <w:rsid w:val="002E6D46"/>
    <w:rsid w:val="002F279B"/>
    <w:rsid w:val="00300904"/>
    <w:rsid w:val="00313897"/>
    <w:rsid w:val="00332482"/>
    <w:rsid w:val="00336FD2"/>
    <w:rsid w:val="00345ACF"/>
    <w:rsid w:val="00346A88"/>
    <w:rsid w:val="00351465"/>
    <w:rsid w:val="0036724E"/>
    <w:rsid w:val="003709F8"/>
    <w:rsid w:val="003779B1"/>
    <w:rsid w:val="00380455"/>
    <w:rsid w:val="003A292F"/>
    <w:rsid w:val="003A29F0"/>
    <w:rsid w:val="003B7E57"/>
    <w:rsid w:val="003C2E2E"/>
    <w:rsid w:val="003C3862"/>
    <w:rsid w:val="003C7758"/>
    <w:rsid w:val="003D0737"/>
    <w:rsid w:val="003D19A4"/>
    <w:rsid w:val="003E3EF4"/>
    <w:rsid w:val="003E51B9"/>
    <w:rsid w:val="003F5C68"/>
    <w:rsid w:val="004026B8"/>
    <w:rsid w:val="004131C4"/>
    <w:rsid w:val="00414FBC"/>
    <w:rsid w:val="00416678"/>
    <w:rsid w:val="00416B37"/>
    <w:rsid w:val="00420E30"/>
    <w:rsid w:val="00424DB5"/>
    <w:rsid w:val="00427660"/>
    <w:rsid w:val="004329EC"/>
    <w:rsid w:val="00435508"/>
    <w:rsid w:val="00437CD2"/>
    <w:rsid w:val="00445F5F"/>
    <w:rsid w:val="00451CBA"/>
    <w:rsid w:val="0045344E"/>
    <w:rsid w:val="00456AF3"/>
    <w:rsid w:val="00457939"/>
    <w:rsid w:val="00467FDA"/>
    <w:rsid w:val="00472A1D"/>
    <w:rsid w:val="00484038"/>
    <w:rsid w:val="00487331"/>
    <w:rsid w:val="0049249D"/>
    <w:rsid w:val="004A0B15"/>
    <w:rsid w:val="004A35B1"/>
    <w:rsid w:val="004A625A"/>
    <w:rsid w:val="004A6542"/>
    <w:rsid w:val="004A72C3"/>
    <w:rsid w:val="004B19A3"/>
    <w:rsid w:val="004B3C82"/>
    <w:rsid w:val="004C0527"/>
    <w:rsid w:val="004C4E6F"/>
    <w:rsid w:val="004C50E3"/>
    <w:rsid w:val="004C5F45"/>
    <w:rsid w:val="004C6FDE"/>
    <w:rsid w:val="004C7A7C"/>
    <w:rsid w:val="004E061D"/>
    <w:rsid w:val="004E1916"/>
    <w:rsid w:val="004E74FA"/>
    <w:rsid w:val="004F129A"/>
    <w:rsid w:val="004F18AE"/>
    <w:rsid w:val="005001E9"/>
    <w:rsid w:val="0050105D"/>
    <w:rsid w:val="0050126E"/>
    <w:rsid w:val="00502874"/>
    <w:rsid w:val="005135A5"/>
    <w:rsid w:val="00521B9B"/>
    <w:rsid w:val="00532F9E"/>
    <w:rsid w:val="0053510B"/>
    <w:rsid w:val="00545919"/>
    <w:rsid w:val="0054675F"/>
    <w:rsid w:val="00547C44"/>
    <w:rsid w:val="00553BDC"/>
    <w:rsid w:val="00560D0B"/>
    <w:rsid w:val="0056529C"/>
    <w:rsid w:val="00565459"/>
    <w:rsid w:val="0057077D"/>
    <w:rsid w:val="00570B93"/>
    <w:rsid w:val="00571D06"/>
    <w:rsid w:val="00572717"/>
    <w:rsid w:val="00576423"/>
    <w:rsid w:val="005911F6"/>
    <w:rsid w:val="00591EBD"/>
    <w:rsid w:val="005966C8"/>
    <w:rsid w:val="005A114A"/>
    <w:rsid w:val="005A2FAB"/>
    <w:rsid w:val="005B2591"/>
    <w:rsid w:val="005B3590"/>
    <w:rsid w:val="005B517E"/>
    <w:rsid w:val="005B677D"/>
    <w:rsid w:val="005C6336"/>
    <w:rsid w:val="005E1FFF"/>
    <w:rsid w:val="005F2715"/>
    <w:rsid w:val="005F332C"/>
    <w:rsid w:val="005F4682"/>
    <w:rsid w:val="005F7945"/>
    <w:rsid w:val="006001C8"/>
    <w:rsid w:val="0060038E"/>
    <w:rsid w:val="006120B7"/>
    <w:rsid w:val="0061318A"/>
    <w:rsid w:val="0061744C"/>
    <w:rsid w:val="00622A2D"/>
    <w:rsid w:val="00626DC5"/>
    <w:rsid w:val="006375C8"/>
    <w:rsid w:val="006429AA"/>
    <w:rsid w:val="006466EF"/>
    <w:rsid w:val="00652AEB"/>
    <w:rsid w:val="0065301A"/>
    <w:rsid w:val="00655772"/>
    <w:rsid w:val="00656316"/>
    <w:rsid w:val="00662D15"/>
    <w:rsid w:val="00663325"/>
    <w:rsid w:val="00672CA7"/>
    <w:rsid w:val="006738A0"/>
    <w:rsid w:val="00686EF6"/>
    <w:rsid w:val="00694542"/>
    <w:rsid w:val="006A0884"/>
    <w:rsid w:val="006A78E2"/>
    <w:rsid w:val="006B03C4"/>
    <w:rsid w:val="006B187E"/>
    <w:rsid w:val="006B676E"/>
    <w:rsid w:val="006C1DAE"/>
    <w:rsid w:val="006D109C"/>
    <w:rsid w:val="006E50C7"/>
    <w:rsid w:val="006F0024"/>
    <w:rsid w:val="006F2ECE"/>
    <w:rsid w:val="007023BB"/>
    <w:rsid w:val="00712FE7"/>
    <w:rsid w:val="00720E84"/>
    <w:rsid w:val="0072313C"/>
    <w:rsid w:val="0072714A"/>
    <w:rsid w:val="00746813"/>
    <w:rsid w:val="00746974"/>
    <w:rsid w:val="00746C83"/>
    <w:rsid w:val="00747D46"/>
    <w:rsid w:val="00750387"/>
    <w:rsid w:val="00761464"/>
    <w:rsid w:val="00775EB6"/>
    <w:rsid w:val="00776BAF"/>
    <w:rsid w:val="00790D00"/>
    <w:rsid w:val="00792D04"/>
    <w:rsid w:val="007940FA"/>
    <w:rsid w:val="007C4897"/>
    <w:rsid w:val="007D4729"/>
    <w:rsid w:val="007D483F"/>
    <w:rsid w:val="007D7208"/>
    <w:rsid w:val="007E10ED"/>
    <w:rsid w:val="007E2B63"/>
    <w:rsid w:val="007E5ADC"/>
    <w:rsid w:val="007F2B1C"/>
    <w:rsid w:val="007F5719"/>
    <w:rsid w:val="008018B5"/>
    <w:rsid w:val="00810FBC"/>
    <w:rsid w:val="00817DAC"/>
    <w:rsid w:val="00837CB2"/>
    <w:rsid w:val="00837EE4"/>
    <w:rsid w:val="008452A0"/>
    <w:rsid w:val="00846369"/>
    <w:rsid w:val="0085044F"/>
    <w:rsid w:val="008538D6"/>
    <w:rsid w:val="008613B8"/>
    <w:rsid w:val="008648D5"/>
    <w:rsid w:val="00866A3C"/>
    <w:rsid w:val="008676C0"/>
    <w:rsid w:val="0086779C"/>
    <w:rsid w:val="00867F9F"/>
    <w:rsid w:val="00876ED9"/>
    <w:rsid w:val="00891BE4"/>
    <w:rsid w:val="0089357B"/>
    <w:rsid w:val="008A5335"/>
    <w:rsid w:val="008B50B6"/>
    <w:rsid w:val="008C36CD"/>
    <w:rsid w:val="008D1BD5"/>
    <w:rsid w:val="008E3DDB"/>
    <w:rsid w:val="008E44DF"/>
    <w:rsid w:val="00905453"/>
    <w:rsid w:val="00907924"/>
    <w:rsid w:val="00914838"/>
    <w:rsid w:val="00916B75"/>
    <w:rsid w:val="00923F15"/>
    <w:rsid w:val="0093242E"/>
    <w:rsid w:val="00935706"/>
    <w:rsid w:val="00935B9B"/>
    <w:rsid w:val="009437B2"/>
    <w:rsid w:val="009459EB"/>
    <w:rsid w:val="0095249E"/>
    <w:rsid w:val="00957231"/>
    <w:rsid w:val="00964445"/>
    <w:rsid w:val="0096783D"/>
    <w:rsid w:val="009823E9"/>
    <w:rsid w:val="009832EB"/>
    <w:rsid w:val="00983F39"/>
    <w:rsid w:val="009871C6"/>
    <w:rsid w:val="009906FE"/>
    <w:rsid w:val="00990C27"/>
    <w:rsid w:val="00995BC8"/>
    <w:rsid w:val="009A0D56"/>
    <w:rsid w:val="009A52EC"/>
    <w:rsid w:val="009B5AEE"/>
    <w:rsid w:val="009B5C3B"/>
    <w:rsid w:val="009C0FCA"/>
    <w:rsid w:val="009C6A00"/>
    <w:rsid w:val="009C7D5F"/>
    <w:rsid w:val="009D067B"/>
    <w:rsid w:val="009D6048"/>
    <w:rsid w:val="009E022A"/>
    <w:rsid w:val="009E1720"/>
    <w:rsid w:val="009E6D3C"/>
    <w:rsid w:val="009F01C4"/>
    <w:rsid w:val="00A06DD6"/>
    <w:rsid w:val="00A12805"/>
    <w:rsid w:val="00A12D2C"/>
    <w:rsid w:val="00A26A62"/>
    <w:rsid w:val="00A428F7"/>
    <w:rsid w:val="00A528FE"/>
    <w:rsid w:val="00A5583F"/>
    <w:rsid w:val="00A64E84"/>
    <w:rsid w:val="00A701FB"/>
    <w:rsid w:val="00A70ED5"/>
    <w:rsid w:val="00A8058C"/>
    <w:rsid w:val="00A809E0"/>
    <w:rsid w:val="00A8282F"/>
    <w:rsid w:val="00A906B7"/>
    <w:rsid w:val="00AA0559"/>
    <w:rsid w:val="00AC374C"/>
    <w:rsid w:val="00AC73E9"/>
    <w:rsid w:val="00AD3516"/>
    <w:rsid w:val="00AE265B"/>
    <w:rsid w:val="00AF16FE"/>
    <w:rsid w:val="00AF1750"/>
    <w:rsid w:val="00AF3F36"/>
    <w:rsid w:val="00AF54C9"/>
    <w:rsid w:val="00B12733"/>
    <w:rsid w:val="00B22E10"/>
    <w:rsid w:val="00B238B3"/>
    <w:rsid w:val="00B527F6"/>
    <w:rsid w:val="00B55458"/>
    <w:rsid w:val="00B65A11"/>
    <w:rsid w:val="00B678E4"/>
    <w:rsid w:val="00B722A5"/>
    <w:rsid w:val="00B7302C"/>
    <w:rsid w:val="00B76D33"/>
    <w:rsid w:val="00B815B9"/>
    <w:rsid w:val="00B832C3"/>
    <w:rsid w:val="00B85FA8"/>
    <w:rsid w:val="00BB5A3B"/>
    <w:rsid w:val="00BC51F1"/>
    <w:rsid w:val="00BD3B14"/>
    <w:rsid w:val="00BE1A0E"/>
    <w:rsid w:val="00BE24CD"/>
    <w:rsid w:val="00BE287E"/>
    <w:rsid w:val="00BE3E78"/>
    <w:rsid w:val="00BE7938"/>
    <w:rsid w:val="00BF6F42"/>
    <w:rsid w:val="00BF7350"/>
    <w:rsid w:val="00C01D46"/>
    <w:rsid w:val="00C12ACF"/>
    <w:rsid w:val="00C24804"/>
    <w:rsid w:val="00C260FA"/>
    <w:rsid w:val="00C40EA9"/>
    <w:rsid w:val="00C4314E"/>
    <w:rsid w:val="00C43590"/>
    <w:rsid w:val="00C531CC"/>
    <w:rsid w:val="00C55849"/>
    <w:rsid w:val="00C630FB"/>
    <w:rsid w:val="00C63190"/>
    <w:rsid w:val="00C6488A"/>
    <w:rsid w:val="00C718FB"/>
    <w:rsid w:val="00C76973"/>
    <w:rsid w:val="00C800B6"/>
    <w:rsid w:val="00C9337E"/>
    <w:rsid w:val="00CB3BD1"/>
    <w:rsid w:val="00CF4066"/>
    <w:rsid w:val="00CF46C1"/>
    <w:rsid w:val="00D017C1"/>
    <w:rsid w:val="00D02FBD"/>
    <w:rsid w:val="00D06717"/>
    <w:rsid w:val="00D07B75"/>
    <w:rsid w:val="00D224AF"/>
    <w:rsid w:val="00D30EF7"/>
    <w:rsid w:val="00D338A7"/>
    <w:rsid w:val="00D443C9"/>
    <w:rsid w:val="00D4613F"/>
    <w:rsid w:val="00D52209"/>
    <w:rsid w:val="00D5511E"/>
    <w:rsid w:val="00D602BD"/>
    <w:rsid w:val="00D6501E"/>
    <w:rsid w:val="00D70ABC"/>
    <w:rsid w:val="00D82C8C"/>
    <w:rsid w:val="00D9581E"/>
    <w:rsid w:val="00DA3AF7"/>
    <w:rsid w:val="00DA4F80"/>
    <w:rsid w:val="00DA7891"/>
    <w:rsid w:val="00DB3454"/>
    <w:rsid w:val="00DB4600"/>
    <w:rsid w:val="00DB6A4A"/>
    <w:rsid w:val="00DC1F2B"/>
    <w:rsid w:val="00DC29C7"/>
    <w:rsid w:val="00DC4B5C"/>
    <w:rsid w:val="00DC51FF"/>
    <w:rsid w:val="00DC731B"/>
    <w:rsid w:val="00DD3263"/>
    <w:rsid w:val="00DD744A"/>
    <w:rsid w:val="00DE02F8"/>
    <w:rsid w:val="00DF6FE2"/>
    <w:rsid w:val="00E06B57"/>
    <w:rsid w:val="00E21254"/>
    <w:rsid w:val="00E23E5A"/>
    <w:rsid w:val="00E26D72"/>
    <w:rsid w:val="00E30E47"/>
    <w:rsid w:val="00E34788"/>
    <w:rsid w:val="00E365EC"/>
    <w:rsid w:val="00E36A29"/>
    <w:rsid w:val="00E37F7D"/>
    <w:rsid w:val="00E47BCD"/>
    <w:rsid w:val="00E65686"/>
    <w:rsid w:val="00E7179B"/>
    <w:rsid w:val="00E74B27"/>
    <w:rsid w:val="00E76911"/>
    <w:rsid w:val="00E93297"/>
    <w:rsid w:val="00EA0BAA"/>
    <w:rsid w:val="00EA18A6"/>
    <w:rsid w:val="00EB4B36"/>
    <w:rsid w:val="00EC361E"/>
    <w:rsid w:val="00EC77A2"/>
    <w:rsid w:val="00ED06E7"/>
    <w:rsid w:val="00ED2115"/>
    <w:rsid w:val="00ED6686"/>
    <w:rsid w:val="00ED71F0"/>
    <w:rsid w:val="00ED7BBD"/>
    <w:rsid w:val="00EE0456"/>
    <w:rsid w:val="00EE69A4"/>
    <w:rsid w:val="00EF35AA"/>
    <w:rsid w:val="00F01279"/>
    <w:rsid w:val="00F012A1"/>
    <w:rsid w:val="00F1293C"/>
    <w:rsid w:val="00F21DE7"/>
    <w:rsid w:val="00F226F1"/>
    <w:rsid w:val="00F23A09"/>
    <w:rsid w:val="00F306AF"/>
    <w:rsid w:val="00F31B0D"/>
    <w:rsid w:val="00F37CF8"/>
    <w:rsid w:val="00F41DD3"/>
    <w:rsid w:val="00F502A4"/>
    <w:rsid w:val="00F531C2"/>
    <w:rsid w:val="00F565F3"/>
    <w:rsid w:val="00F62DB3"/>
    <w:rsid w:val="00F77891"/>
    <w:rsid w:val="00F85D7B"/>
    <w:rsid w:val="00F9062C"/>
    <w:rsid w:val="00FA039E"/>
    <w:rsid w:val="00FA1345"/>
    <w:rsid w:val="00FB26AA"/>
    <w:rsid w:val="00FB2D03"/>
    <w:rsid w:val="00FB77BD"/>
    <w:rsid w:val="00FC48BB"/>
    <w:rsid w:val="00FC4E09"/>
    <w:rsid w:val="00FC6D58"/>
    <w:rsid w:val="00FD3183"/>
    <w:rsid w:val="00FD6A86"/>
    <w:rsid w:val="00FD7EE6"/>
    <w:rsid w:val="00FE16C1"/>
    <w:rsid w:val="00FE34D2"/>
    <w:rsid w:val="00FE367D"/>
    <w:rsid w:val="00FE6671"/>
    <w:rsid w:val="00FF12FC"/>
    <w:rsid w:val="00FF3B7D"/>
    <w:rsid w:val="00FF4E67"/>
  </w:rsids>
  <m:mathPr>
    <m:mathFont m:val="Cambria Math"/>
    <m:brkBin m:val="before"/>
    <m:brkBinSub m:val="--"/>
    <m:smallFrac m:val="off"/>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imes New Roman"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First Inden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aliases w:val="CEGAIP"/>
    <w:rsid w:val="00547C44"/>
    <w:pPr>
      <w:spacing w:after="0" w:line="360" w:lineRule="auto"/>
      <w:jc w:val="both"/>
    </w:pPr>
    <w:rPr>
      <w:rFonts w:cs="Times New Roman"/>
      <w:sz w:val="26"/>
      <w:szCs w:val="24"/>
      <w:lang w:val="es-ES" w:eastAsia="es-ES"/>
    </w:rPr>
  </w:style>
  <w:style w:type="paragraph" w:styleId="Ttulo1">
    <w:name w:val="heading 1"/>
    <w:aliases w:val="cita"/>
    <w:basedOn w:val="Normal"/>
    <w:next w:val="Normal"/>
    <w:link w:val="Ttulo1Car"/>
    <w:autoRedefine/>
    <w:qFormat/>
    <w:rsid w:val="005B2591"/>
    <w:pPr>
      <w:keepNext/>
      <w:outlineLvl w:val="0"/>
    </w:pPr>
    <w:rPr>
      <w:rFonts w:cs="Arial"/>
      <w:bCs/>
      <w:i/>
      <w:kern w:val="32"/>
      <w:sz w:val="2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aliases w:val="cita Car"/>
    <w:basedOn w:val="Fuentedeprrafopredeter"/>
    <w:link w:val="Ttulo1"/>
    <w:rsid w:val="005B2591"/>
    <w:rPr>
      <w:rFonts w:eastAsia="Times New Roman" w:cs="Arial"/>
      <w:bCs/>
      <w:i/>
      <w:kern w:val="32"/>
      <w:szCs w:val="32"/>
      <w:lang w:val="es-ES" w:eastAsia="es-ES"/>
    </w:rPr>
  </w:style>
  <w:style w:type="table" w:styleId="Tablaconcuadrcula">
    <w:name w:val="Table Grid"/>
    <w:basedOn w:val="Tablanormal"/>
    <w:uiPriority w:val="59"/>
    <w:rsid w:val="00547C4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independiente">
    <w:name w:val="Body Text"/>
    <w:basedOn w:val="Normal"/>
    <w:link w:val="TextoindependienteCar"/>
    <w:uiPriority w:val="99"/>
    <w:semiHidden/>
    <w:unhideWhenUsed/>
    <w:rsid w:val="00547C44"/>
    <w:pPr>
      <w:spacing w:after="120"/>
    </w:pPr>
  </w:style>
  <w:style w:type="character" w:customStyle="1" w:styleId="TextoindependienteCar">
    <w:name w:val="Texto independiente Car"/>
    <w:basedOn w:val="Fuentedeprrafopredeter"/>
    <w:link w:val="Textoindependiente"/>
    <w:uiPriority w:val="99"/>
    <w:semiHidden/>
    <w:rsid w:val="00547C44"/>
    <w:rPr>
      <w:rFonts w:cs="Times New Roman"/>
      <w:sz w:val="26"/>
      <w:szCs w:val="24"/>
      <w:lang w:val="es-ES" w:eastAsia="es-ES"/>
    </w:rPr>
  </w:style>
  <w:style w:type="paragraph" w:styleId="Textoindependienteprimerasangra">
    <w:name w:val="Body Text First Indent"/>
    <w:basedOn w:val="Textoindependiente"/>
    <w:link w:val="TextoindependienteprimerasangraCar"/>
    <w:rsid w:val="00547C44"/>
    <w:pPr>
      <w:ind w:firstLine="210"/>
    </w:pPr>
  </w:style>
  <w:style w:type="character" w:customStyle="1" w:styleId="TextoindependienteprimerasangraCar">
    <w:name w:val="Texto independiente primera sangría Car"/>
    <w:basedOn w:val="TextoindependienteCar"/>
    <w:link w:val="Textoindependienteprimerasangra"/>
    <w:rsid w:val="00547C44"/>
    <w:rPr>
      <w:rFonts w:cs="Times New Roman"/>
      <w:sz w:val="26"/>
      <w:szCs w:val="24"/>
      <w:lang w:val="es-ES" w:eastAsia="es-ES"/>
    </w:rPr>
  </w:style>
  <w:style w:type="paragraph" w:styleId="Prrafodelista">
    <w:name w:val="List Paragraph"/>
    <w:basedOn w:val="Normal"/>
    <w:uiPriority w:val="34"/>
    <w:qFormat/>
    <w:rsid w:val="00547C44"/>
    <w:pPr>
      <w:ind w:left="720"/>
      <w:contextualSpacing/>
    </w:pPr>
  </w:style>
  <w:style w:type="character" w:styleId="Hipervnculo">
    <w:name w:val="Hyperlink"/>
    <w:basedOn w:val="Fuentedeprrafopredeter"/>
    <w:uiPriority w:val="99"/>
    <w:unhideWhenUsed/>
    <w:rsid w:val="00547C44"/>
    <w:rPr>
      <w:color w:val="0000FF" w:themeColor="hyperlink"/>
      <w:u w:val="single"/>
    </w:rPr>
  </w:style>
  <w:style w:type="paragraph" w:styleId="NormalWeb">
    <w:name w:val="Normal (Web)"/>
    <w:basedOn w:val="Normal"/>
    <w:uiPriority w:val="99"/>
    <w:rsid w:val="00190533"/>
    <w:pPr>
      <w:spacing w:before="100" w:beforeAutospacing="1" w:after="100" w:afterAutospacing="1" w:line="240" w:lineRule="auto"/>
      <w:jc w:val="left"/>
    </w:pPr>
    <w:rPr>
      <w:rFonts w:ascii="Times New Roman" w:hAnsi="Times New Roman"/>
      <w:sz w:val="24"/>
    </w:rPr>
  </w:style>
  <w:style w:type="paragraph" w:customStyle="1" w:styleId="texto">
    <w:name w:val="texto"/>
    <w:basedOn w:val="Normal"/>
    <w:rsid w:val="00190533"/>
    <w:pPr>
      <w:spacing w:before="100" w:beforeAutospacing="1" w:after="100" w:afterAutospacing="1" w:line="240" w:lineRule="auto"/>
      <w:jc w:val="left"/>
    </w:pPr>
    <w:rPr>
      <w:rFonts w:ascii="Times New Roman" w:hAnsi="Times New Roman"/>
      <w:sz w:val="24"/>
      <w:lang w:val="es-MX" w:eastAsia="es-MX"/>
    </w:rPr>
  </w:style>
  <w:style w:type="character" w:customStyle="1" w:styleId="apple-converted-space">
    <w:name w:val="apple-converted-space"/>
    <w:basedOn w:val="Fuentedeprrafopredeter"/>
    <w:rsid w:val="00190533"/>
  </w:style>
  <w:style w:type="paragraph" w:styleId="Encabezado">
    <w:name w:val="header"/>
    <w:basedOn w:val="Normal"/>
    <w:link w:val="EncabezadoCar"/>
    <w:uiPriority w:val="99"/>
    <w:unhideWhenUsed/>
    <w:rsid w:val="00EE69A4"/>
    <w:pPr>
      <w:tabs>
        <w:tab w:val="center" w:pos="4419"/>
        <w:tab w:val="right" w:pos="8838"/>
      </w:tabs>
      <w:spacing w:line="240" w:lineRule="auto"/>
    </w:pPr>
  </w:style>
  <w:style w:type="character" w:customStyle="1" w:styleId="EncabezadoCar">
    <w:name w:val="Encabezado Car"/>
    <w:basedOn w:val="Fuentedeprrafopredeter"/>
    <w:link w:val="Encabezado"/>
    <w:uiPriority w:val="99"/>
    <w:rsid w:val="00EE69A4"/>
    <w:rPr>
      <w:rFonts w:cs="Times New Roman"/>
      <w:sz w:val="26"/>
      <w:szCs w:val="24"/>
      <w:lang w:val="es-ES" w:eastAsia="es-ES"/>
    </w:rPr>
  </w:style>
  <w:style w:type="paragraph" w:styleId="Piedepgina">
    <w:name w:val="footer"/>
    <w:basedOn w:val="Normal"/>
    <w:link w:val="PiedepginaCar"/>
    <w:uiPriority w:val="99"/>
    <w:unhideWhenUsed/>
    <w:rsid w:val="00EE69A4"/>
    <w:pPr>
      <w:tabs>
        <w:tab w:val="center" w:pos="4419"/>
        <w:tab w:val="right" w:pos="8838"/>
      </w:tabs>
      <w:spacing w:line="240" w:lineRule="auto"/>
    </w:pPr>
  </w:style>
  <w:style w:type="character" w:customStyle="1" w:styleId="PiedepginaCar">
    <w:name w:val="Pie de página Car"/>
    <w:basedOn w:val="Fuentedeprrafopredeter"/>
    <w:link w:val="Piedepgina"/>
    <w:uiPriority w:val="99"/>
    <w:rsid w:val="00EE69A4"/>
    <w:rPr>
      <w:rFonts w:cs="Times New Roman"/>
      <w:sz w:val="26"/>
      <w:szCs w:val="24"/>
      <w:lang w:val="es-ES" w:eastAsia="es-ES"/>
    </w:rPr>
  </w:style>
  <w:style w:type="paragraph" w:styleId="Textodeglobo">
    <w:name w:val="Balloon Text"/>
    <w:basedOn w:val="Normal"/>
    <w:link w:val="TextodegloboCar"/>
    <w:uiPriority w:val="99"/>
    <w:semiHidden/>
    <w:unhideWhenUsed/>
    <w:rsid w:val="004C50E3"/>
    <w:pPr>
      <w:spacing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4C50E3"/>
    <w:rPr>
      <w:rFonts w:ascii="Tahoma" w:hAnsi="Tahoma" w:cs="Tahoma"/>
      <w:sz w:val="16"/>
      <w:szCs w:val="16"/>
      <w:lang w:val="es-ES" w:eastAsia="es-ES"/>
    </w:rPr>
  </w:style>
  <w:style w:type="character" w:customStyle="1" w:styleId="cs9b0541cf">
    <w:name w:val="cs9b0541cf"/>
    <w:basedOn w:val="Fuentedeprrafopredeter"/>
    <w:rsid w:val="00202A8C"/>
  </w:style>
  <w:style w:type="character" w:customStyle="1" w:styleId="cs3c846dc6">
    <w:name w:val="cs3c846dc6"/>
    <w:basedOn w:val="Fuentedeprrafopredeter"/>
    <w:rsid w:val="00202A8C"/>
  </w:style>
  <w:style w:type="character" w:customStyle="1" w:styleId="lbl-encabezado-negro">
    <w:name w:val="lbl-encabezado-negro"/>
    <w:basedOn w:val="Fuentedeprrafopredeter"/>
    <w:rsid w:val="000B4951"/>
  </w:style>
  <w:style w:type="character" w:customStyle="1" w:styleId="red">
    <w:name w:val="red"/>
    <w:basedOn w:val="Fuentedeprrafopredeter"/>
    <w:rsid w:val="00BE3E78"/>
  </w:style>
  <w:style w:type="paragraph" w:styleId="Textonotapie">
    <w:name w:val="footnote text"/>
    <w:basedOn w:val="Normal"/>
    <w:link w:val="TextonotapieCar"/>
    <w:uiPriority w:val="99"/>
    <w:unhideWhenUsed/>
    <w:rsid w:val="00244E9C"/>
    <w:pPr>
      <w:spacing w:line="240" w:lineRule="auto"/>
      <w:jc w:val="left"/>
    </w:pPr>
    <w:rPr>
      <w:rFonts w:ascii="Arial" w:hAnsi="Arial" w:cs="Arial"/>
      <w:sz w:val="20"/>
      <w:szCs w:val="20"/>
      <w:lang w:val="es-MX"/>
    </w:rPr>
  </w:style>
  <w:style w:type="character" w:customStyle="1" w:styleId="TextonotapieCar">
    <w:name w:val="Texto nota pie Car"/>
    <w:basedOn w:val="Fuentedeprrafopredeter"/>
    <w:link w:val="Textonotapie"/>
    <w:uiPriority w:val="99"/>
    <w:rsid w:val="00244E9C"/>
    <w:rPr>
      <w:rFonts w:ascii="Arial" w:hAnsi="Arial" w:cs="Arial"/>
      <w:sz w:val="20"/>
      <w:szCs w:val="20"/>
      <w:lang w:eastAsia="es-ES"/>
    </w:rPr>
  </w:style>
  <w:style w:type="character" w:styleId="Refdenotaalpie">
    <w:name w:val="footnote reference"/>
    <w:basedOn w:val="Fuentedeprrafopredeter"/>
    <w:uiPriority w:val="99"/>
    <w:unhideWhenUsed/>
    <w:rsid w:val="00244E9C"/>
    <w:rPr>
      <w:vertAlign w:val="superscript"/>
    </w:rPr>
  </w:style>
  <w:style w:type="paragraph" w:customStyle="1" w:styleId="Texto0">
    <w:name w:val="Texto"/>
    <w:basedOn w:val="Normal"/>
    <w:link w:val="TextoCar"/>
    <w:rsid w:val="0061318A"/>
    <w:pPr>
      <w:spacing w:after="101" w:line="216" w:lineRule="exact"/>
      <w:ind w:firstLine="288"/>
    </w:pPr>
    <w:rPr>
      <w:rFonts w:ascii="Arial" w:hAnsi="Arial" w:cs="Arial"/>
      <w:sz w:val="18"/>
      <w:szCs w:val="20"/>
      <w:lang w:val="es-MX"/>
    </w:rPr>
  </w:style>
  <w:style w:type="paragraph" w:customStyle="1" w:styleId="ANOTACION">
    <w:name w:val="ANOTACION"/>
    <w:basedOn w:val="Normal"/>
    <w:link w:val="ANOTACIONCar"/>
    <w:rsid w:val="0061318A"/>
    <w:pPr>
      <w:spacing w:before="101" w:after="101" w:line="216" w:lineRule="atLeast"/>
      <w:jc w:val="center"/>
    </w:pPr>
    <w:rPr>
      <w:rFonts w:ascii="Times New Roman" w:hAnsi="Times New Roman"/>
      <w:b/>
      <w:sz w:val="18"/>
      <w:szCs w:val="20"/>
      <w:lang w:val="es-ES_tradnl"/>
    </w:rPr>
  </w:style>
  <w:style w:type="character" w:customStyle="1" w:styleId="TextoCar">
    <w:name w:val="Texto Car"/>
    <w:link w:val="Texto0"/>
    <w:locked/>
    <w:rsid w:val="0061318A"/>
    <w:rPr>
      <w:rFonts w:ascii="Arial" w:hAnsi="Arial" w:cs="Arial"/>
      <w:sz w:val="18"/>
      <w:szCs w:val="20"/>
      <w:lang w:eastAsia="es-ES"/>
    </w:rPr>
  </w:style>
  <w:style w:type="character" w:customStyle="1" w:styleId="ANOTACIONCar">
    <w:name w:val="ANOTACION Car"/>
    <w:link w:val="ANOTACION"/>
    <w:locked/>
    <w:rsid w:val="0061318A"/>
    <w:rPr>
      <w:rFonts w:ascii="Times New Roman" w:hAnsi="Times New Roman" w:cs="Times New Roman"/>
      <w:b/>
      <w:sz w:val="18"/>
      <w:szCs w:val="20"/>
      <w:lang w:val="es-ES_tradnl" w:eastAsia="es-ES"/>
    </w:rPr>
  </w:style>
</w:styles>
</file>

<file path=word/webSettings.xml><?xml version="1.0" encoding="utf-8"?>
<w:webSettings xmlns:r="http://schemas.openxmlformats.org/officeDocument/2006/relationships" xmlns:w="http://schemas.openxmlformats.org/wordprocessingml/2006/main">
  <w:divs>
    <w:div w:id="222063992">
      <w:bodyDiv w:val="1"/>
      <w:marLeft w:val="0"/>
      <w:marRight w:val="0"/>
      <w:marTop w:val="0"/>
      <w:marBottom w:val="0"/>
      <w:divBdr>
        <w:top w:val="none" w:sz="0" w:space="0" w:color="auto"/>
        <w:left w:val="none" w:sz="0" w:space="0" w:color="auto"/>
        <w:bottom w:val="none" w:sz="0" w:space="0" w:color="auto"/>
        <w:right w:val="none" w:sz="0" w:space="0" w:color="auto"/>
      </w:divBdr>
      <w:divsChild>
        <w:div w:id="1400251041">
          <w:marLeft w:val="0"/>
          <w:marRight w:val="0"/>
          <w:marTop w:val="0"/>
          <w:marBottom w:val="0"/>
          <w:divBdr>
            <w:top w:val="none" w:sz="0" w:space="0" w:color="auto"/>
            <w:left w:val="none" w:sz="0" w:space="0" w:color="auto"/>
            <w:bottom w:val="none" w:sz="0" w:space="0" w:color="auto"/>
            <w:right w:val="none" w:sz="0" w:space="0" w:color="auto"/>
          </w:divBdr>
        </w:div>
      </w:divsChild>
    </w:div>
    <w:div w:id="765002476">
      <w:bodyDiv w:val="1"/>
      <w:marLeft w:val="0"/>
      <w:marRight w:val="0"/>
      <w:marTop w:val="0"/>
      <w:marBottom w:val="0"/>
      <w:divBdr>
        <w:top w:val="none" w:sz="0" w:space="0" w:color="auto"/>
        <w:left w:val="none" w:sz="0" w:space="0" w:color="auto"/>
        <w:bottom w:val="none" w:sz="0" w:space="0" w:color="auto"/>
        <w:right w:val="none" w:sz="0" w:space="0" w:color="auto"/>
      </w:divBdr>
    </w:div>
    <w:div w:id="964505087">
      <w:bodyDiv w:val="1"/>
      <w:marLeft w:val="0"/>
      <w:marRight w:val="0"/>
      <w:marTop w:val="0"/>
      <w:marBottom w:val="0"/>
      <w:divBdr>
        <w:top w:val="none" w:sz="0" w:space="0" w:color="auto"/>
        <w:left w:val="none" w:sz="0" w:space="0" w:color="auto"/>
        <w:bottom w:val="none" w:sz="0" w:space="0" w:color="auto"/>
        <w:right w:val="none" w:sz="0" w:space="0" w:color="auto"/>
      </w:divBdr>
      <w:divsChild>
        <w:div w:id="149025180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javascript:AbrirModal(1)"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4BF9031-C4E3-4D9E-BF9E-F981503331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119</TotalTime>
  <Pages>16</Pages>
  <Words>4392</Words>
  <Characters>24162</Characters>
  <Application>Microsoft Office Word</Application>
  <DocSecurity>0</DocSecurity>
  <Lines>201</Lines>
  <Paragraphs>56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28498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Servicio social</dc:creator>
  <cp:lastModifiedBy>FATIMA</cp:lastModifiedBy>
  <cp:revision>21</cp:revision>
  <cp:lastPrinted>2018-03-07T19:58:00Z</cp:lastPrinted>
  <dcterms:created xsi:type="dcterms:W3CDTF">2018-02-26T04:39:00Z</dcterms:created>
  <dcterms:modified xsi:type="dcterms:W3CDTF">2018-03-07T19:58:00Z</dcterms:modified>
</cp:coreProperties>
</file>