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E4E" w:rsidRPr="00BA1B0E" w:rsidRDefault="002E3256" w:rsidP="00BA1B0E">
      <w:pPr>
        <w:pStyle w:val="corte1datos"/>
        <w:tabs>
          <w:tab w:val="left" w:pos="4820"/>
        </w:tabs>
        <w:spacing w:line="276" w:lineRule="auto"/>
        <w:jc w:val="right"/>
        <w:rPr>
          <w:rFonts w:cs="Arial"/>
          <w:color w:val="2E74B5" w:themeColor="accent1" w:themeShade="BF"/>
          <w:sz w:val="24"/>
          <w:szCs w:val="24"/>
        </w:rPr>
      </w:pPr>
      <w:r>
        <w:rPr>
          <w:rFonts w:cs="Arial"/>
          <w:color w:val="2E74B5" w:themeColor="accent1" w:themeShade="BF"/>
          <w:sz w:val="24"/>
          <w:szCs w:val="24"/>
          <w:lang w:val="es-MX"/>
        </w:rPr>
        <w:t xml:space="preserve">    </w:t>
      </w:r>
      <w:r w:rsidR="00187E4E" w:rsidRPr="00BA1B0E">
        <w:rPr>
          <w:rFonts w:cs="Arial"/>
          <w:color w:val="2E74B5" w:themeColor="accent1" w:themeShade="BF"/>
          <w:sz w:val="24"/>
          <w:szCs w:val="24"/>
        </w:rPr>
        <w:t xml:space="preserve">RECURSO DE REVISIÓN  </w:t>
      </w:r>
      <w:r w:rsidR="00187E4E" w:rsidRPr="00BA1B0E">
        <w:rPr>
          <w:rFonts w:cs="Arial"/>
          <w:color w:val="2E74B5" w:themeColor="accent1" w:themeShade="BF"/>
          <w:sz w:val="24"/>
          <w:szCs w:val="24"/>
          <w:lang w:val="es-MX"/>
        </w:rPr>
        <w:t>113/</w:t>
      </w:r>
      <w:r w:rsidR="00187E4E" w:rsidRPr="00BA1B0E">
        <w:rPr>
          <w:rFonts w:cs="Arial"/>
          <w:color w:val="2E74B5" w:themeColor="accent1" w:themeShade="BF"/>
          <w:sz w:val="24"/>
          <w:szCs w:val="24"/>
        </w:rPr>
        <w:t>201</w:t>
      </w:r>
      <w:r w:rsidR="00AD7C88">
        <w:rPr>
          <w:rFonts w:cs="Arial"/>
          <w:color w:val="2E74B5" w:themeColor="accent1" w:themeShade="BF"/>
          <w:sz w:val="24"/>
          <w:szCs w:val="24"/>
          <w:lang w:val="es-MX"/>
        </w:rPr>
        <w:t>8</w:t>
      </w:r>
      <w:r w:rsidR="00187E4E" w:rsidRPr="00BA1B0E">
        <w:rPr>
          <w:rFonts w:cs="Arial"/>
          <w:color w:val="2E74B5" w:themeColor="accent1" w:themeShade="BF"/>
          <w:sz w:val="24"/>
          <w:szCs w:val="24"/>
        </w:rPr>
        <w:t>.</w:t>
      </w:r>
    </w:p>
    <w:p w:rsidR="00187E4E" w:rsidRPr="00BA1B0E" w:rsidRDefault="00187E4E" w:rsidP="00BA1B0E">
      <w:pPr>
        <w:pStyle w:val="corte1datos"/>
        <w:spacing w:line="276" w:lineRule="auto"/>
        <w:jc w:val="right"/>
        <w:rPr>
          <w:rFonts w:cs="Arial"/>
          <w:color w:val="2E74B5" w:themeColor="accent1" w:themeShade="BF"/>
          <w:sz w:val="24"/>
          <w:szCs w:val="24"/>
        </w:rPr>
      </w:pPr>
    </w:p>
    <w:p w:rsidR="00187E4E" w:rsidRPr="00BA1B0E" w:rsidRDefault="00187E4E" w:rsidP="00BA1B0E">
      <w:pPr>
        <w:pStyle w:val="corte1datos"/>
        <w:spacing w:line="276" w:lineRule="auto"/>
        <w:jc w:val="right"/>
        <w:rPr>
          <w:rFonts w:cs="Arial"/>
          <w:color w:val="2E74B5" w:themeColor="accent1" w:themeShade="BF"/>
          <w:sz w:val="24"/>
          <w:szCs w:val="24"/>
        </w:rPr>
      </w:pPr>
    </w:p>
    <w:p w:rsidR="00187E4E" w:rsidRPr="00BA1B0E" w:rsidRDefault="00187E4E" w:rsidP="00BA1B0E">
      <w:pPr>
        <w:spacing w:after="0" w:line="276" w:lineRule="auto"/>
        <w:jc w:val="right"/>
        <w:rPr>
          <w:rFonts w:ascii="Arial" w:eastAsia="Times New Roman" w:hAnsi="Arial" w:cs="Arial"/>
          <w:b/>
          <w:caps/>
          <w:color w:val="2E74B5" w:themeColor="accent1" w:themeShade="BF"/>
          <w:sz w:val="24"/>
          <w:szCs w:val="24"/>
          <w:lang w:eastAsia="es-MX"/>
        </w:rPr>
      </w:pPr>
      <w:r w:rsidRPr="00BA1B0E">
        <w:rPr>
          <w:rFonts w:ascii="Arial" w:eastAsia="Times New Roman" w:hAnsi="Arial" w:cs="Arial"/>
          <w:b/>
          <w:caps/>
          <w:color w:val="2E74B5" w:themeColor="accent1" w:themeShade="BF"/>
          <w:sz w:val="24"/>
          <w:szCs w:val="24"/>
          <w:lang w:eastAsia="es-MX"/>
        </w:rPr>
        <w:t xml:space="preserve">COMISIONADO PONENTE: </w:t>
      </w:r>
    </w:p>
    <w:p w:rsidR="00187E4E" w:rsidRPr="00BA1B0E" w:rsidRDefault="00187E4E" w:rsidP="00BA1B0E">
      <w:pPr>
        <w:spacing w:after="0" w:line="276" w:lineRule="auto"/>
        <w:jc w:val="right"/>
        <w:rPr>
          <w:rFonts w:ascii="Arial" w:eastAsia="Times New Roman" w:hAnsi="Arial" w:cs="Arial"/>
          <w:b/>
          <w:caps/>
          <w:color w:val="2E74B5" w:themeColor="accent1" w:themeShade="BF"/>
          <w:sz w:val="24"/>
          <w:szCs w:val="24"/>
          <w:lang w:eastAsia="es-MX"/>
        </w:rPr>
      </w:pPr>
      <w:r w:rsidRPr="00BA1B0E">
        <w:rPr>
          <w:rFonts w:ascii="Arial" w:eastAsia="Times New Roman" w:hAnsi="Arial" w:cs="Arial"/>
          <w:b/>
          <w:caps/>
          <w:color w:val="2E74B5" w:themeColor="accent1" w:themeShade="BF"/>
          <w:sz w:val="24"/>
          <w:szCs w:val="24"/>
          <w:lang w:eastAsia="es-MX"/>
        </w:rPr>
        <w:t xml:space="preserve">Paulina Sánchez PÉREZ DEL POZO </w:t>
      </w:r>
    </w:p>
    <w:p w:rsidR="00187E4E" w:rsidRPr="00BA1B0E" w:rsidRDefault="00187E4E" w:rsidP="00BA1B0E">
      <w:pPr>
        <w:spacing w:after="0" w:line="276" w:lineRule="auto"/>
        <w:jc w:val="right"/>
        <w:rPr>
          <w:rFonts w:ascii="Arial" w:eastAsia="Times New Roman" w:hAnsi="Arial" w:cs="Arial"/>
          <w:b/>
          <w:caps/>
          <w:color w:val="2E74B5" w:themeColor="accent1" w:themeShade="BF"/>
          <w:sz w:val="24"/>
          <w:szCs w:val="24"/>
          <w:lang w:eastAsia="es-MX"/>
        </w:rPr>
      </w:pPr>
    </w:p>
    <w:p w:rsidR="00187E4E" w:rsidRPr="00BA1B0E" w:rsidRDefault="00187E4E" w:rsidP="00BA1B0E">
      <w:pPr>
        <w:spacing w:after="0" w:line="276" w:lineRule="auto"/>
        <w:jc w:val="right"/>
        <w:rPr>
          <w:rFonts w:ascii="Arial" w:eastAsia="Times New Roman" w:hAnsi="Arial" w:cs="Arial"/>
          <w:b/>
          <w:caps/>
          <w:color w:val="2E74B5" w:themeColor="accent1" w:themeShade="BF"/>
          <w:sz w:val="24"/>
          <w:szCs w:val="24"/>
          <w:lang w:eastAsia="es-MX"/>
        </w:rPr>
      </w:pPr>
      <w:r w:rsidRPr="00BA1B0E">
        <w:rPr>
          <w:rFonts w:ascii="Arial" w:eastAsia="Times New Roman" w:hAnsi="Arial" w:cs="Arial"/>
          <w:b/>
          <w:caps/>
          <w:color w:val="2E74B5" w:themeColor="accent1" w:themeShade="BF"/>
          <w:sz w:val="24"/>
          <w:szCs w:val="24"/>
          <w:lang w:eastAsia="es-MX"/>
        </w:rPr>
        <w:t>MATERIA:</w:t>
      </w:r>
    </w:p>
    <w:p w:rsidR="00187E4E" w:rsidRPr="00BA1B0E" w:rsidRDefault="00187E4E" w:rsidP="00BA1B0E">
      <w:pPr>
        <w:spacing w:after="0" w:line="276" w:lineRule="auto"/>
        <w:jc w:val="right"/>
        <w:rPr>
          <w:rFonts w:ascii="Arial" w:eastAsia="Times New Roman" w:hAnsi="Arial" w:cs="Arial"/>
          <w:b/>
          <w:caps/>
          <w:color w:val="2E74B5" w:themeColor="accent1" w:themeShade="BF"/>
          <w:sz w:val="24"/>
          <w:szCs w:val="24"/>
          <w:lang w:eastAsia="es-MX"/>
        </w:rPr>
      </w:pPr>
      <w:r w:rsidRPr="00BA1B0E">
        <w:rPr>
          <w:rFonts w:ascii="Arial" w:eastAsia="Times New Roman" w:hAnsi="Arial" w:cs="Arial"/>
          <w:b/>
          <w:caps/>
          <w:color w:val="2E74B5" w:themeColor="accent1" w:themeShade="BF"/>
          <w:sz w:val="24"/>
          <w:szCs w:val="24"/>
          <w:lang w:eastAsia="es-MX"/>
        </w:rPr>
        <w:t>ACCESO A LA INFORMACIÓN PÚBLICA</w:t>
      </w:r>
    </w:p>
    <w:p w:rsidR="00187E4E" w:rsidRPr="00BA1B0E" w:rsidRDefault="00187E4E" w:rsidP="00BA1B0E">
      <w:pPr>
        <w:pStyle w:val="corte2ponente"/>
        <w:spacing w:line="276" w:lineRule="auto"/>
        <w:jc w:val="right"/>
        <w:rPr>
          <w:rFonts w:cs="Arial"/>
          <w:color w:val="2E74B5" w:themeColor="accent1" w:themeShade="BF"/>
          <w:sz w:val="24"/>
          <w:szCs w:val="24"/>
          <w:lang w:val="es-MX"/>
        </w:rPr>
      </w:pPr>
    </w:p>
    <w:p w:rsidR="00187E4E" w:rsidRPr="00BA1B0E" w:rsidRDefault="00511148" w:rsidP="00BA1B0E">
      <w:pPr>
        <w:pStyle w:val="corte2ponente"/>
        <w:spacing w:line="276" w:lineRule="auto"/>
        <w:jc w:val="right"/>
        <w:rPr>
          <w:rFonts w:cs="Arial"/>
          <w:color w:val="2E74B5" w:themeColor="accent1" w:themeShade="BF"/>
          <w:sz w:val="24"/>
          <w:szCs w:val="24"/>
          <w:lang w:val="es-MX"/>
        </w:rPr>
      </w:pPr>
      <w:r w:rsidRPr="00BA1B0E">
        <w:rPr>
          <w:rFonts w:cs="Arial"/>
          <w:color w:val="2E74B5" w:themeColor="accent1" w:themeShade="BF"/>
          <w:sz w:val="24"/>
          <w:szCs w:val="24"/>
          <w:lang w:val="es-MX"/>
        </w:rPr>
        <w:t xml:space="preserve">SUJETO </w:t>
      </w:r>
      <w:r w:rsidR="00187E4E" w:rsidRPr="00BA1B0E">
        <w:rPr>
          <w:rFonts w:cs="Arial"/>
          <w:color w:val="2E74B5" w:themeColor="accent1" w:themeShade="BF"/>
          <w:sz w:val="24"/>
          <w:szCs w:val="24"/>
          <w:lang w:val="es-MX"/>
        </w:rPr>
        <w:t>OBLIGADO:</w:t>
      </w:r>
    </w:p>
    <w:p w:rsidR="00187E4E" w:rsidRPr="00BA1B0E" w:rsidRDefault="00BA1B0E" w:rsidP="00BA1B0E">
      <w:pPr>
        <w:pStyle w:val="corte2ponente"/>
        <w:spacing w:line="276" w:lineRule="auto"/>
        <w:jc w:val="right"/>
        <w:rPr>
          <w:rFonts w:cs="Arial"/>
          <w:color w:val="2E74B5" w:themeColor="accent1" w:themeShade="BF"/>
          <w:sz w:val="24"/>
          <w:szCs w:val="24"/>
        </w:rPr>
      </w:pPr>
      <w:r>
        <w:rPr>
          <w:rFonts w:cs="Arial"/>
          <w:color w:val="2E74B5" w:themeColor="accent1" w:themeShade="BF"/>
          <w:sz w:val="24"/>
          <w:szCs w:val="24"/>
          <w:lang w:val="es-MX"/>
        </w:rPr>
        <w:t>PATRONATO DE LA FERIA NACIONAL POTOSINA</w:t>
      </w:r>
      <w:r w:rsidR="00187E4E" w:rsidRPr="00BA1B0E">
        <w:rPr>
          <w:rFonts w:cs="Arial"/>
          <w:color w:val="2E74B5" w:themeColor="accent1" w:themeShade="BF"/>
          <w:sz w:val="24"/>
          <w:szCs w:val="24"/>
          <w:lang w:val="es-MX"/>
        </w:rPr>
        <w:t>.</w:t>
      </w:r>
    </w:p>
    <w:p w:rsidR="00187E4E" w:rsidRPr="00BA1B0E" w:rsidRDefault="00187E4E" w:rsidP="005616F4">
      <w:pPr>
        <w:pStyle w:val="corte2ponente"/>
        <w:spacing w:line="276" w:lineRule="auto"/>
        <w:rPr>
          <w:rFonts w:cs="Arial"/>
          <w:color w:val="2E74B5" w:themeColor="accent1" w:themeShade="BF"/>
          <w:sz w:val="24"/>
          <w:szCs w:val="24"/>
        </w:rPr>
      </w:pPr>
    </w:p>
    <w:p w:rsidR="00187E4E" w:rsidRPr="00BA1B0E" w:rsidRDefault="00187E4E" w:rsidP="005616F4">
      <w:pPr>
        <w:pStyle w:val="corte2ponente"/>
        <w:spacing w:line="276" w:lineRule="auto"/>
        <w:rPr>
          <w:rFonts w:cs="Arial"/>
          <w:color w:val="2E74B5" w:themeColor="accent1" w:themeShade="BF"/>
          <w:sz w:val="24"/>
          <w:szCs w:val="24"/>
        </w:rPr>
      </w:pPr>
    </w:p>
    <w:p w:rsidR="00187E4E" w:rsidRPr="00BA1B0E" w:rsidRDefault="00187E4E" w:rsidP="005616F4">
      <w:pPr>
        <w:pStyle w:val="corte2ponente"/>
        <w:spacing w:line="276" w:lineRule="auto"/>
        <w:rPr>
          <w:rFonts w:cs="Arial"/>
          <w:color w:val="2E74B5" w:themeColor="accent1" w:themeShade="BF"/>
          <w:sz w:val="24"/>
          <w:szCs w:val="24"/>
          <w:lang w:val="es-MX"/>
        </w:rPr>
      </w:pPr>
    </w:p>
    <w:p w:rsidR="00187E4E" w:rsidRPr="00BA1B0E" w:rsidRDefault="00187E4E" w:rsidP="005616F4">
      <w:pPr>
        <w:pStyle w:val="corte4fondo"/>
        <w:spacing w:line="276" w:lineRule="auto"/>
        <w:ind w:firstLine="0"/>
        <w:rPr>
          <w:rFonts w:cs="Arial"/>
          <w:b/>
          <w:color w:val="2E74B5" w:themeColor="accent1" w:themeShade="BF"/>
          <w:sz w:val="24"/>
          <w:szCs w:val="24"/>
          <w:vertAlign w:val="subscript"/>
        </w:rPr>
      </w:pPr>
      <w:r w:rsidRPr="00BA1B0E">
        <w:rPr>
          <w:rFonts w:cs="Arial"/>
          <w:color w:val="2E74B5" w:themeColor="accent1" w:themeShade="BF"/>
          <w:sz w:val="24"/>
          <w:szCs w:val="24"/>
        </w:rPr>
        <w:tab/>
      </w:r>
      <w:r w:rsidRPr="00BA1B0E">
        <w:rPr>
          <w:rFonts w:cs="Arial"/>
          <w:color w:val="2E74B5" w:themeColor="accent1" w:themeShade="BF"/>
          <w:sz w:val="24"/>
          <w:szCs w:val="24"/>
          <w:lang w:val="es-MX"/>
        </w:rPr>
        <w:t>San Luis Potosí, San Luis Potosí</w:t>
      </w:r>
      <w:r w:rsidRPr="00BA1B0E">
        <w:rPr>
          <w:rFonts w:cs="Arial"/>
          <w:color w:val="2E74B5" w:themeColor="accent1" w:themeShade="BF"/>
          <w:sz w:val="24"/>
          <w:szCs w:val="24"/>
        </w:rPr>
        <w:t>. Acuerdo de</w:t>
      </w:r>
      <w:r w:rsidRPr="00BA1B0E">
        <w:rPr>
          <w:rFonts w:cs="Arial"/>
          <w:color w:val="2E74B5" w:themeColor="accent1" w:themeShade="BF"/>
          <w:sz w:val="24"/>
          <w:szCs w:val="24"/>
          <w:lang w:val="es-MX"/>
        </w:rPr>
        <w:t>l</w:t>
      </w:r>
      <w:r w:rsidRPr="00BA1B0E">
        <w:rPr>
          <w:rFonts w:cs="Arial"/>
          <w:color w:val="2E74B5" w:themeColor="accent1" w:themeShade="BF"/>
          <w:sz w:val="24"/>
          <w:szCs w:val="24"/>
        </w:rPr>
        <w:t xml:space="preserve"> </w:t>
      </w:r>
      <w:r w:rsidRPr="00BA1B0E">
        <w:rPr>
          <w:rFonts w:cs="Arial"/>
          <w:color w:val="2E74B5" w:themeColor="accent1" w:themeShade="BF"/>
          <w:sz w:val="24"/>
          <w:szCs w:val="24"/>
          <w:lang w:val="es-MX"/>
        </w:rPr>
        <w:t>Pleno de la Comisión Estatal de Garantía de Acceso a la Información Pública</w:t>
      </w:r>
      <w:r w:rsidRPr="00BA1B0E">
        <w:rPr>
          <w:rFonts w:cs="Arial"/>
          <w:color w:val="2E74B5" w:themeColor="accent1" w:themeShade="BF"/>
          <w:sz w:val="24"/>
          <w:szCs w:val="24"/>
        </w:rPr>
        <w:t>, correspondiente a</w:t>
      </w:r>
      <w:r w:rsidRPr="00BA1B0E">
        <w:rPr>
          <w:rFonts w:cs="Arial"/>
          <w:color w:val="2E74B5" w:themeColor="accent1" w:themeShade="BF"/>
          <w:sz w:val="24"/>
          <w:szCs w:val="24"/>
          <w:lang w:val="es-MX"/>
        </w:rPr>
        <w:t xml:space="preserve"> la sesión del 04 cuatro de mayo de 2018 dos mil dieciocho</w:t>
      </w:r>
      <w:r w:rsidRPr="00BA1B0E">
        <w:rPr>
          <w:rFonts w:cs="Arial"/>
          <w:color w:val="2E74B5" w:themeColor="accent1" w:themeShade="BF"/>
          <w:sz w:val="24"/>
          <w:szCs w:val="24"/>
        </w:rPr>
        <w:t>.</w:t>
      </w:r>
      <w:r w:rsidRPr="00BA1B0E">
        <w:rPr>
          <w:rFonts w:cs="Arial"/>
          <w:b/>
          <w:color w:val="2E74B5" w:themeColor="accent1" w:themeShade="BF"/>
          <w:sz w:val="24"/>
          <w:szCs w:val="24"/>
          <w:vertAlign w:val="subscript"/>
        </w:rPr>
        <w:t xml:space="preserve"> </w:t>
      </w:r>
    </w:p>
    <w:p w:rsidR="00187E4E" w:rsidRPr="00BA1B0E" w:rsidRDefault="00187E4E" w:rsidP="005616F4">
      <w:pPr>
        <w:pStyle w:val="corte4fondo"/>
        <w:spacing w:line="276" w:lineRule="auto"/>
        <w:ind w:firstLine="0"/>
        <w:rPr>
          <w:rFonts w:cs="Arial"/>
          <w:b/>
          <w:color w:val="2E74B5" w:themeColor="accent1" w:themeShade="BF"/>
          <w:sz w:val="24"/>
          <w:szCs w:val="24"/>
        </w:rPr>
      </w:pPr>
    </w:p>
    <w:p w:rsidR="00187E4E" w:rsidRPr="00BA1B0E" w:rsidRDefault="00187E4E" w:rsidP="005616F4">
      <w:pPr>
        <w:pStyle w:val="corte4fondo"/>
        <w:spacing w:line="276" w:lineRule="auto"/>
        <w:rPr>
          <w:rFonts w:cs="Arial"/>
          <w:color w:val="2E74B5" w:themeColor="accent1" w:themeShade="BF"/>
          <w:sz w:val="24"/>
          <w:szCs w:val="24"/>
          <w:lang w:val="es-MX"/>
        </w:rPr>
      </w:pPr>
      <w:r w:rsidRPr="00BA1B0E">
        <w:rPr>
          <w:rFonts w:cs="Arial"/>
          <w:b/>
          <w:color w:val="2E74B5" w:themeColor="accent1" w:themeShade="BF"/>
          <w:sz w:val="24"/>
          <w:szCs w:val="24"/>
        </w:rPr>
        <w:t>VISTOS</w:t>
      </w:r>
      <w:r w:rsidRPr="00BA1B0E">
        <w:rPr>
          <w:rFonts w:cs="Arial"/>
          <w:color w:val="2E74B5" w:themeColor="accent1" w:themeShade="BF"/>
          <w:sz w:val="24"/>
          <w:szCs w:val="24"/>
          <w:lang w:val="es-MX"/>
        </w:rPr>
        <w:t>,</w:t>
      </w:r>
      <w:r w:rsidRPr="00BA1B0E">
        <w:rPr>
          <w:rFonts w:cs="Arial"/>
          <w:color w:val="2E74B5" w:themeColor="accent1" w:themeShade="BF"/>
          <w:sz w:val="24"/>
          <w:szCs w:val="24"/>
        </w:rPr>
        <w:t xml:space="preserve"> para resolver</w:t>
      </w:r>
      <w:r w:rsidRPr="00BA1B0E">
        <w:rPr>
          <w:rFonts w:cs="Arial"/>
          <w:color w:val="2E74B5" w:themeColor="accent1" w:themeShade="BF"/>
          <w:sz w:val="24"/>
          <w:szCs w:val="24"/>
          <w:lang w:val="es-MX"/>
        </w:rPr>
        <w:t>,</w:t>
      </w:r>
      <w:r w:rsidRPr="00BA1B0E">
        <w:rPr>
          <w:rFonts w:cs="Arial"/>
          <w:color w:val="2E74B5" w:themeColor="accent1" w:themeShade="BF"/>
          <w:sz w:val="24"/>
          <w:szCs w:val="24"/>
        </w:rPr>
        <w:t xml:space="preserve"> los autos del recurso de revisión identificado al rubro; y</w:t>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187E4E" w:rsidP="005616F4">
      <w:pPr>
        <w:pStyle w:val="corte4fondo"/>
        <w:spacing w:line="276" w:lineRule="auto"/>
        <w:jc w:val="center"/>
        <w:rPr>
          <w:rFonts w:cs="Arial"/>
          <w:color w:val="2E74B5" w:themeColor="accent1" w:themeShade="BF"/>
          <w:sz w:val="24"/>
          <w:szCs w:val="24"/>
          <w:lang w:val="es-MX"/>
        </w:rPr>
      </w:pPr>
      <w:r w:rsidRPr="00BA1B0E">
        <w:rPr>
          <w:rFonts w:cs="Arial"/>
          <w:b/>
          <w:color w:val="2E74B5" w:themeColor="accent1" w:themeShade="BF"/>
          <w:sz w:val="24"/>
          <w:szCs w:val="24"/>
          <w:lang w:val="es-MX"/>
        </w:rPr>
        <w:t>RESULTANDO</w:t>
      </w:r>
      <w:r w:rsidRPr="00BA1B0E">
        <w:rPr>
          <w:rFonts w:cs="Arial"/>
          <w:color w:val="2E74B5" w:themeColor="accent1" w:themeShade="BF"/>
          <w:sz w:val="24"/>
          <w:szCs w:val="24"/>
          <w:lang w:val="es-MX"/>
        </w:rPr>
        <w:t>:</w:t>
      </w:r>
    </w:p>
    <w:p w:rsidR="00187E4E" w:rsidRPr="00BA1B0E" w:rsidRDefault="00187E4E" w:rsidP="005616F4">
      <w:pPr>
        <w:pStyle w:val="corte4fondo"/>
        <w:spacing w:line="276" w:lineRule="auto"/>
        <w:jc w:val="center"/>
        <w:rPr>
          <w:rFonts w:cs="Arial"/>
          <w:color w:val="2E74B5" w:themeColor="accent1" w:themeShade="BF"/>
          <w:sz w:val="24"/>
          <w:szCs w:val="24"/>
          <w:lang w:val="es-MX"/>
        </w:rPr>
      </w:pPr>
    </w:p>
    <w:p w:rsidR="00187E4E" w:rsidRPr="00BA1B0E" w:rsidRDefault="00187E4E" w:rsidP="005616F4">
      <w:pPr>
        <w:pStyle w:val="corte4fondo"/>
        <w:spacing w:line="276" w:lineRule="auto"/>
        <w:rPr>
          <w:rFonts w:cs="Arial"/>
          <w:color w:val="2E74B5" w:themeColor="accent1" w:themeShade="BF"/>
          <w:sz w:val="24"/>
          <w:szCs w:val="24"/>
          <w:lang w:val="es-MX"/>
        </w:rPr>
      </w:pPr>
      <w:r w:rsidRPr="00BA1B0E">
        <w:rPr>
          <w:rFonts w:cs="Arial"/>
          <w:b/>
          <w:color w:val="2E74B5" w:themeColor="accent1" w:themeShade="BF"/>
          <w:sz w:val="24"/>
          <w:szCs w:val="24"/>
          <w:lang w:val="es-MX"/>
        </w:rPr>
        <w:t xml:space="preserve">PRIMERO. Solicitud de acceso a la información pública. </w:t>
      </w:r>
      <w:r w:rsidRPr="00BA1B0E">
        <w:rPr>
          <w:rFonts w:cs="Arial"/>
          <w:color w:val="2E74B5" w:themeColor="accent1" w:themeShade="BF"/>
          <w:sz w:val="24"/>
          <w:szCs w:val="24"/>
          <w:lang w:val="es-MX"/>
        </w:rPr>
        <w:t xml:space="preserve">Según consta en la Plataforma Nacional de Transparencia en el folio </w:t>
      </w:r>
      <w:r w:rsidRPr="00BA1B0E">
        <w:rPr>
          <w:rFonts w:cs="Arial"/>
          <w:b/>
          <w:color w:val="2E74B5" w:themeColor="accent1" w:themeShade="BF"/>
          <w:sz w:val="24"/>
          <w:szCs w:val="24"/>
          <w:lang w:val="es-MX"/>
        </w:rPr>
        <w:t xml:space="preserve">00045318 </w:t>
      </w:r>
      <w:r w:rsidRPr="00BA1B0E">
        <w:rPr>
          <w:rFonts w:cs="Arial"/>
          <w:color w:val="2E74B5" w:themeColor="accent1" w:themeShade="BF"/>
          <w:sz w:val="24"/>
          <w:szCs w:val="24"/>
          <w:lang w:val="es-MX"/>
        </w:rPr>
        <w:t xml:space="preserve">cero, cero, cero cuarenta y cinco mil trescientos dieciocho, el 30 treinta de enero de 2018 dos mil dieciocho el </w:t>
      </w:r>
      <w:r w:rsidRPr="00BA1B0E">
        <w:rPr>
          <w:rFonts w:cs="Arial"/>
          <w:b/>
          <w:color w:val="2E74B5" w:themeColor="accent1" w:themeShade="BF"/>
          <w:sz w:val="24"/>
          <w:szCs w:val="24"/>
          <w:lang w:val="es-MX"/>
        </w:rPr>
        <w:t xml:space="preserve">PATRONATO DE LA FERIA NACIONAL POTOSINA </w:t>
      </w:r>
      <w:r w:rsidRPr="00BA1B0E">
        <w:rPr>
          <w:rFonts w:cs="Arial"/>
          <w:color w:val="2E74B5" w:themeColor="accent1" w:themeShade="BF"/>
          <w:sz w:val="24"/>
          <w:szCs w:val="24"/>
          <w:lang w:val="es-MX"/>
        </w:rPr>
        <w:t>recibió una solicitud de acceso a la información pública en donde se le pidió la información siguiente</w:t>
      </w:r>
      <w:r w:rsidRPr="00BA1B0E">
        <w:rPr>
          <w:rStyle w:val="Refdenotaalpie"/>
          <w:rFonts w:cs="Arial"/>
          <w:color w:val="2E74B5" w:themeColor="accent1" w:themeShade="BF"/>
          <w:sz w:val="24"/>
          <w:szCs w:val="24"/>
          <w:lang w:val="es-MX"/>
        </w:rPr>
        <w:footnoteReference w:id="1"/>
      </w:r>
      <w:r w:rsidRPr="00BA1B0E">
        <w:rPr>
          <w:rFonts w:cs="Arial"/>
          <w:color w:val="2E74B5" w:themeColor="accent1" w:themeShade="BF"/>
          <w:sz w:val="24"/>
          <w:szCs w:val="24"/>
          <w:lang w:val="es-MX"/>
        </w:rPr>
        <w:t>:</w:t>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187E4E" w:rsidP="00AD7C88">
      <w:pPr>
        <w:pStyle w:val="corte4fondo"/>
        <w:spacing w:line="276" w:lineRule="auto"/>
        <w:jc w:val="left"/>
        <w:rPr>
          <w:rFonts w:cs="Arial"/>
          <w:color w:val="2E74B5" w:themeColor="accent1" w:themeShade="BF"/>
          <w:sz w:val="24"/>
          <w:szCs w:val="24"/>
          <w:lang w:val="es-MX"/>
        </w:rPr>
      </w:pPr>
      <w:r w:rsidRPr="00BA1B0E">
        <w:rPr>
          <w:rFonts w:cs="Arial"/>
          <w:noProof/>
          <w:color w:val="2E74B5" w:themeColor="accent1" w:themeShade="BF"/>
          <w:sz w:val="24"/>
          <w:szCs w:val="24"/>
          <w:lang w:val="es-MX"/>
        </w:rPr>
        <w:drawing>
          <wp:inline distT="0" distB="0" distL="0" distR="0" wp14:anchorId="20C6206A" wp14:editId="6BD657C6">
            <wp:extent cx="5086350" cy="225171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6350" cy="2251710"/>
                    </a:xfrm>
                    <a:prstGeom prst="rect">
                      <a:avLst/>
                    </a:prstGeom>
                    <a:noFill/>
                    <a:ln>
                      <a:noFill/>
                    </a:ln>
                  </pic:spPr>
                </pic:pic>
              </a:graphicData>
            </a:graphic>
          </wp:inline>
        </w:drawing>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187E4E" w:rsidP="005616F4">
      <w:pPr>
        <w:spacing w:after="0" w:line="276" w:lineRule="auto"/>
        <w:ind w:left="709"/>
        <w:jc w:val="both"/>
        <w:rPr>
          <w:rFonts w:ascii="Arial" w:hAnsi="Arial" w:cs="Arial"/>
          <w:i/>
          <w:color w:val="2E74B5" w:themeColor="accent1" w:themeShade="BF"/>
          <w:sz w:val="20"/>
          <w:szCs w:val="20"/>
        </w:rPr>
      </w:pPr>
      <w:r w:rsidRPr="00BA1B0E">
        <w:rPr>
          <w:rFonts w:ascii="Arial" w:hAnsi="Arial" w:cs="Arial"/>
          <w:i/>
          <w:color w:val="2E74B5" w:themeColor="accent1" w:themeShade="BF"/>
          <w:sz w:val="20"/>
          <w:szCs w:val="20"/>
        </w:rPr>
        <w:t xml:space="preserve">“…Devoluciones de recursos o reembolsos, los conceptos de los mismos y sus montos que haya recibido el Patronato de la Feria Nacional Potosina del 1 de enero de 2017 al 30 de enero de </w:t>
      </w:r>
      <w:r w:rsidR="005616F4" w:rsidRPr="00BA1B0E">
        <w:rPr>
          <w:rFonts w:ascii="Arial" w:hAnsi="Arial" w:cs="Arial"/>
          <w:i/>
          <w:color w:val="2E74B5" w:themeColor="accent1" w:themeShade="BF"/>
          <w:sz w:val="20"/>
          <w:szCs w:val="20"/>
        </w:rPr>
        <w:t>2018…</w:t>
      </w:r>
      <w:r w:rsidRPr="00BA1B0E">
        <w:rPr>
          <w:rFonts w:ascii="Arial" w:hAnsi="Arial" w:cs="Arial"/>
          <w:i/>
          <w:color w:val="2E74B5" w:themeColor="accent1" w:themeShade="BF"/>
          <w:sz w:val="20"/>
          <w:szCs w:val="20"/>
        </w:rPr>
        <w:t>”</w:t>
      </w:r>
    </w:p>
    <w:p w:rsidR="00187E4E" w:rsidRPr="00BA1B0E" w:rsidRDefault="00187E4E" w:rsidP="005616F4">
      <w:pPr>
        <w:spacing w:after="0" w:line="276" w:lineRule="auto"/>
        <w:ind w:left="709"/>
        <w:jc w:val="both"/>
        <w:rPr>
          <w:rFonts w:ascii="Arial" w:hAnsi="Arial" w:cs="Arial"/>
          <w:color w:val="2E74B5" w:themeColor="accent1" w:themeShade="BF"/>
          <w:sz w:val="24"/>
          <w:szCs w:val="24"/>
        </w:rPr>
      </w:pPr>
    </w:p>
    <w:p w:rsidR="005616F4" w:rsidRPr="00BA1B0E" w:rsidRDefault="00187E4E" w:rsidP="005616F4">
      <w:pPr>
        <w:pStyle w:val="corte4fondo"/>
        <w:spacing w:line="276" w:lineRule="auto"/>
        <w:rPr>
          <w:rFonts w:cs="Arial"/>
          <w:color w:val="2E74B5" w:themeColor="accent1" w:themeShade="BF"/>
          <w:sz w:val="24"/>
          <w:szCs w:val="24"/>
          <w:lang w:val="es-MX"/>
        </w:rPr>
      </w:pPr>
      <w:r w:rsidRPr="00BA1B0E">
        <w:rPr>
          <w:rFonts w:cs="Arial"/>
          <w:b/>
          <w:color w:val="2E74B5" w:themeColor="accent1" w:themeShade="BF"/>
          <w:sz w:val="24"/>
          <w:szCs w:val="24"/>
          <w:lang w:val="es-MX"/>
        </w:rPr>
        <w:lastRenderedPageBreak/>
        <w:t>SEGUNDO</w:t>
      </w:r>
      <w:r w:rsidRPr="00BA1B0E">
        <w:rPr>
          <w:rFonts w:cs="Arial"/>
          <w:b/>
          <w:color w:val="2E74B5" w:themeColor="accent1" w:themeShade="BF"/>
          <w:sz w:val="24"/>
          <w:szCs w:val="24"/>
        </w:rPr>
        <w:t xml:space="preserve">. Interposición del recurso. </w:t>
      </w:r>
      <w:r w:rsidRPr="00BA1B0E">
        <w:rPr>
          <w:rFonts w:cs="Arial"/>
          <w:color w:val="2E74B5" w:themeColor="accent1" w:themeShade="BF"/>
          <w:sz w:val="24"/>
          <w:szCs w:val="24"/>
        </w:rPr>
        <w:t>El</w:t>
      </w:r>
      <w:r w:rsidRPr="00BA1B0E">
        <w:rPr>
          <w:rFonts w:cs="Arial"/>
          <w:color w:val="2E74B5" w:themeColor="accent1" w:themeShade="BF"/>
          <w:sz w:val="24"/>
          <w:szCs w:val="24"/>
          <w:lang w:val="es-MX"/>
        </w:rPr>
        <w:t xml:space="preserve"> </w:t>
      </w:r>
      <w:r w:rsidR="00E27F86" w:rsidRPr="00BA1B0E">
        <w:rPr>
          <w:rFonts w:cs="Arial"/>
          <w:color w:val="2E74B5" w:themeColor="accent1" w:themeShade="BF"/>
          <w:sz w:val="24"/>
          <w:szCs w:val="24"/>
          <w:lang w:val="es-MX"/>
        </w:rPr>
        <w:t xml:space="preserve">19 diecinueve </w:t>
      </w:r>
      <w:r w:rsidRPr="00BA1B0E">
        <w:rPr>
          <w:rFonts w:cs="Arial"/>
          <w:color w:val="2E74B5" w:themeColor="accent1" w:themeShade="BF"/>
          <w:sz w:val="24"/>
          <w:szCs w:val="24"/>
          <w:lang w:val="es-MX"/>
        </w:rPr>
        <w:t>de febrero de 2018 dos mil dieciocho, mediante registro PF00002</w:t>
      </w:r>
      <w:r w:rsidR="00E27F86" w:rsidRPr="00BA1B0E">
        <w:rPr>
          <w:rFonts w:cs="Arial"/>
          <w:color w:val="2E74B5" w:themeColor="accent1" w:themeShade="BF"/>
          <w:sz w:val="24"/>
          <w:szCs w:val="24"/>
          <w:lang w:val="es-MX"/>
        </w:rPr>
        <w:t>5</w:t>
      </w:r>
      <w:r w:rsidRPr="00BA1B0E">
        <w:rPr>
          <w:rFonts w:cs="Arial"/>
          <w:color w:val="2E74B5" w:themeColor="accent1" w:themeShade="BF"/>
          <w:sz w:val="24"/>
          <w:szCs w:val="24"/>
          <w:lang w:val="es-MX"/>
        </w:rPr>
        <w:t>18 en la Plataforma Nacional de Transparencia,</w:t>
      </w:r>
      <w:r w:rsidRPr="00BA1B0E">
        <w:rPr>
          <w:rFonts w:cs="Arial"/>
          <w:color w:val="2E74B5" w:themeColor="accent1" w:themeShade="BF"/>
          <w:sz w:val="24"/>
          <w:szCs w:val="24"/>
        </w:rPr>
        <w:t xml:space="preserve"> </w:t>
      </w:r>
      <w:r w:rsidRPr="00BA1B0E">
        <w:rPr>
          <w:rFonts w:cs="Arial"/>
          <w:color w:val="2E74B5" w:themeColor="accent1" w:themeShade="BF"/>
          <w:sz w:val="24"/>
          <w:szCs w:val="24"/>
          <w:lang w:val="es-MX"/>
        </w:rPr>
        <w:t>el</w:t>
      </w:r>
      <w:r w:rsidRPr="00BA1B0E">
        <w:rPr>
          <w:rFonts w:cs="Arial"/>
          <w:color w:val="2E74B5" w:themeColor="accent1" w:themeShade="BF"/>
          <w:sz w:val="24"/>
          <w:szCs w:val="24"/>
        </w:rPr>
        <w:t xml:space="preserve"> solicitante de la información </w:t>
      </w:r>
      <w:r w:rsidRPr="00BA1B0E">
        <w:rPr>
          <w:rFonts w:cs="Arial"/>
          <w:color w:val="2E74B5" w:themeColor="accent1" w:themeShade="BF"/>
          <w:sz w:val="24"/>
          <w:szCs w:val="24"/>
          <w:lang w:val="es-MX"/>
        </w:rPr>
        <w:t>interpuso recurso de revisión por la omisión de respuesta a su solicitud de acceso a la información pública mencionada en el punto anterior,</w:t>
      </w:r>
      <w:r w:rsidR="009A4362" w:rsidRPr="00BA1B0E">
        <w:rPr>
          <w:rFonts w:cs="Arial"/>
          <w:color w:val="2E74B5" w:themeColor="accent1" w:themeShade="BF"/>
          <w:sz w:val="24"/>
          <w:szCs w:val="24"/>
        </w:rPr>
        <w:t xml:space="preserve"> </w:t>
      </w:r>
      <w:r w:rsidR="005616F4" w:rsidRPr="00BA1B0E">
        <w:rPr>
          <w:rFonts w:cs="Arial"/>
          <w:color w:val="2E74B5" w:themeColor="accent1" w:themeShade="BF"/>
          <w:sz w:val="24"/>
          <w:szCs w:val="24"/>
          <w:lang w:val="es-MX"/>
        </w:rPr>
        <w:t xml:space="preserve">mismo que ese día quedó presentado </w:t>
      </w:r>
      <w:r w:rsidR="005616F4" w:rsidRPr="00BA1B0E">
        <w:rPr>
          <w:rFonts w:cs="Arial"/>
          <w:color w:val="2E74B5" w:themeColor="accent1" w:themeShade="BF"/>
          <w:sz w:val="24"/>
          <w:szCs w:val="24"/>
        </w:rPr>
        <w:t>ante la Oficialía de Partes de esta</w:t>
      </w:r>
      <w:r w:rsidR="005616F4" w:rsidRPr="00BA1B0E">
        <w:rPr>
          <w:rFonts w:cs="Arial"/>
          <w:color w:val="2E74B5" w:themeColor="accent1" w:themeShade="BF"/>
          <w:sz w:val="24"/>
          <w:szCs w:val="24"/>
          <w:lang w:val="es-MX"/>
        </w:rPr>
        <w:t xml:space="preserve"> Comisión Estatal de Garantía de Acceso a la Información Pública. </w:t>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187E4E" w:rsidP="005616F4">
      <w:pPr>
        <w:pStyle w:val="corte4fondo"/>
        <w:spacing w:line="276" w:lineRule="auto"/>
        <w:rPr>
          <w:rFonts w:cs="Arial"/>
          <w:color w:val="2E74B5" w:themeColor="accent1" w:themeShade="BF"/>
          <w:sz w:val="24"/>
          <w:szCs w:val="24"/>
          <w:lang w:val="es-MX"/>
        </w:rPr>
      </w:pPr>
      <w:r w:rsidRPr="00BA1B0E">
        <w:rPr>
          <w:rFonts w:cs="Arial"/>
          <w:b/>
          <w:color w:val="2E74B5" w:themeColor="accent1" w:themeShade="BF"/>
          <w:sz w:val="24"/>
          <w:szCs w:val="24"/>
          <w:lang w:val="es-MX"/>
        </w:rPr>
        <w:t xml:space="preserve">TERCERO. Trámite del recurso de revisión ante esta Comisión Estatal de Garantía de Acceso a la Información Pública. </w:t>
      </w:r>
      <w:r w:rsidRPr="00BA1B0E">
        <w:rPr>
          <w:rFonts w:cs="Arial"/>
          <w:color w:val="2E74B5" w:themeColor="accent1" w:themeShade="BF"/>
          <w:sz w:val="24"/>
          <w:szCs w:val="24"/>
          <w:lang w:val="es-MX"/>
        </w:rPr>
        <w:t xml:space="preserve">Mediante auto del </w:t>
      </w:r>
      <w:r w:rsidR="00E27F86" w:rsidRPr="00BA1B0E">
        <w:rPr>
          <w:rFonts w:cs="Arial"/>
          <w:color w:val="2E74B5" w:themeColor="accent1" w:themeShade="BF"/>
          <w:sz w:val="24"/>
          <w:szCs w:val="24"/>
          <w:lang w:val="es-MX"/>
        </w:rPr>
        <w:t xml:space="preserve">20 veinte </w:t>
      </w:r>
      <w:r w:rsidRPr="00BA1B0E">
        <w:rPr>
          <w:rFonts w:cs="Arial"/>
          <w:color w:val="2E74B5" w:themeColor="accent1" w:themeShade="BF"/>
          <w:sz w:val="24"/>
          <w:szCs w:val="24"/>
          <w:lang w:val="es-MX"/>
        </w:rPr>
        <w:t>de febrero del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3E2A23" w:rsidP="005616F4">
      <w:pPr>
        <w:pStyle w:val="corte4fondo"/>
        <w:spacing w:line="276" w:lineRule="auto"/>
        <w:rPr>
          <w:rFonts w:cs="Arial"/>
          <w:color w:val="2E74B5" w:themeColor="accent1" w:themeShade="BF"/>
          <w:sz w:val="24"/>
          <w:szCs w:val="24"/>
          <w:lang w:val="es-MX"/>
        </w:rPr>
      </w:pPr>
      <w:r>
        <w:rPr>
          <w:rFonts w:cs="Arial"/>
          <w:b/>
          <w:color w:val="2E74B5" w:themeColor="accent1" w:themeShade="BF"/>
          <w:sz w:val="24"/>
          <w:szCs w:val="24"/>
          <w:lang w:val="es-MX"/>
        </w:rPr>
        <w:t>CUARTO</w:t>
      </w:r>
      <w:r w:rsidR="00187E4E" w:rsidRPr="00BA1B0E">
        <w:rPr>
          <w:rFonts w:cs="Arial"/>
          <w:b/>
          <w:color w:val="2E74B5" w:themeColor="accent1" w:themeShade="BF"/>
          <w:sz w:val="24"/>
          <w:szCs w:val="24"/>
          <w:lang w:val="es-MX"/>
        </w:rPr>
        <w:t xml:space="preserve">. Auto de admisión y trámite. </w:t>
      </w:r>
      <w:r w:rsidR="00187E4E" w:rsidRPr="00BA1B0E">
        <w:rPr>
          <w:rFonts w:cs="Arial"/>
          <w:color w:val="2E74B5" w:themeColor="accent1" w:themeShade="BF"/>
          <w:sz w:val="24"/>
          <w:szCs w:val="24"/>
          <w:lang w:val="es-MX"/>
        </w:rPr>
        <w:t xml:space="preserve">Por proveído del </w:t>
      </w:r>
      <w:r w:rsidR="00E27F86" w:rsidRPr="00BA1B0E">
        <w:rPr>
          <w:rFonts w:cs="Arial"/>
          <w:color w:val="2E74B5" w:themeColor="accent1" w:themeShade="BF"/>
          <w:sz w:val="24"/>
          <w:szCs w:val="24"/>
          <w:lang w:val="es-MX"/>
        </w:rPr>
        <w:t xml:space="preserve">22 veintidós </w:t>
      </w:r>
      <w:r w:rsidR="00187E4E" w:rsidRPr="00BA1B0E">
        <w:rPr>
          <w:rFonts w:cs="Arial"/>
          <w:color w:val="2E74B5" w:themeColor="accent1" w:themeShade="BF"/>
          <w:sz w:val="24"/>
          <w:szCs w:val="24"/>
          <w:lang w:val="es-MX"/>
        </w:rPr>
        <w:t>de febrero de 2018 dos mil dieciocho la Comisionado Ponente:</w:t>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187E4E" w:rsidP="005616F4">
      <w:pPr>
        <w:pStyle w:val="corte4fondo"/>
        <w:numPr>
          <w:ilvl w:val="0"/>
          <w:numId w:val="2"/>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Registró en el Libro de Gobierno el presente expediente como RR-</w:t>
      </w:r>
      <w:r w:rsidR="00E27F86" w:rsidRPr="00BA1B0E">
        <w:rPr>
          <w:rFonts w:cs="Arial"/>
          <w:color w:val="2E74B5" w:themeColor="accent1" w:themeShade="BF"/>
          <w:sz w:val="24"/>
          <w:szCs w:val="24"/>
          <w:lang w:val="es-MX"/>
        </w:rPr>
        <w:t>113</w:t>
      </w:r>
      <w:r w:rsidRPr="00BA1B0E">
        <w:rPr>
          <w:rFonts w:cs="Arial"/>
          <w:color w:val="2E74B5" w:themeColor="accent1" w:themeShade="BF"/>
          <w:sz w:val="24"/>
          <w:szCs w:val="24"/>
          <w:lang w:val="es-MX"/>
        </w:rPr>
        <w:t>/2018-2 PLATAFORMA.</w:t>
      </w:r>
    </w:p>
    <w:p w:rsidR="00187E4E" w:rsidRPr="00BA1B0E" w:rsidRDefault="00187E4E" w:rsidP="005616F4">
      <w:pPr>
        <w:pStyle w:val="corte4fondo"/>
        <w:numPr>
          <w:ilvl w:val="0"/>
          <w:numId w:val="2"/>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Admitió a trámite el presente recurso de revisión.</w:t>
      </w:r>
    </w:p>
    <w:p w:rsidR="00187E4E" w:rsidRPr="00BA1B0E" w:rsidRDefault="00187E4E" w:rsidP="005616F4">
      <w:pPr>
        <w:pStyle w:val="corte4fondo"/>
        <w:numPr>
          <w:ilvl w:val="0"/>
          <w:numId w:val="2"/>
        </w:numPr>
        <w:spacing w:line="276" w:lineRule="auto"/>
        <w:rPr>
          <w:rFonts w:cs="Arial"/>
          <w:b/>
          <w:color w:val="2E74B5" w:themeColor="accent1" w:themeShade="BF"/>
          <w:sz w:val="24"/>
          <w:szCs w:val="24"/>
          <w:lang w:val="es-MX"/>
        </w:rPr>
      </w:pPr>
      <w:r w:rsidRPr="00BA1B0E">
        <w:rPr>
          <w:rFonts w:cs="Arial"/>
          <w:color w:val="2E74B5" w:themeColor="accent1" w:themeShade="BF"/>
          <w:sz w:val="24"/>
          <w:szCs w:val="24"/>
          <w:lang w:val="es-MX"/>
        </w:rPr>
        <w:t>Tuvo como</w:t>
      </w:r>
      <w:r w:rsidR="00511148" w:rsidRPr="00BA1B0E">
        <w:rPr>
          <w:rFonts w:cs="Arial"/>
          <w:color w:val="2E74B5" w:themeColor="accent1" w:themeShade="BF"/>
          <w:sz w:val="24"/>
          <w:szCs w:val="24"/>
          <w:lang w:val="es-MX"/>
        </w:rPr>
        <w:t xml:space="preserve"> sujeto obligado </w:t>
      </w:r>
      <w:r w:rsidRPr="00BA1B0E">
        <w:rPr>
          <w:rFonts w:cs="Arial"/>
          <w:color w:val="2E74B5" w:themeColor="accent1" w:themeShade="BF"/>
          <w:sz w:val="24"/>
          <w:szCs w:val="24"/>
          <w:lang w:val="es-MX"/>
        </w:rPr>
        <w:t>al</w:t>
      </w:r>
      <w:r w:rsidR="00E27F86" w:rsidRPr="00BA1B0E">
        <w:rPr>
          <w:rFonts w:cs="Arial"/>
          <w:b/>
          <w:color w:val="2E74B5" w:themeColor="accent1" w:themeShade="BF"/>
          <w:sz w:val="24"/>
          <w:szCs w:val="24"/>
          <w:lang w:val="es-MX"/>
        </w:rPr>
        <w:t xml:space="preserve"> </w:t>
      </w:r>
      <w:r w:rsidR="006D54C2" w:rsidRPr="00BA1B0E">
        <w:rPr>
          <w:rFonts w:cs="Arial"/>
          <w:b/>
          <w:color w:val="2E74B5" w:themeColor="accent1" w:themeShade="BF"/>
          <w:sz w:val="24"/>
          <w:szCs w:val="24"/>
          <w:lang w:val="es-MX"/>
        </w:rPr>
        <w:t xml:space="preserve">GOBIERNO DEL ESTADO DE SAN LUIS </w:t>
      </w:r>
      <w:r w:rsidR="006D54C2">
        <w:rPr>
          <w:rFonts w:cs="Arial"/>
          <w:b/>
          <w:color w:val="2E74B5" w:themeColor="accent1" w:themeShade="BF"/>
          <w:sz w:val="24"/>
          <w:szCs w:val="24"/>
          <w:lang w:val="es-MX"/>
        </w:rPr>
        <w:t>POTOSÍ POR CONDUCTO DEL PATRONAT</w:t>
      </w:r>
      <w:r w:rsidR="006D54C2" w:rsidRPr="00BA1B0E">
        <w:rPr>
          <w:rFonts w:cs="Arial"/>
          <w:b/>
          <w:color w:val="2E74B5" w:themeColor="accent1" w:themeShade="BF"/>
          <w:sz w:val="24"/>
          <w:szCs w:val="24"/>
          <w:lang w:val="es-MX"/>
        </w:rPr>
        <w:t>O DE LA FERIA NACIONAL POTOSINA A TRAVÉS DE SU TITULAR Y DEL TITULAR DE LA UNIDAD DE TRANSPARENCIA</w:t>
      </w:r>
      <w:r w:rsidR="006D54C2" w:rsidRPr="00BA1B0E">
        <w:rPr>
          <w:rFonts w:cs="Arial"/>
          <w:color w:val="2E74B5" w:themeColor="accent1" w:themeShade="BF"/>
          <w:sz w:val="24"/>
          <w:szCs w:val="24"/>
          <w:lang w:val="es-MX"/>
        </w:rPr>
        <w:t>.</w:t>
      </w:r>
    </w:p>
    <w:p w:rsidR="00187E4E" w:rsidRPr="00BA1B0E" w:rsidRDefault="00187E4E" w:rsidP="005616F4">
      <w:pPr>
        <w:pStyle w:val="corte4fondo"/>
        <w:numPr>
          <w:ilvl w:val="0"/>
          <w:numId w:val="2"/>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Se le tuvo al recurrente por señalada dirección electrónica para oír notificaciones.</w:t>
      </w:r>
    </w:p>
    <w:p w:rsidR="00187E4E" w:rsidRPr="00BA1B0E" w:rsidRDefault="00187E4E" w:rsidP="005616F4">
      <w:pPr>
        <w:pStyle w:val="corte4fondo"/>
        <w:numPr>
          <w:ilvl w:val="0"/>
          <w:numId w:val="2"/>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 xml:space="preserve">Se puso a disposición de las partes el expediente para que en un plazo máximo de 7 siete días manifestaran lo que a su derecho conviniera –ofrecer pruebas y alegar–.  </w:t>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187E4E" w:rsidP="005616F4">
      <w:pPr>
        <w:pStyle w:val="corte4fondo"/>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Asimismo, en ese auto la ponente expresó que el sujeto obligado debería informar a esta Comisión de Transparencia si la información que le fue solicitada:</w:t>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187E4E" w:rsidP="005616F4">
      <w:pPr>
        <w:pStyle w:val="corte4fondo"/>
        <w:numPr>
          <w:ilvl w:val="0"/>
          <w:numId w:val="1"/>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Se encontraba en sus archivos.</w:t>
      </w:r>
    </w:p>
    <w:p w:rsidR="00187E4E" w:rsidRPr="00BA1B0E" w:rsidRDefault="00187E4E" w:rsidP="005616F4">
      <w:pPr>
        <w:pStyle w:val="corte4fondo"/>
        <w:numPr>
          <w:ilvl w:val="0"/>
          <w:numId w:val="1"/>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187E4E" w:rsidRPr="00BA1B0E" w:rsidRDefault="00187E4E" w:rsidP="005616F4">
      <w:pPr>
        <w:pStyle w:val="corte4fondo"/>
        <w:numPr>
          <w:ilvl w:val="0"/>
          <w:numId w:val="1"/>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 xml:space="preserve">Se encontraba en una de las excepciones del derecho de acceso a la información como impedimento legal para su entrega –cuando se trate de información reservada o confidencial–. </w:t>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187E4E" w:rsidP="005616F4">
      <w:pPr>
        <w:pStyle w:val="corte4fondo"/>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 xml:space="preserve">Por lo tanto, la ponente ordenó el traslado a las autoridades con la copia simple del recurso de revisión; se les requirió a éstas para remitieran copia certificada del nombramiento que los acreditara como tales; para que señalaran </w:t>
      </w:r>
      <w:r w:rsidRPr="00BA1B0E">
        <w:rPr>
          <w:rFonts w:cs="Arial"/>
          <w:color w:val="2E74B5" w:themeColor="accent1" w:themeShade="BF"/>
          <w:sz w:val="24"/>
          <w:szCs w:val="24"/>
          <w:lang w:val="es-MX"/>
        </w:rPr>
        <w:lastRenderedPageBreak/>
        <w:t>personas y domicilio para oír y recibir notificaciones en esta ciudad; y que una vez, que sea decretado el cierre de instrucción no se atendería la información que fuese enviada.</w:t>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187E4E" w:rsidP="005616F4">
      <w:pPr>
        <w:pStyle w:val="corte4fondo"/>
        <w:spacing w:line="276" w:lineRule="auto"/>
        <w:ind w:firstLine="567"/>
        <w:rPr>
          <w:rFonts w:cs="Arial"/>
          <w:b/>
          <w:color w:val="2E74B5" w:themeColor="accent1" w:themeShade="BF"/>
          <w:sz w:val="24"/>
          <w:szCs w:val="24"/>
          <w:lang w:val="es-MX"/>
        </w:rPr>
      </w:pPr>
      <w:r w:rsidRPr="00BA1B0E">
        <w:rPr>
          <w:rFonts w:cs="Arial"/>
          <w:b/>
          <w:color w:val="2E74B5" w:themeColor="accent1" w:themeShade="BF"/>
          <w:sz w:val="24"/>
          <w:szCs w:val="24"/>
          <w:lang w:val="es-MX"/>
        </w:rPr>
        <w:t>Quinto. Informe de los sujetos obligados</w:t>
      </w:r>
      <w:r w:rsidRPr="00BA1B0E">
        <w:rPr>
          <w:rFonts w:cs="Arial"/>
          <w:color w:val="2E74B5" w:themeColor="accent1" w:themeShade="BF"/>
          <w:sz w:val="24"/>
          <w:szCs w:val="24"/>
          <w:lang w:val="es-MX"/>
        </w:rPr>
        <w:t xml:space="preserve">. Por proveído del </w:t>
      </w:r>
      <w:r w:rsidR="00E27F86" w:rsidRPr="00BA1B0E">
        <w:rPr>
          <w:rFonts w:cs="Arial"/>
          <w:color w:val="2E74B5" w:themeColor="accent1" w:themeShade="BF"/>
          <w:sz w:val="24"/>
          <w:szCs w:val="24"/>
          <w:lang w:val="es-MX"/>
        </w:rPr>
        <w:t>09 nueve de marzo</w:t>
      </w:r>
      <w:r w:rsidRPr="00BA1B0E">
        <w:rPr>
          <w:rFonts w:cs="Arial"/>
          <w:color w:val="2E74B5" w:themeColor="accent1" w:themeShade="BF"/>
          <w:sz w:val="24"/>
          <w:szCs w:val="24"/>
          <w:lang w:val="es-MX"/>
        </w:rPr>
        <w:t xml:space="preserve"> de 2018 dos mil dieciocho la ponente del presente asunto tuvo:</w:t>
      </w:r>
    </w:p>
    <w:p w:rsidR="00187E4E" w:rsidRPr="00BA1B0E" w:rsidRDefault="00187E4E" w:rsidP="005616F4">
      <w:pPr>
        <w:pStyle w:val="corte4fondo"/>
        <w:spacing w:line="276" w:lineRule="auto"/>
        <w:ind w:left="1510" w:firstLine="0"/>
        <w:rPr>
          <w:rFonts w:cs="Arial"/>
          <w:color w:val="2E74B5" w:themeColor="accent1" w:themeShade="BF"/>
          <w:sz w:val="24"/>
          <w:szCs w:val="24"/>
          <w:lang w:val="es-MX"/>
        </w:rPr>
      </w:pPr>
      <w:r w:rsidRPr="00BA1B0E">
        <w:rPr>
          <w:rFonts w:cs="Arial"/>
          <w:color w:val="2E74B5" w:themeColor="accent1" w:themeShade="BF"/>
          <w:sz w:val="24"/>
          <w:szCs w:val="24"/>
          <w:lang w:val="es-MX"/>
        </w:rPr>
        <w:t xml:space="preserve"> </w:t>
      </w:r>
    </w:p>
    <w:p w:rsidR="00187E4E" w:rsidRPr="00BA1B0E" w:rsidRDefault="00187E4E" w:rsidP="005616F4">
      <w:pPr>
        <w:pStyle w:val="corte4fondo"/>
        <w:numPr>
          <w:ilvl w:val="0"/>
          <w:numId w:val="4"/>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 xml:space="preserve">Por recibido el oficio </w:t>
      </w:r>
      <w:r w:rsidR="00E27F86" w:rsidRPr="00BA1B0E">
        <w:rPr>
          <w:rFonts w:cs="Arial"/>
          <w:color w:val="2E74B5" w:themeColor="accent1" w:themeShade="BF"/>
          <w:sz w:val="24"/>
          <w:szCs w:val="24"/>
          <w:lang w:val="es-MX"/>
        </w:rPr>
        <w:t>FENAPO-NUT/011/2017</w:t>
      </w:r>
      <w:r w:rsidRPr="00BA1B0E">
        <w:rPr>
          <w:rFonts w:cs="Arial"/>
          <w:color w:val="2E74B5" w:themeColor="accent1" w:themeShade="BF"/>
          <w:sz w:val="24"/>
          <w:szCs w:val="24"/>
          <w:lang w:val="es-MX"/>
        </w:rPr>
        <w:t xml:space="preserve"> firmado por el </w:t>
      </w:r>
      <w:r w:rsidR="00E27F86" w:rsidRPr="00BA1B0E">
        <w:rPr>
          <w:rFonts w:cs="Arial"/>
          <w:b/>
          <w:color w:val="2E74B5" w:themeColor="accent1" w:themeShade="BF"/>
          <w:sz w:val="24"/>
          <w:szCs w:val="24"/>
          <w:lang w:val="es-MX"/>
        </w:rPr>
        <w:t>TITULAR DE</w:t>
      </w:r>
      <w:r w:rsidRPr="00BA1B0E">
        <w:rPr>
          <w:rFonts w:cs="Arial"/>
          <w:b/>
          <w:color w:val="2E74B5" w:themeColor="accent1" w:themeShade="BF"/>
          <w:sz w:val="24"/>
          <w:szCs w:val="24"/>
          <w:lang w:val="es-MX"/>
        </w:rPr>
        <w:t xml:space="preserve"> LA UNIDAD DE TRANSPARENCIA </w:t>
      </w:r>
      <w:r w:rsidRPr="00BA1B0E">
        <w:rPr>
          <w:rFonts w:cs="Arial"/>
          <w:color w:val="2E74B5" w:themeColor="accent1" w:themeShade="BF"/>
          <w:sz w:val="24"/>
          <w:szCs w:val="24"/>
          <w:lang w:val="es-MX"/>
        </w:rPr>
        <w:t>del sujeto obligado junto con anexos.</w:t>
      </w:r>
    </w:p>
    <w:p w:rsidR="00187E4E" w:rsidRPr="00BA1B0E" w:rsidRDefault="00187E4E" w:rsidP="005616F4">
      <w:pPr>
        <w:pStyle w:val="corte4fondo"/>
        <w:numPr>
          <w:ilvl w:val="0"/>
          <w:numId w:val="4"/>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 xml:space="preserve">Por reconocida su personalidad. </w:t>
      </w:r>
    </w:p>
    <w:p w:rsidR="00187E4E" w:rsidRPr="00BA1B0E" w:rsidRDefault="00187E4E" w:rsidP="005616F4">
      <w:pPr>
        <w:pStyle w:val="corte4fondo"/>
        <w:numPr>
          <w:ilvl w:val="0"/>
          <w:numId w:val="4"/>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Por rendido en tiempo y forma el informe solicitado.</w:t>
      </w:r>
    </w:p>
    <w:p w:rsidR="00187E4E" w:rsidRPr="00BA1B0E" w:rsidRDefault="00187E4E" w:rsidP="005616F4">
      <w:pPr>
        <w:pStyle w:val="corte4fondo"/>
        <w:numPr>
          <w:ilvl w:val="0"/>
          <w:numId w:val="4"/>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Por expresados los argumentos relacionados con el presente asunto.</w:t>
      </w:r>
    </w:p>
    <w:p w:rsidR="00EE2863" w:rsidRPr="00BA1B0E" w:rsidRDefault="00EE2863" w:rsidP="005616F4">
      <w:pPr>
        <w:pStyle w:val="corte4fondo"/>
        <w:numPr>
          <w:ilvl w:val="0"/>
          <w:numId w:val="4"/>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Por señalado domicilio para oír y recibir notificaciones.</w:t>
      </w:r>
    </w:p>
    <w:p w:rsidR="00187E4E" w:rsidRPr="00BA1B0E" w:rsidRDefault="00EE2863" w:rsidP="005616F4">
      <w:pPr>
        <w:pStyle w:val="corte4fondo"/>
        <w:spacing w:line="276" w:lineRule="auto"/>
        <w:ind w:left="1510" w:firstLine="0"/>
        <w:rPr>
          <w:rFonts w:cs="Arial"/>
          <w:color w:val="2E74B5" w:themeColor="accent1" w:themeShade="BF"/>
          <w:sz w:val="24"/>
          <w:szCs w:val="24"/>
        </w:rPr>
      </w:pPr>
      <w:r w:rsidRPr="00BA1B0E">
        <w:rPr>
          <w:rFonts w:cs="Arial"/>
          <w:color w:val="2E74B5" w:themeColor="accent1" w:themeShade="BF"/>
          <w:sz w:val="24"/>
          <w:szCs w:val="24"/>
          <w:lang w:val="es-MX"/>
        </w:rPr>
        <w:t xml:space="preserve"> </w:t>
      </w:r>
    </w:p>
    <w:p w:rsidR="00187E4E" w:rsidRPr="00BA1B0E" w:rsidRDefault="00187E4E" w:rsidP="005616F4">
      <w:pPr>
        <w:spacing w:after="0" w:line="276" w:lineRule="auto"/>
        <w:jc w:val="both"/>
        <w:rPr>
          <w:rFonts w:ascii="Arial" w:eastAsia="Times New Roman" w:hAnsi="Arial" w:cs="Arial"/>
          <w:color w:val="2E74B5" w:themeColor="accent1" w:themeShade="BF"/>
          <w:sz w:val="24"/>
          <w:szCs w:val="24"/>
          <w:lang w:eastAsia="es-MX"/>
        </w:rPr>
      </w:pPr>
      <w:r w:rsidRPr="00BA1B0E">
        <w:rPr>
          <w:rFonts w:ascii="Arial" w:hAnsi="Arial" w:cs="Arial"/>
          <w:color w:val="2E74B5" w:themeColor="accent1" w:themeShade="BF"/>
          <w:sz w:val="24"/>
          <w:szCs w:val="24"/>
        </w:rPr>
        <w:tab/>
        <w:t xml:space="preserve"> </w:t>
      </w:r>
      <w:r w:rsidRPr="00BA1B0E">
        <w:rPr>
          <w:rFonts w:ascii="Arial" w:eastAsia="Times New Roman" w:hAnsi="Arial" w:cs="Arial"/>
          <w:color w:val="2E74B5" w:themeColor="accent1" w:themeShade="BF"/>
          <w:sz w:val="24"/>
          <w:szCs w:val="24"/>
          <w:lang w:eastAsia="es-MX"/>
        </w:rPr>
        <w:t>Respecto de la parte recurrente, se advirtió que no compareció a realizar las manifestaciones que a su derecho conviniera – ofrecer pruebas y alegar.</w:t>
      </w:r>
    </w:p>
    <w:p w:rsidR="00EE2863" w:rsidRPr="00BA1B0E" w:rsidRDefault="00EE2863" w:rsidP="005616F4">
      <w:pPr>
        <w:pStyle w:val="corte4fondo"/>
        <w:spacing w:line="276" w:lineRule="auto"/>
        <w:ind w:firstLine="708"/>
        <w:rPr>
          <w:rFonts w:cs="Arial"/>
          <w:b/>
          <w:color w:val="2E74B5" w:themeColor="accent1" w:themeShade="BF"/>
          <w:sz w:val="24"/>
          <w:szCs w:val="24"/>
          <w:lang w:val="es-MX"/>
        </w:rPr>
      </w:pPr>
    </w:p>
    <w:p w:rsidR="00EE2863" w:rsidRPr="00BA1B0E" w:rsidRDefault="00EE2863" w:rsidP="00BA1B0E">
      <w:pPr>
        <w:pStyle w:val="corte4fondo"/>
        <w:spacing w:line="276" w:lineRule="auto"/>
        <w:ind w:firstLine="708"/>
        <w:rPr>
          <w:rFonts w:cs="Arial"/>
          <w:color w:val="2E74B5" w:themeColor="accent1" w:themeShade="BF"/>
          <w:sz w:val="24"/>
          <w:szCs w:val="24"/>
          <w:lang w:val="es-ES"/>
        </w:rPr>
      </w:pPr>
      <w:r w:rsidRPr="00BA1B0E">
        <w:rPr>
          <w:rFonts w:cs="Arial"/>
          <w:b/>
          <w:color w:val="2E74B5" w:themeColor="accent1" w:themeShade="BF"/>
          <w:sz w:val="24"/>
          <w:szCs w:val="24"/>
          <w:lang w:val="es-MX"/>
        </w:rPr>
        <w:t>SEXTO</w:t>
      </w:r>
      <w:r w:rsidRPr="00BA1B0E">
        <w:rPr>
          <w:rFonts w:cs="Arial"/>
          <w:color w:val="2E74B5" w:themeColor="accent1" w:themeShade="BF"/>
          <w:sz w:val="24"/>
          <w:szCs w:val="24"/>
          <w:lang w:val="es-MX"/>
        </w:rPr>
        <w:t xml:space="preserve">. </w:t>
      </w:r>
      <w:r w:rsidRPr="00BA1B0E">
        <w:rPr>
          <w:rFonts w:cs="Arial"/>
          <w:b/>
          <w:color w:val="2E74B5" w:themeColor="accent1" w:themeShade="BF"/>
          <w:sz w:val="24"/>
          <w:szCs w:val="24"/>
          <w:lang w:val="es-MX"/>
        </w:rPr>
        <w:t>Ampliación del plazo para resolver.</w:t>
      </w:r>
      <w:r w:rsidRPr="00BA1B0E">
        <w:rPr>
          <w:rFonts w:cs="Arial"/>
          <w:color w:val="2E74B5" w:themeColor="accent1" w:themeShade="BF"/>
          <w:sz w:val="24"/>
          <w:szCs w:val="24"/>
          <w:lang w:val="es-MX"/>
        </w:rPr>
        <w:t xml:space="preserve"> Por auto de 06 seis de abril de 2018 dos mil dieciocho,</w:t>
      </w:r>
      <w:r w:rsidRPr="00BA1B0E">
        <w:rPr>
          <w:rFonts w:cs="Arial"/>
          <w:color w:val="2E74B5" w:themeColor="accent1" w:themeShade="BF"/>
          <w:sz w:val="24"/>
          <w:szCs w:val="24"/>
        </w:rPr>
        <w:t xml:space="preserve"> </w:t>
      </w:r>
      <w:r w:rsidR="00BA1B0E">
        <w:rPr>
          <w:rFonts w:cs="Arial"/>
          <w:color w:val="2E74B5" w:themeColor="accent1" w:themeShade="BF"/>
          <w:sz w:val="24"/>
          <w:szCs w:val="24"/>
          <w:lang w:val="es-MX"/>
        </w:rPr>
        <w:t xml:space="preserve">la ponente </w:t>
      </w:r>
      <w:r w:rsidR="00BA1B0E" w:rsidRPr="00BA1B0E">
        <w:rPr>
          <w:rFonts w:cs="Arial"/>
          <w:color w:val="2E74B5" w:themeColor="accent1" w:themeShade="BF"/>
          <w:sz w:val="24"/>
          <w:szCs w:val="24"/>
          <w:lang w:val="es-MX"/>
        </w:rPr>
        <w:t xml:space="preserve">decretó </w:t>
      </w:r>
      <w:r w:rsidR="006D54C2">
        <w:rPr>
          <w:rFonts w:cs="Arial"/>
          <w:color w:val="2E74B5" w:themeColor="accent1" w:themeShade="BF"/>
          <w:sz w:val="24"/>
          <w:szCs w:val="24"/>
          <w:lang w:val="es-MX"/>
        </w:rPr>
        <w:t xml:space="preserve">la </w:t>
      </w:r>
      <w:r w:rsidR="00BA1B0E" w:rsidRPr="00BA1B0E">
        <w:rPr>
          <w:rFonts w:cs="Arial"/>
          <w:color w:val="2E74B5" w:themeColor="accent1" w:themeShade="BF"/>
          <w:sz w:val="24"/>
          <w:szCs w:val="24"/>
        </w:rPr>
        <w:t>ampli</w:t>
      </w:r>
      <w:r w:rsidR="00BA1B0E" w:rsidRPr="00BA1B0E">
        <w:rPr>
          <w:rFonts w:cs="Arial"/>
          <w:color w:val="2E74B5" w:themeColor="accent1" w:themeShade="BF"/>
          <w:sz w:val="24"/>
          <w:szCs w:val="24"/>
          <w:lang w:val="es-MX"/>
        </w:rPr>
        <w:t>a</w:t>
      </w:r>
      <w:r w:rsidR="006D54C2">
        <w:rPr>
          <w:rFonts w:cs="Arial"/>
          <w:color w:val="2E74B5" w:themeColor="accent1" w:themeShade="BF"/>
          <w:sz w:val="24"/>
          <w:szCs w:val="24"/>
          <w:lang w:val="es-MX"/>
        </w:rPr>
        <w:t>ción</w:t>
      </w:r>
      <w:r w:rsidR="00BA1B0E" w:rsidRPr="00BA1B0E">
        <w:rPr>
          <w:rFonts w:cs="Arial"/>
          <w:color w:val="2E74B5" w:themeColor="accent1" w:themeShade="BF"/>
          <w:sz w:val="24"/>
          <w:szCs w:val="24"/>
        </w:rPr>
        <w:t xml:space="preserve"> </w:t>
      </w:r>
      <w:r w:rsidR="006D54C2">
        <w:rPr>
          <w:rFonts w:cs="Arial"/>
          <w:color w:val="2E74B5" w:themeColor="accent1" w:themeShade="BF"/>
          <w:sz w:val="24"/>
          <w:szCs w:val="24"/>
          <w:lang w:val="es-MX"/>
        </w:rPr>
        <w:t>d</w:t>
      </w:r>
      <w:r w:rsidR="00BA1B0E" w:rsidRPr="00BA1B0E">
        <w:rPr>
          <w:rFonts w:cs="Arial"/>
          <w:color w:val="2E74B5" w:themeColor="accent1" w:themeShade="BF"/>
          <w:sz w:val="24"/>
          <w:szCs w:val="24"/>
        </w:rPr>
        <w:t>el plazo para resolver el presente asunto</w:t>
      </w:r>
      <w:r w:rsidR="00BA1B0E">
        <w:rPr>
          <w:rFonts w:cs="Arial"/>
          <w:color w:val="2E74B5" w:themeColor="accent1" w:themeShade="BF"/>
          <w:sz w:val="24"/>
          <w:szCs w:val="24"/>
          <w:lang w:val="es-ES"/>
        </w:rPr>
        <w:t xml:space="preserve">, ello </w:t>
      </w:r>
      <w:r w:rsidRPr="00BA1B0E">
        <w:rPr>
          <w:rFonts w:cs="Arial"/>
          <w:color w:val="2E74B5" w:themeColor="accent1" w:themeShade="BF"/>
          <w:sz w:val="24"/>
          <w:szCs w:val="24"/>
          <w:lang w:val="es-MX"/>
        </w:rPr>
        <w:t xml:space="preserve">de conformidad </w:t>
      </w:r>
      <w:r w:rsidRPr="00BA1B0E">
        <w:rPr>
          <w:rFonts w:cs="Arial"/>
          <w:color w:val="2E74B5" w:themeColor="accent1" w:themeShade="BF"/>
          <w:sz w:val="24"/>
          <w:szCs w:val="24"/>
        </w:rPr>
        <w:t>con el Lineamiento Décimo Noveno de los Lineamientos para la Recepción, Sustanciación, Resolución</w:t>
      </w:r>
      <w:r w:rsidRPr="00BA1B0E">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w:t>
      </w:r>
      <w:r w:rsidR="00BA1B0E">
        <w:rPr>
          <w:rFonts w:cs="Arial"/>
          <w:color w:val="2E74B5" w:themeColor="accent1" w:themeShade="BF"/>
          <w:spacing w:val="2"/>
          <w:sz w:val="24"/>
          <w:szCs w:val="24"/>
          <w:lang w:val="es-MX"/>
        </w:rPr>
        <w:t>.</w:t>
      </w:r>
      <w:r w:rsidRPr="00BA1B0E">
        <w:rPr>
          <w:rFonts w:cs="Arial"/>
          <w:color w:val="2E74B5" w:themeColor="accent1" w:themeShade="BF"/>
          <w:spacing w:val="2"/>
          <w:sz w:val="24"/>
          <w:szCs w:val="24"/>
        </w:rPr>
        <w:t xml:space="preserve"> </w:t>
      </w:r>
      <w:r w:rsidRPr="00BA1B0E">
        <w:rPr>
          <w:rFonts w:cs="Arial"/>
          <w:color w:val="2E74B5" w:themeColor="accent1" w:themeShade="BF"/>
          <w:sz w:val="24"/>
          <w:szCs w:val="24"/>
        </w:rPr>
        <w:t xml:space="preserve"> </w:t>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187E4E" w:rsidP="005616F4">
      <w:pPr>
        <w:pStyle w:val="corte4fondo"/>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Para concluir, la ponente declaró cerrado el periodo de instrucción y procedió a elaborar el proyecto de resolución respectivo.</w:t>
      </w:r>
    </w:p>
    <w:p w:rsidR="00187E4E" w:rsidRPr="00BA1B0E" w:rsidRDefault="00187E4E" w:rsidP="005616F4">
      <w:pPr>
        <w:pStyle w:val="corte4fondo"/>
        <w:spacing w:line="276" w:lineRule="auto"/>
        <w:jc w:val="center"/>
        <w:rPr>
          <w:rFonts w:cs="Arial"/>
          <w:b/>
          <w:color w:val="2E74B5" w:themeColor="accent1" w:themeShade="BF"/>
          <w:sz w:val="24"/>
          <w:szCs w:val="24"/>
          <w:lang w:val="es-MX"/>
        </w:rPr>
      </w:pPr>
    </w:p>
    <w:p w:rsidR="00187E4E" w:rsidRPr="00BA1B0E" w:rsidRDefault="00187E4E" w:rsidP="005616F4">
      <w:pPr>
        <w:pStyle w:val="corte4fondo"/>
        <w:spacing w:line="276" w:lineRule="auto"/>
        <w:jc w:val="center"/>
        <w:rPr>
          <w:rFonts w:cs="Arial"/>
          <w:b/>
          <w:color w:val="2E74B5" w:themeColor="accent1" w:themeShade="BF"/>
          <w:sz w:val="24"/>
          <w:szCs w:val="24"/>
          <w:lang w:val="es-MX"/>
        </w:rPr>
      </w:pPr>
      <w:r w:rsidRPr="00BA1B0E">
        <w:rPr>
          <w:rFonts w:cs="Arial"/>
          <w:b/>
          <w:color w:val="2E74B5" w:themeColor="accent1" w:themeShade="BF"/>
          <w:sz w:val="24"/>
          <w:szCs w:val="24"/>
          <w:lang w:val="es-MX"/>
        </w:rPr>
        <w:t>CONSIDERANDO</w:t>
      </w:r>
    </w:p>
    <w:p w:rsidR="00187E4E" w:rsidRPr="00BA1B0E" w:rsidRDefault="00187E4E" w:rsidP="005616F4">
      <w:pPr>
        <w:pStyle w:val="corte4fondo"/>
        <w:spacing w:line="276" w:lineRule="auto"/>
        <w:jc w:val="center"/>
        <w:rPr>
          <w:rFonts w:cs="Arial"/>
          <w:b/>
          <w:color w:val="2E74B5" w:themeColor="accent1" w:themeShade="BF"/>
          <w:sz w:val="24"/>
          <w:szCs w:val="24"/>
          <w:lang w:val="es-MX"/>
        </w:rPr>
      </w:pPr>
    </w:p>
    <w:p w:rsidR="00187E4E" w:rsidRPr="00BA1B0E" w:rsidRDefault="00187E4E" w:rsidP="005616F4">
      <w:pPr>
        <w:pStyle w:val="corte4fondo"/>
        <w:spacing w:line="276" w:lineRule="auto"/>
        <w:rPr>
          <w:rFonts w:cs="Arial"/>
          <w:color w:val="2E74B5" w:themeColor="accent1" w:themeShade="BF"/>
          <w:sz w:val="24"/>
          <w:szCs w:val="24"/>
          <w:lang w:val="es-MX"/>
        </w:rPr>
      </w:pPr>
      <w:r w:rsidRPr="00BA1B0E">
        <w:rPr>
          <w:rFonts w:cs="Arial"/>
          <w:b/>
          <w:color w:val="2E74B5" w:themeColor="accent1" w:themeShade="BF"/>
          <w:sz w:val="24"/>
          <w:szCs w:val="24"/>
          <w:lang w:val="es-MX"/>
        </w:rPr>
        <w:t xml:space="preserve">PRIMERO. Competencia. </w:t>
      </w:r>
      <w:r w:rsidRPr="00BA1B0E">
        <w:rPr>
          <w:rFonts w:cs="Arial"/>
          <w:color w:val="2E74B5" w:themeColor="accent1" w:themeShade="BF"/>
          <w:sz w:val="24"/>
          <w:szCs w:val="24"/>
          <w:lang w:val="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187E4E" w:rsidP="005616F4">
      <w:pPr>
        <w:pStyle w:val="corte4fondo"/>
        <w:spacing w:line="276" w:lineRule="auto"/>
        <w:rPr>
          <w:rFonts w:cs="Arial"/>
          <w:color w:val="2E74B5" w:themeColor="accent1" w:themeShade="BF"/>
          <w:sz w:val="24"/>
          <w:szCs w:val="24"/>
          <w:lang w:val="es-MX"/>
        </w:rPr>
      </w:pPr>
      <w:r w:rsidRPr="00BA1B0E">
        <w:rPr>
          <w:rFonts w:cs="Arial"/>
          <w:b/>
          <w:color w:val="2E74B5" w:themeColor="accent1" w:themeShade="BF"/>
          <w:sz w:val="24"/>
          <w:szCs w:val="24"/>
        </w:rPr>
        <w:t xml:space="preserve">SEGUNDO. Procedencia. </w:t>
      </w:r>
      <w:r w:rsidRPr="00BA1B0E">
        <w:rPr>
          <w:rFonts w:cs="Arial"/>
          <w:color w:val="2E74B5" w:themeColor="accent1" w:themeShade="BF"/>
          <w:sz w:val="24"/>
          <w:szCs w:val="24"/>
        </w:rPr>
        <w:t>El presente recurso de revisión es procedente en términos del artículo 166 de la Ley de Transparencia y Acceso a la Información Pública del Estado</w:t>
      </w:r>
      <w:r w:rsidRPr="00BA1B0E">
        <w:rPr>
          <w:rFonts w:cs="Arial"/>
          <w:color w:val="2E74B5" w:themeColor="accent1" w:themeShade="BF"/>
          <w:sz w:val="24"/>
          <w:szCs w:val="24"/>
          <w:lang w:val="es-MX"/>
        </w:rPr>
        <w:t xml:space="preserve"> ya que la recurrente se inconforma por la respuesta a su solicitud de acceso a la información pública por parte del sujeto obligado.</w:t>
      </w:r>
      <w:r w:rsidRPr="00BA1B0E">
        <w:rPr>
          <w:rFonts w:cs="Arial"/>
          <w:color w:val="2E74B5" w:themeColor="accent1" w:themeShade="BF"/>
          <w:sz w:val="24"/>
          <w:szCs w:val="24"/>
        </w:rPr>
        <w:t xml:space="preserve"> </w:t>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187E4E" w:rsidP="005616F4">
      <w:pPr>
        <w:pStyle w:val="corte4fondo"/>
        <w:spacing w:line="276" w:lineRule="auto"/>
        <w:rPr>
          <w:rFonts w:cs="Arial"/>
          <w:color w:val="2E74B5" w:themeColor="accent1" w:themeShade="BF"/>
          <w:sz w:val="24"/>
          <w:szCs w:val="24"/>
          <w:lang w:val="es-MX"/>
        </w:rPr>
      </w:pPr>
      <w:r w:rsidRPr="00BA1B0E">
        <w:rPr>
          <w:rFonts w:cs="Arial"/>
          <w:b/>
          <w:color w:val="2E74B5" w:themeColor="accent1" w:themeShade="BF"/>
          <w:sz w:val="24"/>
          <w:szCs w:val="24"/>
        </w:rPr>
        <w:t xml:space="preserve">TERCERO. Legitimación. </w:t>
      </w:r>
      <w:r w:rsidRPr="00BA1B0E">
        <w:rPr>
          <w:rFonts w:cs="Arial"/>
          <w:color w:val="2E74B5" w:themeColor="accent1" w:themeShade="BF"/>
          <w:sz w:val="24"/>
          <w:szCs w:val="24"/>
          <w:lang w:val="es-MX"/>
        </w:rPr>
        <w:t>La</w:t>
      </w:r>
      <w:r w:rsidRPr="00BA1B0E">
        <w:rPr>
          <w:rFonts w:cs="Arial"/>
          <w:color w:val="2E74B5" w:themeColor="accent1" w:themeShade="BF"/>
          <w:sz w:val="24"/>
          <w:szCs w:val="24"/>
        </w:rPr>
        <w:t xml:space="preserve"> recurrente se encuentra legitimad</w:t>
      </w:r>
      <w:r w:rsidRPr="00BA1B0E">
        <w:rPr>
          <w:rFonts w:cs="Arial"/>
          <w:color w:val="2E74B5" w:themeColor="accent1" w:themeShade="BF"/>
          <w:sz w:val="24"/>
          <w:szCs w:val="24"/>
          <w:lang w:val="es-MX"/>
        </w:rPr>
        <w:t>a</w:t>
      </w:r>
      <w:r w:rsidRPr="00BA1B0E">
        <w:rPr>
          <w:rFonts w:cs="Arial"/>
          <w:color w:val="2E74B5" w:themeColor="accent1" w:themeShade="BF"/>
          <w:sz w:val="24"/>
          <w:szCs w:val="24"/>
        </w:rPr>
        <w:t xml:space="preserve"> para interponer el recurso de revisión, ya que fue </w:t>
      </w:r>
      <w:r w:rsidRPr="00BA1B0E">
        <w:rPr>
          <w:rFonts w:cs="Arial"/>
          <w:color w:val="2E74B5" w:themeColor="accent1" w:themeShade="BF"/>
          <w:sz w:val="24"/>
          <w:szCs w:val="24"/>
          <w:lang w:val="es-MX"/>
        </w:rPr>
        <w:t>ella quien</w:t>
      </w:r>
      <w:r w:rsidRPr="00BA1B0E">
        <w:rPr>
          <w:rFonts w:cs="Arial"/>
          <w:color w:val="2E74B5" w:themeColor="accent1" w:themeShade="BF"/>
          <w:sz w:val="24"/>
          <w:szCs w:val="24"/>
        </w:rPr>
        <w:t xml:space="preserve"> presentó la solicitud de </w:t>
      </w:r>
      <w:r w:rsidRPr="00BA1B0E">
        <w:rPr>
          <w:rFonts w:cs="Arial"/>
          <w:color w:val="2E74B5" w:themeColor="accent1" w:themeShade="BF"/>
          <w:sz w:val="24"/>
          <w:szCs w:val="24"/>
        </w:rPr>
        <w:lastRenderedPageBreak/>
        <w:t xml:space="preserve">acceso a la información pública y la </w:t>
      </w:r>
      <w:r w:rsidRPr="00BA1B0E">
        <w:rPr>
          <w:rFonts w:cs="Arial"/>
          <w:color w:val="2E74B5" w:themeColor="accent1" w:themeShade="BF"/>
          <w:sz w:val="24"/>
          <w:szCs w:val="24"/>
          <w:lang w:val="es-MX"/>
        </w:rPr>
        <w:t xml:space="preserve">respuesta </w:t>
      </w:r>
      <w:r w:rsidRPr="00BA1B0E">
        <w:rPr>
          <w:rFonts w:cs="Arial"/>
          <w:color w:val="2E74B5" w:themeColor="accent1" w:themeShade="BF"/>
          <w:sz w:val="24"/>
          <w:szCs w:val="24"/>
        </w:rPr>
        <w:t>a ésta es precisamente</w:t>
      </w:r>
      <w:r w:rsidRPr="00BA1B0E">
        <w:rPr>
          <w:rFonts w:cs="Arial"/>
          <w:color w:val="2E74B5" w:themeColor="accent1" w:themeShade="BF"/>
          <w:sz w:val="24"/>
          <w:szCs w:val="24"/>
          <w:lang w:val="es-MX"/>
        </w:rPr>
        <w:t xml:space="preserve"> a</w:t>
      </w:r>
      <w:r w:rsidRPr="00BA1B0E">
        <w:rPr>
          <w:rFonts w:cs="Arial"/>
          <w:color w:val="2E74B5" w:themeColor="accent1" w:themeShade="BF"/>
          <w:sz w:val="24"/>
          <w:szCs w:val="24"/>
        </w:rPr>
        <w:t xml:space="preserve"> aquél</w:t>
      </w:r>
      <w:r w:rsidRPr="00BA1B0E">
        <w:rPr>
          <w:rFonts w:cs="Arial"/>
          <w:color w:val="2E74B5" w:themeColor="accent1" w:themeShade="BF"/>
          <w:sz w:val="24"/>
          <w:szCs w:val="24"/>
          <w:lang w:val="es-MX"/>
        </w:rPr>
        <w:t>la quien le pudiera deparar perjuicio.</w:t>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187E4E" w:rsidP="005616F4">
      <w:pPr>
        <w:pStyle w:val="corte4fondo"/>
        <w:spacing w:line="276" w:lineRule="auto"/>
        <w:rPr>
          <w:rFonts w:cs="Arial"/>
          <w:color w:val="2E74B5" w:themeColor="accent1" w:themeShade="BF"/>
          <w:sz w:val="24"/>
          <w:szCs w:val="24"/>
          <w:lang w:val="es-MX"/>
        </w:rPr>
      </w:pPr>
      <w:r w:rsidRPr="00BA1B0E">
        <w:rPr>
          <w:rFonts w:cs="Arial"/>
          <w:b/>
          <w:color w:val="2E74B5" w:themeColor="accent1" w:themeShade="BF"/>
          <w:sz w:val="24"/>
          <w:szCs w:val="24"/>
          <w:lang w:val="es-MX"/>
        </w:rPr>
        <w:t>CUARTO. Oportunidad del recurso</w:t>
      </w:r>
      <w:r w:rsidRPr="00BA1B0E">
        <w:rPr>
          <w:rFonts w:cs="Arial"/>
          <w:color w:val="2E74B5" w:themeColor="accent1" w:themeShade="BF"/>
          <w:sz w:val="24"/>
          <w:szCs w:val="24"/>
          <w:lang w:val="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187E4E" w:rsidRPr="00BA1B0E" w:rsidRDefault="00187E4E" w:rsidP="005616F4">
      <w:pPr>
        <w:pStyle w:val="corte4fondo"/>
        <w:spacing w:line="276" w:lineRule="auto"/>
        <w:rPr>
          <w:rFonts w:cs="Arial"/>
          <w:color w:val="2E74B5" w:themeColor="accent1" w:themeShade="BF"/>
          <w:sz w:val="24"/>
          <w:szCs w:val="24"/>
          <w:lang w:val="es-MX"/>
        </w:rPr>
      </w:pPr>
    </w:p>
    <w:p w:rsidR="00187E4E" w:rsidRPr="00BA1B0E" w:rsidRDefault="00187E4E" w:rsidP="005616F4">
      <w:pPr>
        <w:pStyle w:val="corte4fondo"/>
        <w:numPr>
          <w:ilvl w:val="0"/>
          <w:numId w:val="3"/>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El 30 treinta de enero de 2018 dos mil dieciocho el solicitante de la información presentó su solicitud de acceso a la información pública ante el sujeto obligado.</w:t>
      </w:r>
    </w:p>
    <w:p w:rsidR="00187E4E" w:rsidRPr="00BA1B0E" w:rsidRDefault="00187E4E" w:rsidP="005616F4">
      <w:pPr>
        <w:pStyle w:val="corte4fondo"/>
        <w:numPr>
          <w:ilvl w:val="0"/>
          <w:numId w:val="3"/>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Ahora, de conformidad con los artículos 148 y 154 de la Ley de Transparencia, el plazo para dar respuesta por parte del sujeto obligado era de diez días hábiles, contados a partir del día siguiente en que le fue presentada.</w:t>
      </w:r>
    </w:p>
    <w:p w:rsidR="00187E4E" w:rsidRPr="00BA1B0E" w:rsidRDefault="00187E4E" w:rsidP="005616F4">
      <w:pPr>
        <w:pStyle w:val="corte4fondo"/>
        <w:numPr>
          <w:ilvl w:val="0"/>
          <w:numId w:val="3"/>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Por lo tanto, el plazo de los diez días comenzó el día 31 treinta y uno de enero y venció el 14 catorce de febrero, sin contar los días 03 tres, 04 cuatro, 05 cinco, 10 diez, y 11 once de febrero por ser inhábiles.</w:t>
      </w:r>
    </w:p>
    <w:p w:rsidR="00187E4E" w:rsidRPr="00BA1B0E" w:rsidRDefault="00187E4E" w:rsidP="005616F4">
      <w:pPr>
        <w:pStyle w:val="corte4fondo"/>
        <w:numPr>
          <w:ilvl w:val="0"/>
          <w:numId w:val="3"/>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 xml:space="preserve">Así, el plazo de los quince días hábiles para interponer el recurso de revisión transcurrió del día 15 quince de febrero al 07 siete de marzo de 2018 dos mil dieciocho. </w:t>
      </w:r>
    </w:p>
    <w:p w:rsidR="00187E4E" w:rsidRPr="00BA1B0E" w:rsidRDefault="00187E4E" w:rsidP="005616F4">
      <w:pPr>
        <w:pStyle w:val="corte4fondo"/>
        <w:numPr>
          <w:ilvl w:val="0"/>
          <w:numId w:val="3"/>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Se deben de descontar de dicho cómputo por ser inhábiles los días 17 diecisiete, 18 dieciocho, 24 veinticuatro, 25 veinticinco de febrero y 03 tres y 04 cuatro de marzo.</w:t>
      </w:r>
    </w:p>
    <w:p w:rsidR="00187E4E" w:rsidRPr="00BA1B0E" w:rsidRDefault="00187E4E" w:rsidP="005616F4">
      <w:pPr>
        <w:pStyle w:val="corte4fondo"/>
        <w:numPr>
          <w:ilvl w:val="0"/>
          <w:numId w:val="3"/>
        </w:numPr>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 xml:space="preserve">Consecuentemente si el </w:t>
      </w:r>
      <w:r w:rsidR="00C63B53" w:rsidRPr="00BA1B0E">
        <w:rPr>
          <w:rFonts w:cs="Arial"/>
          <w:color w:val="2E74B5" w:themeColor="accent1" w:themeShade="BF"/>
          <w:sz w:val="24"/>
          <w:szCs w:val="24"/>
          <w:lang w:val="es-MX"/>
        </w:rPr>
        <w:t xml:space="preserve">19 diecinueve </w:t>
      </w:r>
      <w:r w:rsidRPr="00BA1B0E">
        <w:rPr>
          <w:rFonts w:cs="Arial"/>
          <w:color w:val="2E74B5" w:themeColor="accent1" w:themeShade="BF"/>
          <w:sz w:val="24"/>
          <w:szCs w:val="24"/>
          <w:lang w:val="es-MX"/>
        </w:rPr>
        <w:t xml:space="preserve">de febrero de este año el recurrente interpuso el citado medio de impugnación ante esta Comisión de Transparencia, resulta claro que es oportuna su presentación.   </w:t>
      </w:r>
    </w:p>
    <w:p w:rsidR="00187E4E" w:rsidRPr="00BA1B0E" w:rsidRDefault="00187E4E" w:rsidP="005616F4">
      <w:pPr>
        <w:pStyle w:val="corte4fondo"/>
        <w:spacing w:line="276" w:lineRule="auto"/>
        <w:ind w:left="1429" w:firstLine="0"/>
        <w:rPr>
          <w:rFonts w:cs="Arial"/>
          <w:color w:val="2E74B5" w:themeColor="accent1" w:themeShade="BF"/>
          <w:sz w:val="24"/>
          <w:szCs w:val="24"/>
          <w:lang w:val="es-MX"/>
        </w:rPr>
      </w:pPr>
    </w:p>
    <w:p w:rsidR="00F132D0" w:rsidRPr="00BA1B0E" w:rsidRDefault="00187E4E" w:rsidP="005616F4">
      <w:pPr>
        <w:pStyle w:val="corte4fondo"/>
        <w:spacing w:line="276" w:lineRule="auto"/>
        <w:ind w:firstLine="0"/>
        <w:rPr>
          <w:rFonts w:cs="Arial"/>
          <w:color w:val="2E74B5" w:themeColor="accent1" w:themeShade="BF"/>
          <w:sz w:val="24"/>
          <w:szCs w:val="24"/>
          <w:lang w:val="es-MX"/>
        </w:rPr>
      </w:pPr>
      <w:r w:rsidRPr="00BA1B0E">
        <w:rPr>
          <w:rFonts w:cs="Arial"/>
          <w:color w:val="2E74B5" w:themeColor="accent1" w:themeShade="BF"/>
          <w:sz w:val="24"/>
          <w:szCs w:val="24"/>
          <w:lang w:val="es-MX"/>
        </w:rPr>
        <w:tab/>
      </w:r>
      <w:r w:rsidRPr="00BA1B0E">
        <w:rPr>
          <w:rFonts w:cs="Arial"/>
          <w:b/>
          <w:color w:val="2E74B5" w:themeColor="accent1" w:themeShade="BF"/>
          <w:sz w:val="24"/>
          <w:szCs w:val="24"/>
          <w:lang w:val="es-MX"/>
        </w:rPr>
        <w:t>QUINTO. Certeza del acto reclamado</w:t>
      </w:r>
      <w:r w:rsidRPr="00BA1B0E">
        <w:rPr>
          <w:rFonts w:cs="Arial"/>
          <w:color w:val="2E74B5" w:themeColor="accent1" w:themeShade="BF"/>
          <w:sz w:val="24"/>
          <w:szCs w:val="24"/>
          <w:lang w:val="es-MX"/>
        </w:rPr>
        <w:t>. Es cierto lo que se les reclama a los sujetos obligados,</w:t>
      </w:r>
      <w:r w:rsidR="00F132D0" w:rsidRPr="00BA1B0E">
        <w:rPr>
          <w:rFonts w:cs="Arial"/>
          <w:color w:val="2E74B5" w:themeColor="accent1" w:themeShade="BF"/>
          <w:sz w:val="24"/>
          <w:szCs w:val="24"/>
          <w:lang w:val="es-MX"/>
        </w:rPr>
        <w:t xml:space="preserve"> en virtud de que la solicitud de acceso a la información pública fue dirigida al Patronato de la Feria Nacional Potosina de que se trata como sujeto obligado de acuerdo al registro de la Plataforma Nacional de Transparencia.</w:t>
      </w:r>
    </w:p>
    <w:p w:rsidR="00187E4E" w:rsidRPr="00BA1B0E" w:rsidRDefault="00187E4E" w:rsidP="005616F4">
      <w:pPr>
        <w:pStyle w:val="corte4fondo"/>
        <w:spacing w:line="276" w:lineRule="auto"/>
        <w:ind w:firstLine="0"/>
        <w:rPr>
          <w:rFonts w:cs="Arial"/>
          <w:color w:val="2E74B5" w:themeColor="accent1" w:themeShade="BF"/>
          <w:sz w:val="24"/>
          <w:szCs w:val="24"/>
          <w:lang w:val="es-MX"/>
        </w:rPr>
      </w:pPr>
    </w:p>
    <w:p w:rsidR="005C2B61" w:rsidRPr="00BA1B0E" w:rsidRDefault="00187E4E" w:rsidP="005616F4">
      <w:pPr>
        <w:pStyle w:val="NormalWeb"/>
        <w:tabs>
          <w:tab w:val="left" w:pos="0"/>
        </w:tabs>
        <w:spacing w:before="0" w:beforeAutospacing="0" w:after="0" w:afterAutospacing="0" w:line="276" w:lineRule="auto"/>
        <w:jc w:val="both"/>
        <w:rPr>
          <w:rFonts w:ascii="Arial" w:hAnsi="Arial" w:cs="Arial"/>
          <w:color w:val="2E74B5" w:themeColor="accent1" w:themeShade="BF"/>
          <w:lang w:val="es-MX"/>
        </w:rPr>
      </w:pPr>
      <w:r w:rsidRPr="00BA1B0E">
        <w:rPr>
          <w:rFonts w:ascii="Arial" w:hAnsi="Arial" w:cs="Arial"/>
          <w:color w:val="2E74B5" w:themeColor="accent1" w:themeShade="BF"/>
          <w:lang w:val="es-MX"/>
        </w:rPr>
        <w:tab/>
      </w:r>
      <w:r w:rsidRPr="00BA1B0E">
        <w:rPr>
          <w:rFonts w:ascii="Arial" w:hAnsi="Arial" w:cs="Arial"/>
          <w:b/>
          <w:color w:val="2E74B5" w:themeColor="accent1" w:themeShade="BF"/>
          <w:lang w:val="es-MX"/>
        </w:rPr>
        <w:t>SEXTO</w:t>
      </w:r>
      <w:r w:rsidRPr="00BA1B0E">
        <w:rPr>
          <w:rFonts w:ascii="Arial" w:hAnsi="Arial" w:cs="Arial"/>
          <w:color w:val="2E74B5" w:themeColor="accent1" w:themeShade="BF"/>
          <w:lang w:val="es-MX"/>
        </w:rPr>
        <w:t xml:space="preserve">. </w:t>
      </w:r>
      <w:r w:rsidRPr="00BA1B0E">
        <w:rPr>
          <w:rFonts w:ascii="Arial" w:hAnsi="Arial" w:cs="Arial"/>
          <w:b/>
          <w:color w:val="2E74B5" w:themeColor="accent1" w:themeShade="BF"/>
          <w:lang w:val="es-MX"/>
        </w:rPr>
        <w:t xml:space="preserve">Causales de improcedencia. </w:t>
      </w:r>
      <w:r w:rsidR="005C2B61" w:rsidRPr="00BA1B0E">
        <w:rPr>
          <w:rFonts w:ascii="Arial" w:hAnsi="Arial" w:cs="Arial"/>
          <w:color w:val="2E74B5" w:themeColor="accent1" w:themeShade="BF"/>
          <w:lang w:val="es-MX"/>
        </w:rPr>
        <w:t xml:space="preserve">Las causales de improcedencia previstas en el artículo 179 de la Ley de Transparencia son de estudio oficioso y preferente a cualquier otra cuestión planteada. </w:t>
      </w:r>
    </w:p>
    <w:p w:rsidR="005C2B61" w:rsidRPr="00BA1B0E" w:rsidRDefault="005C2B61" w:rsidP="005616F4">
      <w:pPr>
        <w:pStyle w:val="NormalWeb"/>
        <w:tabs>
          <w:tab w:val="left" w:pos="0"/>
        </w:tabs>
        <w:spacing w:before="0" w:beforeAutospacing="0" w:after="0" w:afterAutospacing="0" w:line="276" w:lineRule="auto"/>
        <w:jc w:val="both"/>
        <w:rPr>
          <w:rFonts w:ascii="Arial" w:hAnsi="Arial" w:cs="Arial"/>
          <w:color w:val="2E74B5" w:themeColor="accent1" w:themeShade="BF"/>
          <w:lang w:val="es-MX"/>
        </w:rPr>
      </w:pPr>
    </w:p>
    <w:p w:rsidR="005C2B61" w:rsidRPr="00BA1B0E" w:rsidRDefault="005C2B61" w:rsidP="005616F4">
      <w:pPr>
        <w:pStyle w:val="corte4fondo"/>
        <w:spacing w:line="276" w:lineRule="auto"/>
        <w:ind w:firstLine="708"/>
        <w:rPr>
          <w:rFonts w:cs="Arial"/>
          <w:color w:val="2E74B5" w:themeColor="accent1" w:themeShade="BF"/>
          <w:sz w:val="24"/>
          <w:szCs w:val="24"/>
          <w:lang w:val="es-MX"/>
        </w:rPr>
      </w:pPr>
      <w:r w:rsidRPr="00BA1B0E">
        <w:rPr>
          <w:rFonts w:cs="Arial"/>
          <w:color w:val="2E74B5" w:themeColor="accent1" w:themeShade="BF"/>
          <w:sz w:val="24"/>
          <w:szCs w:val="24"/>
          <w:lang w:val="es-MX"/>
        </w:rPr>
        <w:t xml:space="preserve">En el caso el </w:t>
      </w:r>
      <w:r w:rsidRPr="00BA1B0E">
        <w:rPr>
          <w:rFonts w:cs="Arial"/>
          <w:b/>
          <w:color w:val="2E74B5" w:themeColor="accent1" w:themeShade="BF"/>
          <w:sz w:val="24"/>
          <w:szCs w:val="24"/>
          <w:lang w:val="es-MX"/>
        </w:rPr>
        <w:t>Jefe de la Unidad de Transparencia del Patronato para la Organización, Difusión y Administración de la Feria Nacional Potosina</w:t>
      </w:r>
      <w:r w:rsidRPr="00BA1B0E">
        <w:rPr>
          <w:rFonts w:cs="Arial"/>
          <w:color w:val="2E74B5" w:themeColor="accent1" w:themeShade="BF"/>
          <w:sz w:val="24"/>
          <w:szCs w:val="24"/>
          <w:lang w:val="es-MX"/>
        </w:rPr>
        <w:t xml:space="preserve"> en su informe, alegó como causa de improcedencia la prevista en la fracción III del artículo 180 de la Ley de Transparencia y acceso a la Información Pública. </w:t>
      </w:r>
    </w:p>
    <w:p w:rsidR="005C2B61" w:rsidRPr="00BA1B0E" w:rsidRDefault="005C2B61" w:rsidP="005616F4">
      <w:pPr>
        <w:pStyle w:val="corte4fondo"/>
        <w:spacing w:line="276" w:lineRule="auto"/>
        <w:ind w:firstLine="708"/>
        <w:rPr>
          <w:rFonts w:cs="Arial"/>
          <w:color w:val="2E74B5" w:themeColor="accent1" w:themeShade="BF"/>
          <w:sz w:val="24"/>
          <w:szCs w:val="24"/>
          <w:lang w:val="es-MX"/>
        </w:rPr>
      </w:pPr>
    </w:p>
    <w:p w:rsidR="005C2B61" w:rsidRPr="00BA1B0E" w:rsidRDefault="005C2B61" w:rsidP="005616F4">
      <w:pPr>
        <w:pStyle w:val="corte4fondo"/>
        <w:spacing w:line="276" w:lineRule="auto"/>
        <w:ind w:firstLine="708"/>
        <w:rPr>
          <w:rFonts w:cs="Arial"/>
          <w:color w:val="2E74B5" w:themeColor="accent1" w:themeShade="BF"/>
          <w:sz w:val="24"/>
          <w:szCs w:val="24"/>
          <w:lang w:val="es-MX"/>
        </w:rPr>
      </w:pPr>
      <w:r w:rsidRPr="00BA1B0E">
        <w:rPr>
          <w:rFonts w:cs="Arial"/>
          <w:color w:val="2E74B5" w:themeColor="accent1" w:themeShade="BF"/>
          <w:sz w:val="24"/>
          <w:szCs w:val="24"/>
          <w:lang w:val="es-MX"/>
        </w:rPr>
        <w:t>Ahora dicho artículo establece lo siguiente:</w:t>
      </w:r>
    </w:p>
    <w:p w:rsidR="005C2B61" w:rsidRPr="00BA1B0E" w:rsidRDefault="005C2B61" w:rsidP="005616F4">
      <w:pPr>
        <w:pStyle w:val="corte4fondo"/>
        <w:spacing w:line="276" w:lineRule="auto"/>
        <w:ind w:firstLine="708"/>
        <w:rPr>
          <w:rFonts w:cs="Arial"/>
          <w:color w:val="2E74B5" w:themeColor="accent1" w:themeShade="BF"/>
          <w:sz w:val="24"/>
          <w:szCs w:val="24"/>
          <w:lang w:val="es-MX"/>
        </w:rPr>
      </w:pPr>
    </w:p>
    <w:p w:rsidR="005C2B61" w:rsidRPr="00BA1B0E" w:rsidRDefault="005C2B61" w:rsidP="005616F4">
      <w:pPr>
        <w:pStyle w:val="corte4fondo"/>
        <w:spacing w:line="276" w:lineRule="auto"/>
        <w:ind w:firstLine="708"/>
        <w:rPr>
          <w:rFonts w:cs="Arial"/>
          <w:i/>
          <w:color w:val="2E74B5" w:themeColor="accent1" w:themeShade="BF"/>
          <w:sz w:val="20"/>
          <w:lang w:val="es-MX"/>
        </w:rPr>
      </w:pPr>
      <w:r w:rsidRPr="00BA1B0E">
        <w:rPr>
          <w:rFonts w:cs="Arial"/>
          <w:b/>
          <w:i/>
          <w:color w:val="2E74B5" w:themeColor="accent1" w:themeShade="BF"/>
          <w:sz w:val="20"/>
          <w:lang w:val="es-MX"/>
        </w:rPr>
        <w:t>ARTÍCULO 180</w:t>
      </w:r>
      <w:r w:rsidRPr="00BA1B0E">
        <w:rPr>
          <w:rFonts w:cs="Arial"/>
          <w:i/>
          <w:color w:val="2E74B5" w:themeColor="accent1" w:themeShade="BF"/>
          <w:sz w:val="20"/>
          <w:lang w:val="es-MX"/>
        </w:rPr>
        <w:t xml:space="preserve">. El recurso será sobreseído, en todo o en parte, cuando, una vez admitido, se actualicen alguno de los siguientes supuestos: </w:t>
      </w:r>
    </w:p>
    <w:p w:rsidR="005C2B61" w:rsidRPr="00BA1B0E" w:rsidRDefault="005C2B61" w:rsidP="005616F4">
      <w:pPr>
        <w:pStyle w:val="corte4fondo"/>
        <w:spacing w:line="276" w:lineRule="auto"/>
        <w:ind w:firstLine="708"/>
        <w:rPr>
          <w:rFonts w:cs="Arial"/>
          <w:i/>
          <w:color w:val="2E74B5" w:themeColor="accent1" w:themeShade="BF"/>
          <w:sz w:val="20"/>
          <w:lang w:val="es-MX"/>
        </w:rPr>
      </w:pPr>
      <w:r w:rsidRPr="00BA1B0E">
        <w:rPr>
          <w:rFonts w:cs="Arial"/>
          <w:i/>
          <w:color w:val="2E74B5" w:themeColor="accent1" w:themeShade="BF"/>
          <w:sz w:val="20"/>
          <w:lang w:val="es-MX"/>
        </w:rPr>
        <w:lastRenderedPageBreak/>
        <w:t xml:space="preserve"> […]</w:t>
      </w:r>
    </w:p>
    <w:p w:rsidR="005C2B61" w:rsidRPr="00BA1B0E" w:rsidRDefault="005C2B61" w:rsidP="005616F4">
      <w:pPr>
        <w:pStyle w:val="corte4fondo"/>
        <w:spacing w:line="276" w:lineRule="auto"/>
        <w:ind w:firstLine="708"/>
        <w:rPr>
          <w:rFonts w:cs="Arial"/>
          <w:i/>
          <w:color w:val="2E74B5" w:themeColor="accent1" w:themeShade="BF"/>
          <w:sz w:val="20"/>
          <w:lang w:val="es-MX"/>
        </w:rPr>
      </w:pPr>
      <w:r w:rsidRPr="00BA1B0E">
        <w:rPr>
          <w:rFonts w:cs="Arial"/>
          <w:b/>
          <w:i/>
          <w:color w:val="2E74B5" w:themeColor="accent1" w:themeShade="BF"/>
          <w:sz w:val="20"/>
          <w:lang w:val="es-MX"/>
        </w:rPr>
        <w:t>III.</w:t>
      </w:r>
      <w:r w:rsidRPr="00BA1B0E">
        <w:rPr>
          <w:rFonts w:cs="Arial"/>
          <w:i/>
          <w:color w:val="2E74B5" w:themeColor="accent1" w:themeShade="BF"/>
          <w:sz w:val="20"/>
          <w:lang w:val="es-MX"/>
        </w:rPr>
        <w:t xml:space="preserve"> El sujeto obligado responsable del acto lo modifique o revoque de tal manera que el recurso de revisión quede sin materia, o</w:t>
      </w:r>
    </w:p>
    <w:p w:rsidR="005C2B61" w:rsidRPr="00BA1B0E" w:rsidRDefault="005C2B61" w:rsidP="005616F4">
      <w:pPr>
        <w:pStyle w:val="corte4fondo"/>
        <w:spacing w:line="276" w:lineRule="auto"/>
        <w:ind w:firstLine="0"/>
        <w:rPr>
          <w:rFonts w:cs="Arial"/>
          <w:color w:val="2E74B5" w:themeColor="accent1" w:themeShade="BF"/>
          <w:sz w:val="24"/>
          <w:szCs w:val="24"/>
          <w:lang w:val="es-MX"/>
        </w:rPr>
      </w:pPr>
    </w:p>
    <w:p w:rsidR="0059062F" w:rsidRPr="00BA1B0E" w:rsidRDefault="0059062F" w:rsidP="000A68AE">
      <w:pPr>
        <w:pStyle w:val="corte4fondo"/>
        <w:spacing w:line="276" w:lineRule="auto"/>
        <w:ind w:firstLine="708"/>
        <w:rPr>
          <w:rFonts w:cs="Arial"/>
          <w:color w:val="2E74B5" w:themeColor="accent1" w:themeShade="BF"/>
          <w:sz w:val="24"/>
          <w:szCs w:val="24"/>
          <w:lang w:val="es-MX"/>
        </w:rPr>
      </w:pPr>
      <w:r w:rsidRPr="00BA1B0E">
        <w:rPr>
          <w:rFonts w:cs="Arial"/>
          <w:color w:val="2E74B5" w:themeColor="accent1" w:themeShade="BF"/>
          <w:sz w:val="24"/>
          <w:szCs w:val="24"/>
          <w:lang w:val="es-MX"/>
        </w:rPr>
        <w:t>Así, de lo expuesto está claro que el recurso será sobreseído cuando, una vez admitido éste, el sujeto obligado como responsable de lo que se le reclama, modifica su acto de tal manera de que se llegue al extremo de que el presente recuso quede sin materia y, ello se logra, en el presente asunto a través de que la autoridad entregue la respuesta, la información o bien, otra circunstancia en la que permita el sobreseimiento y, además lo anterior sea notificado al solicitante de la información.</w:t>
      </w:r>
    </w:p>
    <w:p w:rsidR="0059062F" w:rsidRPr="00BA1B0E" w:rsidRDefault="0059062F" w:rsidP="005616F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59062F" w:rsidRPr="00BA1B0E" w:rsidRDefault="0059062F" w:rsidP="005616F4">
      <w:pPr>
        <w:pStyle w:val="corte4fondo"/>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Así, este órgano colegiado debe de tener la certeza jurídica de que la respuesta a la solicitud de acceso a la información pública efectivamente sea la correcta y se proporcione la totalidad de la misma.</w:t>
      </w:r>
    </w:p>
    <w:p w:rsidR="0059062F" w:rsidRPr="00BA1B0E" w:rsidRDefault="0059062F" w:rsidP="005616F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59062F" w:rsidRPr="00BA1B0E" w:rsidRDefault="0059062F" w:rsidP="005616F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BA1B0E">
        <w:rPr>
          <w:rFonts w:ascii="Arial" w:eastAsia="Arial Unicode MS" w:hAnsi="Arial" w:cs="Arial"/>
          <w:color w:val="2E74B5" w:themeColor="accent1" w:themeShade="BF"/>
        </w:rPr>
        <w:tab/>
        <w:t>En el caso, el solicit</w:t>
      </w:r>
      <w:r w:rsidR="009A4362" w:rsidRPr="00BA1B0E">
        <w:rPr>
          <w:rFonts w:ascii="Arial" w:eastAsia="Arial Unicode MS" w:hAnsi="Arial" w:cs="Arial"/>
          <w:color w:val="2E74B5" w:themeColor="accent1" w:themeShade="BF"/>
        </w:rPr>
        <w:t>ante pidió la información sobre:</w:t>
      </w:r>
    </w:p>
    <w:p w:rsidR="009A4362" w:rsidRPr="00BA1B0E" w:rsidRDefault="009A4362" w:rsidP="005616F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9A4362" w:rsidRPr="00BA1B0E" w:rsidRDefault="009A4362" w:rsidP="005616F4">
      <w:pPr>
        <w:spacing w:after="0" w:line="276" w:lineRule="auto"/>
        <w:ind w:left="709"/>
        <w:jc w:val="both"/>
        <w:rPr>
          <w:rFonts w:ascii="Arial" w:hAnsi="Arial" w:cs="Arial"/>
          <w:i/>
          <w:color w:val="2E74B5" w:themeColor="accent1" w:themeShade="BF"/>
          <w:sz w:val="20"/>
          <w:szCs w:val="20"/>
        </w:rPr>
      </w:pPr>
      <w:r w:rsidRPr="00BA1B0E">
        <w:rPr>
          <w:rFonts w:ascii="Arial" w:hAnsi="Arial" w:cs="Arial"/>
          <w:i/>
          <w:color w:val="2E74B5" w:themeColor="accent1" w:themeShade="BF"/>
          <w:sz w:val="20"/>
          <w:szCs w:val="20"/>
        </w:rPr>
        <w:t>“…Devoluciones de recursos o reembolsos, los conceptos de los mismos y sus montos que haya recibido el Patronato de la Feria Nacional Potosina del 1 de enero de 2017 al 30 de enero de 2018…”</w:t>
      </w:r>
    </w:p>
    <w:p w:rsidR="0059062F" w:rsidRPr="00BA1B0E" w:rsidRDefault="0059062F" w:rsidP="005616F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highlight w:val="yellow"/>
        </w:rPr>
      </w:pPr>
    </w:p>
    <w:p w:rsidR="0059062F" w:rsidRPr="00BA1B0E" w:rsidRDefault="0059062F" w:rsidP="005616F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BA1B0E">
        <w:rPr>
          <w:rFonts w:ascii="Arial" w:eastAsia="Arial Unicode MS" w:hAnsi="Arial" w:cs="Arial"/>
          <w:color w:val="2E74B5" w:themeColor="accent1" w:themeShade="BF"/>
        </w:rPr>
        <w:tab/>
        <w:t>Ahora, como se dijo está Comisión de Transparencia al revisar la documentación que los sujetos obligados enviaron en su informe, expresaron que se le dio respuesta, en la Plataforma Nacional de Transparencia, así como en el correo que proporcionó el ahora recurrente para oír y recibir notificaciones y que en el mismo se contenía la respuesta a la solicitud de acceso a la información pública número 00045318.</w:t>
      </w:r>
    </w:p>
    <w:p w:rsidR="0059062F" w:rsidRPr="00BA1B0E" w:rsidRDefault="0059062F" w:rsidP="005616F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59062F" w:rsidRPr="00BA1B0E" w:rsidRDefault="0059062F" w:rsidP="005616F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BA1B0E">
        <w:rPr>
          <w:rFonts w:ascii="Arial" w:eastAsia="Arial Unicode MS" w:hAnsi="Arial" w:cs="Arial"/>
          <w:color w:val="2E74B5" w:themeColor="accent1" w:themeShade="BF"/>
        </w:rPr>
        <w:tab/>
        <w:t xml:space="preserve">Como se observó, la información que supuestamente puso a disposición en el portal de transparencia, </w:t>
      </w:r>
      <w:r w:rsidR="00CE7A59" w:rsidRPr="00BA1B0E">
        <w:rPr>
          <w:rFonts w:ascii="Arial" w:hAnsi="Arial" w:cs="Arial"/>
          <w:color w:val="2E74B5" w:themeColor="accent1" w:themeShade="BF"/>
          <w:lang w:val="es-MX"/>
        </w:rPr>
        <w:t xml:space="preserve">es decir, </w:t>
      </w:r>
      <w:r w:rsidRPr="00BA1B0E">
        <w:rPr>
          <w:rFonts w:ascii="Arial" w:hAnsi="Arial" w:cs="Arial"/>
          <w:color w:val="2E74B5" w:themeColor="accent1" w:themeShade="BF"/>
          <w:lang w:val="es-MX"/>
        </w:rPr>
        <w:t>la respuesta proporcionada por ese Patronato de la Feria Nacional Potosina</w:t>
      </w:r>
      <w:r w:rsidR="00CE7A59" w:rsidRPr="00BA1B0E">
        <w:rPr>
          <w:rFonts w:ascii="Arial" w:hAnsi="Arial" w:cs="Arial"/>
          <w:color w:val="2E74B5" w:themeColor="accent1" w:themeShade="BF"/>
          <w:lang w:val="es-MX"/>
        </w:rPr>
        <w:t xml:space="preserve"> no fue fundada y motivada de manera suficiente, toda vez que no citó disposición normativa en lo referente a sus facultades que rigen su actuar y tampoco explicó alguna razón para no poseer la </w:t>
      </w:r>
      <w:r w:rsidR="00E00D0A" w:rsidRPr="00BA1B0E">
        <w:rPr>
          <w:rFonts w:ascii="Arial" w:hAnsi="Arial" w:cs="Arial"/>
          <w:color w:val="2E74B5" w:themeColor="accent1" w:themeShade="BF"/>
          <w:lang w:val="es-MX"/>
        </w:rPr>
        <w:t>información</w:t>
      </w:r>
      <w:r w:rsidRPr="00BA1B0E">
        <w:rPr>
          <w:rFonts w:ascii="Arial" w:hAnsi="Arial" w:cs="Arial"/>
          <w:color w:val="2E74B5" w:themeColor="accent1" w:themeShade="BF"/>
          <w:lang w:val="es-MX"/>
        </w:rPr>
        <w:t xml:space="preserve">. </w:t>
      </w:r>
    </w:p>
    <w:p w:rsidR="0059062F" w:rsidRPr="00BA1B0E" w:rsidRDefault="0059062F" w:rsidP="005616F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59062F" w:rsidRPr="00BA1B0E" w:rsidRDefault="0059062F" w:rsidP="005616F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lang w:val="es-MX"/>
        </w:rPr>
      </w:pPr>
      <w:r w:rsidRPr="00BA1B0E">
        <w:rPr>
          <w:rFonts w:ascii="Arial" w:eastAsia="Arial Unicode MS" w:hAnsi="Arial" w:cs="Arial"/>
          <w:color w:val="2E74B5" w:themeColor="accent1" w:themeShade="BF"/>
        </w:rPr>
        <w:tab/>
        <w:t>Así</w:t>
      </w:r>
      <w:r w:rsidRPr="00BA1B0E">
        <w:rPr>
          <w:rFonts w:ascii="Arial" w:eastAsia="Arial Unicode MS" w:hAnsi="Arial" w:cs="Arial"/>
          <w:color w:val="2E74B5" w:themeColor="accent1" w:themeShade="BF"/>
          <w:lang w:val="es-MX"/>
        </w:rPr>
        <w:t xml:space="preserve"> como se ve</w:t>
      </w:r>
      <w:r w:rsidRPr="00BA1B0E">
        <w:rPr>
          <w:rFonts w:ascii="Arial" w:eastAsia="Arial Unicode MS" w:hAnsi="Arial" w:cs="Arial"/>
          <w:color w:val="2E74B5" w:themeColor="accent1" w:themeShade="BF"/>
        </w:rPr>
        <w:t>, en un acto posterior hay una respuesta entendida desde el punto de vista de una contestación a la solicitud de acceso a la información pública</w:t>
      </w:r>
      <w:r w:rsidRPr="00BA1B0E">
        <w:rPr>
          <w:rStyle w:val="Refdenotaalpie"/>
          <w:rFonts w:ascii="Arial" w:eastAsia="Arial Unicode MS" w:hAnsi="Arial" w:cs="Arial"/>
          <w:color w:val="2E74B5" w:themeColor="accent1" w:themeShade="BF"/>
        </w:rPr>
        <w:footnoteReference w:id="2"/>
      </w:r>
      <w:r w:rsidRPr="00BA1B0E">
        <w:rPr>
          <w:rFonts w:ascii="Arial" w:eastAsia="Arial Unicode MS" w:hAnsi="Arial" w:cs="Arial"/>
          <w:color w:val="2E74B5" w:themeColor="accent1" w:themeShade="BF"/>
        </w:rPr>
        <w:t>, empero,</w:t>
      </w:r>
      <w:r w:rsidRPr="00BA1B0E">
        <w:rPr>
          <w:rFonts w:ascii="Arial" w:eastAsia="Arial Unicode MS" w:hAnsi="Arial" w:cs="Arial"/>
          <w:color w:val="2E74B5" w:themeColor="accent1" w:themeShade="BF"/>
          <w:lang w:val="es-MX"/>
        </w:rPr>
        <w:t xml:space="preserve"> como se dijo en</w:t>
      </w:r>
      <w:r w:rsidRPr="00BA1B0E">
        <w:rPr>
          <w:rFonts w:ascii="Arial" w:eastAsia="Arial Unicode MS" w:hAnsi="Arial" w:cs="Arial"/>
          <w:color w:val="2E74B5" w:themeColor="accent1" w:themeShade="BF"/>
        </w:rPr>
        <w:t xml:space="preserve"> la referida respuesta </w:t>
      </w:r>
      <w:r w:rsidRPr="00BA1B0E">
        <w:rPr>
          <w:rFonts w:ascii="Arial" w:eastAsia="Arial Unicode MS" w:hAnsi="Arial" w:cs="Arial"/>
          <w:color w:val="2E74B5" w:themeColor="accent1" w:themeShade="BF"/>
          <w:lang w:val="es-MX"/>
        </w:rPr>
        <w:t xml:space="preserve">no se proporcionó la información solicitada </w:t>
      </w:r>
      <w:r w:rsidRPr="00BA1B0E">
        <w:rPr>
          <w:rFonts w:ascii="Arial" w:eastAsia="Arial Unicode MS" w:hAnsi="Arial" w:cs="Arial"/>
          <w:color w:val="2E74B5" w:themeColor="accent1" w:themeShade="BF"/>
        </w:rPr>
        <w:t>pues de la simple confronta entre la solicitud de acceso a la información pública y la respuesta, la misma no otorga certeza el ahora recurrente en cuanto a lo que le solicitó a la autoridad</w:t>
      </w:r>
      <w:r w:rsidRPr="00BA1B0E">
        <w:rPr>
          <w:rFonts w:ascii="Arial" w:eastAsia="Arial Unicode MS" w:hAnsi="Arial" w:cs="Arial"/>
          <w:color w:val="2E74B5" w:themeColor="accent1" w:themeShade="BF"/>
          <w:lang w:val="es-MX"/>
        </w:rPr>
        <w:t>.</w:t>
      </w:r>
    </w:p>
    <w:p w:rsidR="0059062F" w:rsidRPr="00BA1B0E" w:rsidRDefault="0059062F" w:rsidP="005616F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lang w:val="es-MX"/>
        </w:rPr>
      </w:pPr>
    </w:p>
    <w:p w:rsidR="0059062F" w:rsidRPr="00BA1B0E" w:rsidRDefault="0059062F" w:rsidP="005616F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lang w:val="es-MX"/>
        </w:rPr>
      </w:pPr>
      <w:r w:rsidRPr="00BA1B0E">
        <w:rPr>
          <w:rFonts w:ascii="Arial" w:eastAsia="Arial Unicode MS" w:hAnsi="Arial" w:cs="Arial"/>
          <w:color w:val="2E74B5" w:themeColor="accent1" w:themeShade="BF"/>
          <w:lang w:val="es-MX"/>
        </w:rPr>
        <w:tab/>
        <w:t>Es por ello que no procede el sobreseimiento alegado por la autoridad en su informe.</w:t>
      </w:r>
    </w:p>
    <w:p w:rsidR="00187E4E" w:rsidRPr="00BA1B0E" w:rsidRDefault="00187E4E" w:rsidP="005616F4">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BA1B0E">
        <w:rPr>
          <w:rFonts w:ascii="Arial" w:hAnsi="Arial" w:cs="Arial"/>
          <w:color w:val="2E74B5" w:themeColor="accent1" w:themeShade="BF"/>
          <w:lang w:val="es-MX"/>
        </w:rPr>
        <w:tab/>
      </w:r>
    </w:p>
    <w:p w:rsidR="00187E4E" w:rsidRPr="00BA1B0E" w:rsidRDefault="00187E4E" w:rsidP="005616F4">
      <w:pPr>
        <w:pStyle w:val="corte4fondo"/>
        <w:spacing w:line="276" w:lineRule="auto"/>
        <w:ind w:firstLine="0"/>
        <w:rPr>
          <w:rFonts w:cs="Arial"/>
          <w:color w:val="2E74B5" w:themeColor="accent1" w:themeShade="BF"/>
          <w:sz w:val="24"/>
          <w:szCs w:val="24"/>
          <w:lang w:val="es-MX"/>
        </w:rPr>
      </w:pPr>
      <w:r w:rsidRPr="00BA1B0E">
        <w:rPr>
          <w:rFonts w:cs="Arial"/>
          <w:b/>
          <w:color w:val="2E74B5" w:themeColor="accent1" w:themeShade="BF"/>
          <w:sz w:val="24"/>
          <w:szCs w:val="24"/>
          <w:lang w:val="es-MX"/>
        </w:rPr>
        <w:tab/>
        <w:t>SÉPTIMO. Estudio de los agravios</w:t>
      </w:r>
      <w:r w:rsidRPr="00BA1B0E">
        <w:rPr>
          <w:rFonts w:cs="Arial"/>
          <w:color w:val="2E74B5" w:themeColor="accent1" w:themeShade="BF"/>
          <w:sz w:val="24"/>
          <w:szCs w:val="24"/>
          <w:lang w:val="es-MX"/>
        </w:rPr>
        <w:t xml:space="preserve">.  </w:t>
      </w:r>
    </w:p>
    <w:p w:rsidR="00187E4E" w:rsidRPr="00BA1B0E" w:rsidRDefault="00187E4E" w:rsidP="005616F4">
      <w:pPr>
        <w:pStyle w:val="corte4fondo"/>
        <w:spacing w:line="276" w:lineRule="auto"/>
        <w:ind w:firstLine="0"/>
        <w:rPr>
          <w:rFonts w:cs="Arial"/>
          <w:color w:val="2E74B5" w:themeColor="accent1" w:themeShade="BF"/>
          <w:sz w:val="24"/>
          <w:szCs w:val="24"/>
          <w:lang w:val="es-MX"/>
        </w:rPr>
      </w:pPr>
    </w:p>
    <w:p w:rsidR="00187E4E" w:rsidRPr="00BA1B0E" w:rsidRDefault="00187E4E" w:rsidP="005616F4">
      <w:pPr>
        <w:pStyle w:val="corte4fondo"/>
        <w:spacing w:line="276" w:lineRule="auto"/>
        <w:ind w:firstLine="0"/>
        <w:rPr>
          <w:rFonts w:cs="Arial"/>
          <w:color w:val="2E74B5" w:themeColor="accent1" w:themeShade="BF"/>
          <w:sz w:val="24"/>
          <w:szCs w:val="24"/>
          <w:lang w:val="es-MX"/>
        </w:rPr>
      </w:pPr>
      <w:r w:rsidRPr="00BA1B0E">
        <w:rPr>
          <w:rFonts w:cs="Arial"/>
          <w:color w:val="2E74B5" w:themeColor="accent1" w:themeShade="BF"/>
          <w:sz w:val="24"/>
          <w:szCs w:val="24"/>
          <w:lang w:val="es-MX"/>
        </w:rPr>
        <w:lastRenderedPageBreak/>
        <w:tab/>
      </w:r>
      <w:r w:rsidRPr="00BA1B0E">
        <w:rPr>
          <w:rFonts w:cs="Arial"/>
          <w:b/>
          <w:color w:val="2E74B5" w:themeColor="accent1" w:themeShade="BF"/>
          <w:sz w:val="24"/>
          <w:szCs w:val="24"/>
          <w:lang w:val="es-MX"/>
        </w:rPr>
        <w:t>7.1. Agravios de la recurrente</w:t>
      </w:r>
      <w:r w:rsidRPr="00BA1B0E">
        <w:rPr>
          <w:rFonts w:cs="Arial"/>
          <w:color w:val="2E74B5" w:themeColor="accent1" w:themeShade="BF"/>
          <w:sz w:val="24"/>
          <w:szCs w:val="24"/>
          <w:lang w:val="es-MX"/>
        </w:rPr>
        <w:t>.</w:t>
      </w:r>
      <w:r w:rsidRPr="00BA1B0E">
        <w:rPr>
          <w:rFonts w:cs="Arial"/>
          <w:color w:val="2E74B5" w:themeColor="accent1" w:themeShade="BF"/>
          <w:sz w:val="24"/>
          <w:szCs w:val="24"/>
          <w:lang w:val="es-MX"/>
        </w:rPr>
        <w:tab/>
      </w:r>
    </w:p>
    <w:p w:rsidR="00187E4E" w:rsidRPr="00BA1B0E" w:rsidRDefault="00187E4E" w:rsidP="005616F4">
      <w:pPr>
        <w:pStyle w:val="corte4fondo"/>
        <w:spacing w:line="276" w:lineRule="auto"/>
        <w:ind w:firstLine="0"/>
        <w:rPr>
          <w:rFonts w:cs="Arial"/>
          <w:color w:val="2E74B5" w:themeColor="accent1" w:themeShade="BF"/>
          <w:sz w:val="24"/>
          <w:szCs w:val="24"/>
          <w:lang w:val="es-MX"/>
        </w:rPr>
      </w:pPr>
    </w:p>
    <w:p w:rsidR="00187E4E" w:rsidRPr="00BA1B0E" w:rsidRDefault="00187E4E" w:rsidP="005616F4">
      <w:pPr>
        <w:pStyle w:val="corte4fondo"/>
        <w:spacing w:line="276" w:lineRule="auto"/>
        <w:ind w:firstLine="0"/>
        <w:rPr>
          <w:rFonts w:cs="Arial"/>
          <w:color w:val="2E74B5" w:themeColor="accent1" w:themeShade="BF"/>
          <w:sz w:val="24"/>
          <w:szCs w:val="24"/>
          <w:lang w:val="es-MX"/>
        </w:rPr>
      </w:pPr>
      <w:r w:rsidRPr="00BA1B0E">
        <w:rPr>
          <w:rFonts w:cs="Arial"/>
          <w:color w:val="2E74B5" w:themeColor="accent1" w:themeShade="BF"/>
          <w:sz w:val="24"/>
          <w:szCs w:val="24"/>
          <w:lang w:val="es-MX"/>
        </w:rPr>
        <w:tab/>
        <w:t>La</w:t>
      </w:r>
      <w:r w:rsidR="0059062F" w:rsidRPr="00BA1B0E">
        <w:rPr>
          <w:rFonts w:cs="Arial"/>
          <w:color w:val="2E74B5" w:themeColor="accent1" w:themeShade="BF"/>
          <w:sz w:val="24"/>
          <w:szCs w:val="24"/>
          <w:lang w:val="es-MX"/>
        </w:rPr>
        <w:t xml:space="preserve"> recurrente expresó como motivo</w:t>
      </w:r>
      <w:r w:rsidRPr="00BA1B0E">
        <w:rPr>
          <w:rFonts w:cs="Arial"/>
          <w:color w:val="2E74B5" w:themeColor="accent1" w:themeShade="BF"/>
          <w:sz w:val="24"/>
          <w:szCs w:val="24"/>
          <w:lang w:val="es-MX"/>
        </w:rPr>
        <w:t xml:space="preserve"> de inconformidad</w:t>
      </w:r>
      <w:r w:rsidR="00F21918" w:rsidRPr="00BA1B0E">
        <w:rPr>
          <w:rFonts w:cs="Arial"/>
          <w:color w:val="2E74B5" w:themeColor="accent1" w:themeShade="BF"/>
          <w:sz w:val="24"/>
          <w:szCs w:val="24"/>
          <w:lang w:val="es-MX"/>
        </w:rPr>
        <w:t xml:space="preserve"> la falta de respuesta a la solicitud en tiempo</w:t>
      </w:r>
      <w:r w:rsidRPr="00BA1B0E">
        <w:rPr>
          <w:rFonts w:cs="Arial"/>
          <w:color w:val="2E74B5" w:themeColor="accent1" w:themeShade="BF"/>
          <w:sz w:val="24"/>
          <w:szCs w:val="24"/>
          <w:lang w:val="es-MX"/>
        </w:rPr>
        <w:t>.</w:t>
      </w:r>
    </w:p>
    <w:p w:rsidR="00187E4E" w:rsidRPr="00BA1B0E" w:rsidRDefault="00187E4E" w:rsidP="005616F4">
      <w:pPr>
        <w:pStyle w:val="corte4fondo"/>
        <w:spacing w:line="276" w:lineRule="auto"/>
        <w:ind w:firstLine="0"/>
        <w:rPr>
          <w:rFonts w:cs="Arial"/>
          <w:color w:val="2E74B5" w:themeColor="accent1" w:themeShade="BF"/>
          <w:sz w:val="24"/>
          <w:szCs w:val="24"/>
          <w:lang w:val="es-MX"/>
        </w:rPr>
      </w:pPr>
    </w:p>
    <w:p w:rsidR="00F21918" w:rsidRPr="00BA1B0E" w:rsidRDefault="00F21918" w:rsidP="005616F4">
      <w:pPr>
        <w:pStyle w:val="corte4fondo"/>
        <w:spacing w:line="276" w:lineRule="auto"/>
        <w:ind w:firstLine="708"/>
        <w:rPr>
          <w:rFonts w:cs="Arial"/>
          <w:b/>
          <w:color w:val="2E74B5" w:themeColor="accent1" w:themeShade="BF"/>
          <w:sz w:val="24"/>
          <w:szCs w:val="24"/>
          <w:lang w:val="es-MX"/>
        </w:rPr>
      </w:pPr>
      <w:r w:rsidRPr="00BA1B0E">
        <w:rPr>
          <w:rFonts w:cs="Arial"/>
          <w:b/>
          <w:color w:val="2E74B5" w:themeColor="accent1" w:themeShade="BF"/>
          <w:sz w:val="24"/>
          <w:szCs w:val="24"/>
          <w:lang w:val="es-MX"/>
        </w:rPr>
        <w:t>7.</w:t>
      </w:r>
      <w:r w:rsidR="00360D64" w:rsidRPr="00BA1B0E">
        <w:rPr>
          <w:rFonts w:cs="Arial"/>
          <w:b/>
          <w:color w:val="2E74B5" w:themeColor="accent1" w:themeShade="BF"/>
          <w:sz w:val="24"/>
          <w:szCs w:val="24"/>
          <w:lang w:val="es-MX"/>
        </w:rPr>
        <w:t>2</w:t>
      </w:r>
      <w:r w:rsidRPr="00BA1B0E">
        <w:rPr>
          <w:rFonts w:cs="Arial"/>
          <w:b/>
          <w:color w:val="2E74B5" w:themeColor="accent1" w:themeShade="BF"/>
          <w:sz w:val="24"/>
          <w:szCs w:val="24"/>
          <w:lang w:val="es-MX"/>
        </w:rPr>
        <w:t xml:space="preserve"> Agravio fundado.</w:t>
      </w:r>
    </w:p>
    <w:p w:rsidR="00F21918" w:rsidRPr="00BA1B0E" w:rsidRDefault="00F21918" w:rsidP="005616F4">
      <w:pPr>
        <w:pStyle w:val="corte4fondo"/>
        <w:tabs>
          <w:tab w:val="left" w:pos="567"/>
        </w:tabs>
        <w:spacing w:line="276" w:lineRule="auto"/>
        <w:rPr>
          <w:rFonts w:cs="Arial"/>
          <w:color w:val="2E74B5" w:themeColor="accent1" w:themeShade="BF"/>
          <w:sz w:val="24"/>
          <w:szCs w:val="24"/>
          <w:lang w:val="es-MX"/>
        </w:rPr>
      </w:pPr>
    </w:p>
    <w:p w:rsidR="00F21918" w:rsidRPr="00BA1B0E" w:rsidRDefault="00F21918" w:rsidP="005616F4">
      <w:pPr>
        <w:pStyle w:val="corte4fondo"/>
        <w:tabs>
          <w:tab w:val="left" w:pos="567"/>
        </w:tabs>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 xml:space="preserve">Así, es esencialmente fundado el motivo de disenso alegado por la recurrente ya que </w:t>
      </w:r>
      <w:r w:rsidRPr="00BA1B0E">
        <w:rPr>
          <w:rFonts w:cs="Arial"/>
          <w:b/>
          <w:color w:val="2E74B5" w:themeColor="accent1" w:themeShade="BF"/>
          <w:sz w:val="24"/>
          <w:szCs w:val="24"/>
          <w:lang w:val="es-MX"/>
        </w:rPr>
        <w:t>efectivamente hay omisión de la autoridad</w:t>
      </w:r>
      <w:r w:rsidRPr="00BA1B0E">
        <w:rPr>
          <w:rFonts w:cs="Arial"/>
          <w:color w:val="2E74B5" w:themeColor="accent1" w:themeShade="BF"/>
          <w:sz w:val="24"/>
          <w:szCs w:val="24"/>
          <w:lang w:val="es-MX"/>
        </w:rPr>
        <w:t xml:space="preserve"> de dar respuesta a su solicitud de acceso a la información pública </w:t>
      </w:r>
      <w:r w:rsidRPr="00BA1B0E">
        <w:rPr>
          <w:rFonts w:cs="Arial"/>
          <w:b/>
          <w:color w:val="2E74B5" w:themeColor="accent1" w:themeShade="BF"/>
          <w:sz w:val="24"/>
          <w:szCs w:val="24"/>
          <w:lang w:val="es-MX"/>
        </w:rPr>
        <w:t>dentro del plazo de los diez días</w:t>
      </w:r>
      <w:r w:rsidRPr="00BA1B0E">
        <w:rPr>
          <w:rFonts w:cs="Arial"/>
          <w:color w:val="2E74B5" w:themeColor="accent1" w:themeShade="BF"/>
          <w:sz w:val="24"/>
          <w:szCs w:val="24"/>
          <w:lang w:val="es-MX"/>
        </w:rPr>
        <w:t xml:space="preserve"> a que se refiere el artículo 154 de la Ley de Transparencia, como se explica a continuación.</w:t>
      </w:r>
    </w:p>
    <w:p w:rsidR="00F21918" w:rsidRPr="00BA1B0E" w:rsidRDefault="00F21918" w:rsidP="005616F4">
      <w:pPr>
        <w:pStyle w:val="corte4fondo"/>
        <w:tabs>
          <w:tab w:val="left" w:pos="567"/>
        </w:tabs>
        <w:spacing w:line="276" w:lineRule="auto"/>
        <w:rPr>
          <w:rFonts w:cs="Arial"/>
          <w:color w:val="2E74B5" w:themeColor="accent1" w:themeShade="BF"/>
          <w:sz w:val="24"/>
          <w:szCs w:val="24"/>
          <w:lang w:val="es-MX"/>
        </w:rPr>
      </w:pPr>
    </w:p>
    <w:p w:rsidR="00F21918" w:rsidRPr="00BA1B0E" w:rsidRDefault="00F21918" w:rsidP="005616F4">
      <w:pPr>
        <w:pStyle w:val="corte4fondo"/>
        <w:numPr>
          <w:ilvl w:val="0"/>
          <w:numId w:val="8"/>
        </w:numPr>
        <w:tabs>
          <w:tab w:val="left" w:pos="567"/>
        </w:tabs>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El 30 treinta de enero de 2018 dos mil dieciocho el solicitante de la información presentó su solicitud de acceso a la información pública ante el sujeto obligado.</w:t>
      </w:r>
    </w:p>
    <w:p w:rsidR="00F21918" w:rsidRPr="00BA1B0E" w:rsidRDefault="00F21918" w:rsidP="005616F4">
      <w:pPr>
        <w:pStyle w:val="corte4fondo"/>
        <w:tabs>
          <w:tab w:val="left" w:pos="567"/>
        </w:tabs>
        <w:spacing w:line="276" w:lineRule="auto"/>
        <w:ind w:left="1429" w:firstLine="0"/>
        <w:rPr>
          <w:rFonts w:cs="Arial"/>
          <w:color w:val="2E74B5" w:themeColor="accent1" w:themeShade="BF"/>
          <w:sz w:val="24"/>
          <w:szCs w:val="24"/>
          <w:lang w:val="es-MX"/>
        </w:rPr>
      </w:pPr>
    </w:p>
    <w:p w:rsidR="00F21918" w:rsidRPr="00BA1B0E" w:rsidRDefault="00F21918" w:rsidP="005616F4">
      <w:pPr>
        <w:pStyle w:val="corte4fondo"/>
        <w:numPr>
          <w:ilvl w:val="0"/>
          <w:numId w:val="8"/>
        </w:numPr>
        <w:tabs>
          <w:tab w:val="left" w:pos="567"/>
        </w:tabs>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Ahora, el plazo para dar respuesta por parte del sujeto obligado era de diez días, contados a partir del día siguiente hábil de que fue presentada la solicitud de acceso a la información pública de conformidad con los artículos 148 y 154</w:t>
      </w:r>
      <w:r w:rsidRPr="00BA1B0E">
        <w:rPr>
          <w:rStyle w:val="Refdenotaalpie"/>
          <w:rFonts w:cs="Arial"/>
          <w:color w:val="2E74B5" w:themeColor="accent1" w:themeShade="BF"/>
          <w:sz w:val="24"/>
          <w:szCs w:val="24"/>
          <w:lang w:val="es-MX"/>
        </w:rPr>
        <w:footnoteReference w:id="3"/>
      </w:r>
      <w:r w:rsidRPr="00BA1B0E">
        <w:rPr>
          <w:rFonts w:cs="Arial"/>
          <w:color w:val="2E74B5" w:themeColor="accent1" w:themeShade="BF"/>
          <w:sz w:val="24"/>
          <w:szCs w:val="24"/>
          <w:lang w:val="es-MX"/>
        </w:rPr>
        <w:t xml:space="preserve"> de la Ley de Transparencia.</w:t>
      </w:r>
    </w:p>
    <w:p w:rsidR="00F21918" w:rsidRPr="00BA1B0E" w:rsidRDefault="00F21918" w:rsidP="005616F4">
      <w:pPr>
        <w:pStyle w:val="corte4fondo"/>
        <w:tabs>
          <w:tab w:val="left" w:pos="567"/>
        </w:tabs>
        <w:spacing w:line="276" w:lineRule="auto"/>
        <w:ind w:left="1429" w:firstLine="0"/>
        <w:rPr>
          <w:rFonts w:cs="Arial"/>
          <w:color w:val="2E74B5" w:themeColor="accent1" w:themeShade="BF"/>
          <w:sz w:val="24"/>
          <w:szCs w:val="24"/>
          <w:lang w:val="es-MX"/>
        </w:rPr>
      </w:pPr>
    </w:p>
    <w:p w:rsidR="00F21918" w:rsidRPr="00BA1B0E" w:rsidRDefault="00F21918" w:rsidP="005616F4">
      <w:pPr>
        <w:pStyle w:val="corte4fondo"/>
        <w:numPr>
          <w:ilvl w:val="0"/>
          <w:numId w:val="8"/>
        </w:numPr>
        <w:tabs>
          <w:tab w:val="left" w:pos="567"/>
        </w:tabs>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 xml:space="preserve">Por lo tanto, el plazo de los diez días </w:t>
      </w:r>
      <w:r w:rsidRPr="00BA1B0E">
        <w:rPr>
          <w:rFonts w:cs="Arial"/>
          <w:b/>
          <w:color w:val="2E74B5" w:themeColor="accent1" w:themeShade="BF"/>
          <w:sz w:val="24"/>
          <w:szCs w:val="24"/>
          <w:lang w:val="es-MX"/>
        </w:rPr>
        <w:t>comenzó el día</w:t>
      </w:r>
      <w:r w:rsidRPr="00BA1B0E">
        <w:rPr>
          <w:rFonts w:cs="Arial"/>
          <w:color w:val="2E74B5" w:themeColor="accent1" w:themeShade="BF"/>
          <w:sz w:val="24"/>
          <w:szCs w:val="24"/>
          <w:lang w:val="es-MX"/>
        </w:rPr>
        <w:t xml:space="preserve"> </w:t>
      </w:r>
      <w:r w:rsidR="005616F4" w:rsidRPr="00BA1B0E">
        <w:rPr>
          <w:rFonts w:cs="Arial"/>
          <w:color w:val="2E74B5" w:themeColor="accent1" w:themeShade="BF"/>
          <w:sz w:val="24"/>
          <w:szCs w:val="24"/>
          <w:lang w:val="es-MX"/>
        </w:rPr>
        <w:t>31 treinta y uno de</w:t>
      </w:r>
      <w:r w:rsidRPr="00BA1B0E">
        <w:rPr>
          <w:rFonts w:cs="Arial"/>
          <w:color w:val="2E74B5" w:themeColor="accent1" w:themeShade="BF"/>
          <w:sz w:val="24"/>
          <w:szCs w:val="24"/>
          <w:lang w:val="es-MX"/>
        </w:rPr>
        <w:t xml:space="preserve"> </w:t>
      </w:r>
      <w:r w:rsidR="005616F4" w:rsidRPr="00BA1B0E">
        <w:rPr>
          <w:rFonts w:cs="Arial"/>
          <w:color w:val="2E74B5" w:themeColor="accent1" w:themeShade="BF"/>
          <w:sz w:val="24"/>
          <w:szCs w:val="24"/>
          <w:lang w:val="es-MX"/>
        </w:rPr>
        <w:t xml:space="preserve">enero de </w:t>
      </w:r>
      <w:r w:rsidRPr="00BA1B0E">
        <w:rPr>
          <w:rFonts w:cs="Arial"/>
          <w:color w:val="2E74B5" w:themeColor="accent1" w:themeShade="BF"/>
          <w:sz w:val="24"/>
          <w:szCs w:val="24"/>
          <w:lang w:val="es-MX"/>
        </w:rPr>
        <w:t xml:space="preserve">2018 dos mil dieciocho </w:t>
      </w:r>
      <w:r w:rsidRPr="00BA1B0E">
        <w:rPr>
          <w:rFonts w:cs="Arial"/>
          <w:b/>
          <w:color w:val="2E74B5" w:themeColor="accent1" w:themeShade="BF"/>
          <w:sz w:val="24"/>
          <w:szCs w:val="24"/>
          <w:lang w:val="es-MX"/>
        </w:rPr>
        <w:t xml:space="preserve">y venció el día </w:t>
      </w:r>
      <w:r w:rsidR="005616F4" w:rsidRPr="00BA1B0E">
        <w:rPr>
          <w:rFonts w:cs="Arial"/>
          <w:b/>
          <w:color w:val="2E74B5" w:themeColor="accent1" w:themeShade="BF"/>
          <w:sz w:val="24"/>
          <w:szCs w:val="24"/>
          <w:lang w:val="es-MX"/>
        </w:rPr>
        <w:t xml:space="preserve">14 catorce </w:t>
      </w:r>
      <w:r w:rsidRPr="00BA1B0E">
        <w:rPr>
          <w:rFonts w:cs="Arial"/>
          <w:b/>
          <w:color w:val="2E74B5" w:themeColor="accent1" w:themeShade="BF"/>
          <w:sz w:val="24"/>
          <w:szCs w:val="24"/>
          <w:lang w:val="es-MX"/>
        </w:rPr>
        <w:t>del referido mes y año</w:t>
      </w:r>
      <w:r w:rsidRPr="00BA1B0E">
        <w:rPr>
          <w:rFonts w:cs="Arial"/>
          <w:color w:val="2E74B5" w:themeColor="accent1" w:themeShade="BF"/>
          <w:sz w:val="24"/>
          <w:szCs w:val="24"/>
          <w:lang w:val="es-MX"/>
        </w:rPr>
        <w:t>, sin contar los días 03 tres, 04 cuatro, 05 cinco por ser día de asueto, 10 diez y 11 once de ese mes por ser inhábiles.</w:t>
      </w:r>
    </w:p>
    <w:p w:rsidR="00F21918" w:rsidRPr="00BA1B0E" w:rsidRDefault="00F21918" w:rsidP="005616F4">
      <w:pPr>
        <w:pStyle w:val="corte4fondo"/>
        <w:tabs>
          <w:tab w:val="left" w:pos="567"/>
        </w:tabs>
        <w:spacing w:line="276" w:lineRule="auto"/>
        <w:rPr>
          <w:rFonts w:cs="Arial"/>
          <w:color w:val="2E74B5" w:themeColor="accent1" w:themeShade="BF"/>
          <w:sz w:val="24"/>
          <w:szCs w:val="24"/>
          <w:lang w:val="es-MX"/>
        </w:rPr>
      </w:pPr>
    </w:p>
    <w:p w:rsidR="00F21918" w:rsidRPr="00BA1B0E" w:rsidRDefault="00F21918" w:rsidP="005616F4">
      <w:pPr>
        <w:pStyle w:val="corte4fondo"/>
        <w:tabs>
          <w:tab w:val="left" w:pos="567"/>
        </w:tabs>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 xml:space="preserve">Es decir, que la fecha límite con la que contaba la autoridad para dar respuesta a la solicitud de acceso a la información pública desde que le fue presentada ésta, vencía el día </w:t>
      </w:r>
      <w:r w:rsidR="005616F4" w:rsidRPr="00BA1B0E">
        <w:rPr>
          <w:rFonts w:cs="Arial"/>
          <w:color w:val="2E74B5" w:themeColor="accent1" w:themeShade="BF"/>
          <w:sz w:val="24"/>
          <w:szCs w:val="24"/>
          <w:lang w:val="es-MX"/>
        </w:rPr>
        <w:t xml:space="preserve">14 catorce </w:t>
      </w:r>
      <w:r w:rsidRPr="00BA1B0E">
        <w:rPr>
          <w:rFonts w:cs="Arial"/>
          <w:color w:val="2E74B5" w:themeColor="accent1" w:themeShade="BF"/>
          <w:sz w:val="24"/>
          <w:szCs w:val="24"/>
          <w:lang w:val="es-MX"/>
        </w:rPr>
        <w:t>de febrero de 2018 dos mil dieciocho.</w:t>
      </w:r>
    </w:p>
    <w:p w:rsidR="001B13A0" w:rsidRPr="00BA1B0E" w:rsidRDefault="001B13A0" w:rsidP="005616F4">
      <w:pPr>
        <w:pStyle w:val="corte4fondo"/>
        <w:tabs>
          <w:tab w:val="left" w:pos="567"/>
        </w:tabs>
        <w:spacing w:line="276" w:lineRule="auto"/>
        <w:rPr>
          <w:rFonts w:cs="Arial"/>
          <w:color w:val="2E74B5" w:themeColor="accent1" w:themeShade="BF"/>
          <w:sz w:val="24"/>
          <w:szCs w:val="24"/>
          <w:lang w:val="es-MX"/>
        </w:rPr>
      </w:pPr>
    </w:p>
    <w:p w:rsidR="001B13A0" w:rsidRPr="00BA1B0E" w:rsidRDefault="001B13A0" w:rsidP="005616F4">
      <w:pPr>
        <w:pStyle w:val="corte4fondo"/>
        <w:tabs>
          <w:tab w:val="left" w:pos="567"/>
        </w:tabs>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Lo anterior se afirma porque esta Comisión de Transparencia al ingresar a la Plataforma Nacional de Transparencia con el folio que ocupa la solicitud de acceso a la información pública a estudio, aparece lo siguiente:</w:t>
      </w:r>
    </w:p>
    <w:p w:rsidR="005616F4" w:rsidRPr="00BA1B0E" w:rsidRDefault="005616F4" w:rsidP="005616F4">
      <w:pPr>
        <w:pStyle w:val="corte4fondo"/>
        <w:tabs>
          <w:tab w:val="left" w:pos="567"/>
        </w:tabs>
        <w:spacing w:line="276" w:lineRule="auto"/>
        <w:rPr>
          <w:rFonts w:cs="Arial"/>
          <w:color w:val="2E74B5" w:themeColor="accent1" w:themeShade="BF"/>
          <w:sz w:val="24"/>
          <w:szCs w:val="24"/>
          <w:lang w:val="es-MX"/>
        </w:rPr>
      </w:pPr>
    </w:p>
    <w:p w:rsidR="00CE7A59" w:rsidRPr="00BA1B0E" w:rsidRDefault="00CE7A59" w:rsidP="005616F4">
      <w:pPr>
        <w:pStyle w:val="corte4fondo"/>
        <w:tabs>
          <w:tab w:val="left" w:pos="567"/>
        </w:tabs>
        <w:spacing w:line="276" w:lineRule="auto"/>
        <w:rPr>
          <w:rFonts w:cs="Arial"/>
          <w:color w:val="2E74B5" w:themeColor="accent1" w:themeShade="BF"/>
          <w:sz w:val="24"/>
          <w:szCs w:val="24"/>
          <w:lang w:val="es-MX"/>
        </w:rPr>
      </w:pPr>
    </w:p>
    <w:p w:rsidR="001B13A0" w:rsidRPr="00BA1B0E" w:rsidRDefault="001B13A0" w:rsidP="005616F4">
      <w:pPr>
        <w:pStyle w:val="corte4fondo"/>
        <w:tabs>
          <w:tab w:val="left" w:pos="567"/>
        </w:tabs>
        <w:spacing w:line="276" w:lineRule="auto"/>
        <w:ind w:firstLine="0"/>
        <w:rPr>
          <w:rFonts w:cs="Arial"/>
          <w:color w:val="2E74B5" w:themeColor="accent1" w:themeShade="BF"/>
          <w:sz w:val="24"/>
          <w:szCs w:val="24"/>
          <w:lang w:val="es-MX"/>
        </w:rPr>
      </w:pPr>
      <w:r w:rsidRPr="00BA1B0E">
        <w:rPr>
          <w:rFonts w:cs="Arial"/>
          <w:noProof/>
          <w:color w:val="2E74B5" w:themeColor="accent1" w:themeShade="BF"/>
          <w:sz w:val="24"/>
          <w:szCs w:val="24"/>
          <w:lang w:val="es-MX"/>
        </w:rPr>
        <w:lastRenderedPageBreak/>
        <w:drawing>
          <wp:inline distT="0" distB="0" distL="0" distR="0" wp14:anchorId="18F23BE5" wp14:editId="1FF08880">
            <wp:extent cx="5585726" cy="271462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8785" cy="2735551"/>
                    </a:xfrm>
                    <a:prstGeom prst="rect">
                      <a:avLst/>
                    </a:prstGeom>
                    <a:noFill/>
                    <a:ln>
                      <a:noFill/>
                    </a:ln>
                  </pic:spPr>
                </pic:pic>
              </a:graphicData>
            </a:graphic>
          </wp:inline>
        </w:drawing>
      </w:r>
    </w:p>
    <w:p w:rsidR="001B13A0" w:rsidRPr="00BA1B0E" w:rsidRDefault="001B13A0" w:rsidP="005616F4">
      <w:pPr>
        <w:pStyle w:val="corte4fondo"/>
        <w:tabs>
          <w:tab w:val="left" w:pos="567"/>
        </w:tabs>
        <w:spacing w:line="276" w:lineRule="auto"/>
        <w:ind w:firstLine="0"/>
        <w:rPr>
          <w:rFonts w:cs="Arial"/>
          <w:color w:val="2E74B5" w:themeColor="accent1" w:themeShade="BF"/>
          <w:sz w:val="24"/>
          <w:szCs w:val="24"/>
          <w:lang w:val="es-MX"/>
        </w:rPr>
      </w:pPr>
    </w:p>
    <w:p w:rsidR="00CE7A59" w:rsidRPr="00BA1B0E" w:rsidRDefault="00CE7A59" w:rsidP="005616F4">
      <w:pPr>
        <w:pStyle w:val="corte4fondo"/>
        <w:tabs>
          <w:tab w:val="left" w:pos="567"/>
        </w:tabs>
        <w:spacing w:line="276" w:lineRule="auto"/>
        <w:ind w:firstLine="0"/>
        <w:rPr>
          <w:rFonts w:cs="Arial"/>
          <w:color w:val="2E74B5" w:themeColor="accent1" w:themeShade="BF"/>
          <w:sz w:val="24"/>
          <w:szCs w:val="24"/>
          <w:lang w:val="es-MX"/>
        </w:rPr>
      </w:pPr>
    </w:p>
    <w:p w:rsidR="00F21918" w:rsidRPr="00BA1B0E" w:rsidRDefault="001B13A0" w:rsidP="005616F4">
      <w:pPr>
        <w:pStyle w:val="corte4fondo"/>
        <w:tabs>
          <w:tab w:val="left" w:pos="567"/>
        </w:tabs>
        <w:spacing w:line="276" w:lineRule="auto"/>
        <w:ind w:firstLine="0"/>
        <w:rPr>
          <w:rFonts w:cs="Arial"/>
          <w:color w:val="2E74B5" w:themeColor="accent1" w:themeShade="BF"/>
          <w:sz w:val="24"/>
          <w:szCs w:val="24"/>
          <w:lang w:val="es-MX"/>
        </w:rPr>
      </w:pPr>
      <w:r w:rsidRPr="00BA1B0E">
        <w:rPr>
          <w:rFonts w:cs="Arial"/>
          <w:noProof/>
          <w:color w:val="2E74B5" w:themeColor="accent1" w:themeShade="BF"/>
          <w:sz w:val="24"/>
          <w:szCs w:val="24"/>
          <w:lang w:val="es-MX"/>
        </w:rPr>
        <w:drawing>
          <wp:inline distT="0" distB="0" distL="0" distR="0" wp14:anchorId="69B154D7" wp14:editId="53109ABD">
            <wp:extent cx="5581934" cy="2647315"/>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7493" cy="2659437"/>
                    </a:xfrm>
                    <a:prstGeom prst="rect">
                      <a:avLst/>
                    </a:prstGeom>
                    <a:noFill/>
                    <a:ln>
                      <a:noFill/>
                    </a:ln>
                  </pic:spPr>
                </pic:pic>
              </a:graphicData>
            </a:graphic>
          </wp:inline>
        </w:drawing>
      </w:r>
    </w:p>
    <w:p w:rsidR="001B13A0" w:rsidRPr="00BA1B0E" w:rsidRDefault="004B20ED" w:rsidP="005616F4">
      <w:pPr>
        <w:pStyle w:val="corte4fondo"/>
        <w:spacing w:line="276" w:lineRule="auto"/>
        <w:ind w:firstLine="0"/>
        <w:rPr>
          <w:rFonts w:cs="Arial"/>
          <w:b/>
          <w:color w:val="2E74B5" w:themeColor="accent1" w:themeShade="BF"/>
          <w:sz w:val="24"/>
          <w:szCs w:val="24"/>
          <w:lang w:val="es-MX"/>
        </w:rPr>
      </w:pPr>
      <w:r w:rsidRPr="00BA1B0E">
        <w:rPr>
          <w:rFonts w:cs="Arial"/>
          <w:b/>
          <w:noProof/>
          <w:color w:val="2E74B5" w:themeColor="accent1" w:themeShade="BF"/>
          <w:sz w:val="24"/>
          <w:szCs w:val="24"/>
          <w:lang w:val="es-MX"/>
        </w:rPr>
        <w:drawing>
          <wp:inline distT="0" distB="0" distL="0" distR="0" wp14:anchorId="3F0D2E4F" wp14:editId="77B66AE2">
            <wp:extent cx="5608955" cy="257238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8955" cy="2572385"/>
                    </a:xfrm>
                    <a:prstGeom prst="rect">
                      <a:avLst/>
                    </a:prstGeom>
                    <a:noFill/>
                    <a:ln>
                      <a:noFill/>
                    </a:ln>
                  </pic:spPr>
                </pic:pic>
              </a:graphicData>
            </a:graphic>
          </wp:inline>
        </w:drawing>
      </w:r>
    </w:p>
    <w:p w:rsidR="004B20ED" w:rsidRPr="00BA1B0E" w:rsidRDefault="004B20ED" w:rsidP="005616F4">
      <w:pPr>
        <w:pStyle w:val="corte4fondo"/>
        <w:spacing w:line="276" w:lineRule="auto"/>
        <w:ind w:firstLine="0"/>
        <w:rPr>
          <w:rFonts w:cs="Arial"/>
          <w:b/>
          <w:color w:val="2E74B5" w:themeColor="accent1" w:themeShade="BF"/>
          <w:sz w:val="24"/>
          <w:szCs w:val="24"/>
          <w:lang w:val="es-MX"/>
        </w:rPr>
      </w:pPr>
    </w:p>
    <w:p w:rsidR="008F48FD" w:rsidRPr="00BA1B0E" w:rsidRDefault="008F48FD" w:rsidP="005616F4">
      <w:pPr>
        <w:pStyle w:val="corte4fondo"/>
        <w:spacing w:line="276" w:lineRule="auto"/>
        <w:ind w:firstLine="0"/>
        <w:rPr>
          <w:rFonts w:cs="Arial"/>
          <w:b/>
          <w:color w:val="2E74B5" w:themeColor="accent1" w:themeShade="BF"/>
          <w:sz w:val="24"/>
          <w:szCs w:val="24"/>
          <w:lang w:val="es-MX"/>
        </w:rPr>
      </w:pPr>
    </w:p>
    <w:p w:rsidR="004B20ED" w:rsidRPr="00BA1B0E" w:rsidRDefault="004B20ED" w:rsidP="005616F4">
      <w:pPr>
        <w:pStyle w:val="corte4fondo"/>
        <w:spacing w:line="276" w:lineRule="auto"/>
        <w:ind w:firstLine="0"/>
        <w:rPr>
          <w:rFonts w:cs="Arial"/>
          <w:b/>
          <w:color w:val="2E74B5" w:themeColor="accent1" w:themeShade="BF"/>
          <w:sz w:val="24"/>
          <w:szCs w:val="24"/>
          <w:lang w:val="es-MX"/>
        </w:rPr>
      </w:pPr>
      <w:r w:rsidRPr="00BA1B0E">
        <w:rPr>
          <w:rFonts w:cs="Arial"/>
          <w:b/>
          <w:noProof/>
          <w:color w:val="2E74B5" w:themeColor="accent1" w:themeShade="BF"/>
          <w:sz w:val="24"/>
          <w:szCs w:val="24"/>
          <w:lang w:val="es-MX"/>
        </w:rPr>
        <w:lastRenderedPageBreak/>
        <w:drawing>
          <wp:inline distT="0" distB="0" distL="0" distR="0" wp14:anchorId="2C2F464E" wp14:editId="2CA8EEE3">
            <wp:extent cx="5322452" cy="6168788"/>
            <wp:effectExtent l="0" t="0" r="0"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6473" cy="6185039"/>
                    </a:xfrm>
                    <a:prstGeom prst="rect">
                      <a:avLst/>
                    </a:prstGeom>
                    <a:noFill/>
                    <a:ln>
                      <a:noFill/>
                    </a:ln>
                  </pic:spPr>
                </pic:pic>
              </a:graphicData>
            </a:graphic>
          </wp:inline>
        </w:drawing>
      </w:r>
    </w:p>
    <w:p w:rsidR="001F1F6C" w:rsidRPr="00BA1B0E" w:rsidRDefault="004B20ED" w:rsidP="005616F4">
      <w:pPr>
        <w:pStyle w:val="corte4fondo"/>
        <w:tabs>
          <w:tab w:val="left" w:pos="567"/>
        </w:tabs>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 xml:space="preserve">Como se vio, en dicho sistema electrónico de Plataforma, aparece que hay una respuesta, empero ésta tiene dos inconsistencias a saber, la primera porque tiene fecha de respuesta del 28 veintiocho de febrero de 2018 dos mil dieciocho, cuando el sujeto obligado debió de responder desde el </w:t>
      </w:r>
      <w:r w:rsidR="005616F4" w:rsidRPr="00BA1B0E">
        <w:rPr>
          <w:rFonts w:cs="Arial"/>
          <w:color w:val="2E74B5" w:themeColor="accent1" w:themeShade="BF"/>
          <w:sz w:val="24"/>
          <w:szCs w:val="24"/>
          <w:lang w:val="es-MX"/>
        </w:rPr>
        <w:t xml:space="preserve">14 catorce </w:t>
      </w:r>
      <w:r w:rsidRPr="00BA1B0E">
        <w:rPr>
          <w:rFonts w:cs="Arial"/>
          <w:color w:val="2E74B5" w:themeColor="accent1" w:themeShade="BF"/>
          <w:sz w:val="24"/>
          <w:szCs w:val="24"/>
          <w:lang w:val="es-MX"/>
        </w:rPr>
        <w:t>de febrero y, porque la respuesta</w:t>
      </w:r>
      <w:r w:rsidRPr="00BA1B0E">
        <w:rPr>
          <w:rFonts w:eastAsia="Arial Unicode MS" w:cs="Arial"/>
          <w:color w:val="2E74B5" w:themeColor="accent1" w:themeShade="BF"/>
          <w:sz w:val="24"/>
          <w:szCs w:val="24"/>
          <w:lang w:val="es-MX"/>
        </w:rPr>
        <w:t xml:space="preserve"> no está debidamente fundada y motivada, </w:t>
      </w:r>
      <w:r w:rsidRPr="00BA1B0E">
        <w:rPr>
          <w:rFonts w:cs="Arial"/>
          <w:color w:val="2E74B5" w:themeColor="accent1" w:themeShade="BF"/>
          <w:sz w:val="24"/>
          <w:szCs w:val="24"/>
          <w:lang w:val="es-MX"/>
        </w:rPr>
        <w:t>pues</w:t>
      </w:r>
      <w:r w:rsidRPr="00BA1B0E">
        <w:rPr>
          <w:rFonts w:eastAsia="Arial Unicode MS" w:cs="Arial"/>
          <w:color w:val="2E74B5" w:themeColor="accent1" w:themeShade="BF"/>
          <w:sz w:val="24"/>
          <w:szCs w:val="24"/>
          <w:lang w:val="es-MX"/>
        </w:rPr>
        <w:t xml:space="preserve"> se aprecia que la respuesta proporcionada por el sujeto obligado no es de conformidad con los artículos 160 y 161 de la Ley de Transparencia de acceso a la Información Pública del Estado</w:t>
      </w:r>
      <w:r w:rsidRPr="00BA1B0E">
        <w:rPr>
          <w:rFonts w:cs="Arial"/>
          <w:color w:val="2E74B5" w:themeColor="accent1" w:themeShade="BF"/>
          <w:sz w:val="24"/>
          <w:szCs w:val="24"/>
          <w:lang w:val="es-MX"/>
        </w:rPr>
        <w:t>, es por ello que la respuesta además de proporcionarse fuera del tiempo que establece la Ley de la materia, no es</w:t>
      </w:r>
      <w:r w:rsidR="001F1F6C" w:rsidRPr="00BA1B0E">
        <w:rPr>
          <w:rFonts w:cs="Arial"/>
          <w:color w:val="2E74B5" w:themeColor="accent1" w:themeShade="BF"/>
          <w:sz w:val="24"/>
          <w:szCs w:val="24"/>
          <w:lang w:val="es-MX"/>
        </w:rPr>
        <w:t xml:space="preserve"> fundada ni motivada de manera suficiente, ya que no citó disposición normativa alguna en lo referente a sus facultades que rigen su actuar y tampoco explicó alguna razón para no poseer la información.</w:t>
      </w:r>
    </w:p>
    <w:p w:rsidR="001F1F6C" w:rsidRPr="00BA1B0E" w:rsidRDefault="001F1F6C" w:rsidP="005616F4">
      <w:pPr>
        <w:pStyle w:val="corte4fondo"/>
        <w:tabs>
          <w:tab w:val="left" w:pos="567"/>
        </w:tabs>
        <w:spacing w:line="276" w:lineRule="auto"/>
        <w:rPr>
          <w:rFonts w:cs="Arial"/>
          <w:color w:val="2E74B5" w:themeColor="accent1" w:themeShade="BF"/>
          <w:sz w:val="24"/>
          <w:szCs w:val="24"/>
          <w:lang w:val="es-MX"/>
        </w:rPr>
      </w:pPr>
    </w:p>
    <w:p w:rsidR="004B20ED" w:rsidRPr="00BA1B0E" w:rsidRDefault="004B20ED" w:rsidP="005616F4">
      <w:pPr>
        <w:pStyle w:val="corte4fondo"/>
        <w:tabs>
          <w:tab w:val="left" w:pos="567"/>
        </w:tabs>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 xml:space="preserve">Es por eso que esta Comisión de Transparencia </w:t>
      </w:r>
      <w:r w:rsidRPr="00BA1B0E">
        <w:rPr>
          <w:rFonts w:cs="Arial"/>
          <w:b/>
          <w:color w:val="2E74B5" w:themeColor="accent1" w:themeShade="BF"/>
          <w:sz w:val="24"/>
          <w:szCs w:val="24"/>
          <w:lang w:val="es-MX"/>
        </w:rPr>
        <w:t>aplica el principio de afirmativa ficta</w:t>
      </w:r>
      <w:r w:rsidRPr="00BA1B0E">
        <w:rPr>
          <w:rFonts w:cs="Arial"/>
          <w:color w:val="2E74B5" w:themeColor="accent1" w:themeShade="BF"/>
          <w:sz w:val="24"/>
          <w:szCs w:val="24"/>
          <w:lang w:val="es-MX"/>
        </w:rPr>
        <w:t xml:space="preserve"> ya que no hubo respuesta a la solicitud de acceso a la información pública </w:t>
      </w:r>
      <w:r w:rsidRPr="00BA1B0E">
        <w:rPr>
          <w:rFonts w:cs="Arial"/>
          <w:color w:val="2E74B5" w:themeColor="accent1" w:themeShade="BF"/>
          <w:sz w:val="24"/>
          <w:szCs w:val="24"/>
          <w:u w:val="single"/>
          <w:lang w:val="es-MX"/>
        </w:rPr>
        <w:t>en tiempo</w:t>
      </w:r>
      <w:r w:rsidRPr="00BA1B0E">
        <w:rPr>
          <w:rFonts w:cs="Arial"/>
          <w:color w:val="2E74B5" w:themeColor="accent1" w:themeShade="BF"/>
          <w:sz w:val="24"/>
          <w:szCs w:val="24"/>
          <w:lang w:val="es-MX"/>
        </w:rPr>
        <w:t xml:space="preserve">, de ahí que el agravio del recurrente haya resultado fundado por </w:t>
      </w:r>
      <w:r w:rsidRPr="00BA1B0E">
        <w:rPr>
          <w:rFonts w:cs="Arial"/>
          <w:color w:val="2E74B5" w:themeColor="accent1" w:themeShade="BF"/>
          <w:sz w:val="24"/>
          <w:szCs w:val="24"/>
          <w:lang w:val="es-MX"/>
        </w:rPr>
        <w:lastRenderedPageBreak/>
        <w:t xml:space="preserve">lo que los efectos de esta determinación, este órgano colegiado los precisará más adelante. </w:t>
      </w:r>
    </w:p>
    <w:p w:rsidR="004B20ED" w:rsidRPr="00BA1B0E" w:rsidRDefault="004B20ED" w:rsidP="005616F4">
      <w:pPr>
        <w:pStyle w:val="corte4fondo"/>
        <w:spacing w:line="276" w:lineRule="auto"/>
        <w:ind w:firstLine="0"/>
        <w:rPr>
          <w:rFonts w:cs="Arial"/>
          <w:b/>
          <w:color w:val="2E74B5" w:themeColor="accent1" w:themeShade="BF"/>
          <w:sz w:val="24"/>
          <w:szCs w:val="24"/>
          <w:lang w:val="es-MX"/>
        </w:rPr>
      </w:pPr>
    </w:p>
    <w:p w:rsidR="001B13A0" w:rsidRPr="00BA1B0E" w:rsidRDefault="00360D64" w:rsidP="005616F4">
      <w:pPr>
        <w:pStyle w:val="corte4fondo"/>
        <w:spacing w:line="276" w:lineRule="auto"/>
        <w:ind w:firstLine="0"/>
        <w:rPr>
          <w:rFonts w:cs="Arial"/>
          <w:color w:val="2E74B5" w:themeColor="accent1" w:themeShade="BF"/>
          <w:sz w:val="24"/>
          <w:szCs w:val="24"/>
          <w:lang w:val="es-MX"/>
        </w:rPr>
      </w:pPr>
      <w:r w:rsidRPr="00BA1B0E">
        <w:rPr>
          <w:rFonts w:cs="Arial"/>
          <w:b/>
          <w:color w:val="2E74B5" w:themeColor="accent1" w:themeShade="BF"/>
          <w:sz w:val="24"/>
          <w:szCs w:val="24"/>
          <w:lang w:val="es-MX"/>
        </w:rPr>
        <w:t>7.3</w:t>
      </w:r>
      <w:r w:rsidR="001B13A0" w:rsidRPr="00BA1B0E">
        <w:rPr>
          <w:rFonts w:cs="Arial"/>
          <w:b/>
          <w:color w:val="2E74B5" w:themeColor="accent1" w:themeShade="BF"/>
          <w:sz w:val="24"/>
          <w:szCs w:val="24"/>
          <w:lang w:val="es-MX"/>
        </w:rPr>
        <w:t>. Modalidad de entrega</w:t>
      </w:r>
      <w:r w:rsidR="001B13A0" w:rsidRPr="00BA1B0E">
        <w:rPr>
          <w:rFonts w:cs="Arial"/>
          <w:color w:val="2E74B5" w:themeColor="accent1" w:themeShade="BF"/>
          <w:sz w:val="24"/>
          <w:szCs w:val="24"/>
          <w:lang w:val="es-MX"/>
        </w:rPr>
        <w:t>.</w:t>
      </w:r>
    </w:p>
    <w:p w:rsidR="001B13A0" w:rsidRPr="00BA1B0E" w:rsidRDefault="001B13A0" w:rsidP="005616F4">
      <w:pPr>
        <w:pStyle w:val="corte4fondo"/>
        <w:spacing w:line="276" w:lineRule="auto"/>
        <w:ind w:firstLine="0"/>
        <w:rPr>
          <w:rFonts w:cs="Arial"/>
          <w:color w:val="2E74B5" w:themeColor="accent1" w:themeShade="BF"/>
          <w:sz w:val="24"/>
          <w:szCs w:val="24"/>
          <w:lang w:val="es-MX"/>
        </w:rPr>
      </w:pPr>
    </w:p>
    <w:p w:rsidR="001B13A0" w:rsidRPr="00BA1B0E" w:rsidRDefault="001B13A0" w:rsidP="005616F4">
      <w:pPr>
        <w:pStyle w:val="Prrafodelista"/>
        <w:spacing w:after="0"/>
        <w:ind w:left="0"/>
        <w:jc w:val="both"/>
        <w:rPr>
          <w:rFonts w:ascii="Arial" w:hAnsi="Arial" w:cs="Arial"/>
          <w:color w:val="2E74B5" w:themeColor="accent1" w:themeShade="BF"/>
          <w:sz w:val="24"/>
          <w:szCs w:val="24"/>
        </w:rPr>
      </w:pPr>
      <w:r w:rsidRPr="00BA1B0E">
        <w:rPr>
          <w:rFonts w:ascii="Arial" w:hAnsi="Arial" w:cs="Arial"/>
          <w:color w:val="2E74B5" w:themeColor="accent1" w:themeShade="BF"/>
          <w:sz w:val="24"/>
          <w:szCs w:val="24"/>
        </w:rPr>
        <w:tab/>
        <w:t>Sobre este tópico los artículos 17, 146, fracción V, primer párrafo y 155, de la Ley de Transparencia establecen que:</w:t>
      </w:r>
    </w:p>
    <w:p w:rsidR="001B13A0" w:rsidRPr="00BA1B0E" w:rsidRDefault="001B13A0" w:rsidP="005616F4">
      <w:pPr>
        <w:pStyle w:val="corte4fondo"/>
        <w:tabs>
          <w:tab w:val="left" w:pos="567"/>
        </w:tabs>
        <w:spacing w:line="276" w:lineRule="auto"/>
        <w:rPr>
          <w:rFonts w:cs="Arial"/>
          <w:color w:val="2E74B5" w:themeColor="accent1" w:themeShade="BF"/>
          <w:sz w:val="24"/>
          <w:szCs w:val="24"/>
          <w:lang w:val="es-MX"/>
        </w:rPr>
      </w:pPr>
    </w:p>
    <w:p w:rsidR="001B13A0" w:rsidRPr="00BA1B0E" w:rsidRDefault="008F48FD" w:rsidP="005616F4">
      <w:pPr>
        <w:pStyle w:val="corte4fondo"/>
        <w:tabs>
          <w:tab w:val="left" w:pos="567"/>
        </w:tabs>
        <w:spacing w:line="276" w:lineRule="auto"/>
        <w:ind w:left="567" w:firstLine="0"/>
        <w:rPr>
          <w:rFonts w:cs="Arial"/>
          <w:i/>
          <w:color w:val="2E74B5" w:themeColor="accent1" w:themeShade="BF"/>
          <w:sz w:val="20"/>
          <w:lang w:val="es-MX"/>
        </w:rPr>
      </w:pPr>
      <w:r w:rsidRPr="00BA1B0E">
        <w:rPr>
          <w:rFonts w:cs="Arial"/>
          <w:bCs/>
          <w:i/>
          <w:color w:val="2E74B5" w:themeColor="accent1" w:themeShade="BF"/>
          <w:sz w:val="20"/>
          <w:lang w:val="es-MX"/>
        </w:rPr>
        <w:t>“…</w:t>
      </w:r>
      <w:r w:rsidR="001B13A0" w:rsidRPr="00BA1B0E">
        <w:rPr>
          <w:rFonts w:cs="Arial"/>
          <w:b/>
          <w:bCs/>
          <w:i/>
          <w:color w:val="2E74B5" w:themeColor="accent1" w:themeShade="BF"/>
          <w:sz w:val="20"/>
        </w:rPr>
        <w:t xml:space="preserve">ARTÍCULO 17. </w:t>
      </w:r>
      <w:r w:rsidR="001B13A0" w:rsidRPr="00BA1B0E">
        <w:rPr>
          <w:rFonts w:cs="Arial"/>
          <w:i/>
          <w:color w:val="2E74B5" w:themeColor="accent1" w:themeShade="BF"/>
          <w:sz w:val="20"/>
        </w:rPr>
        <w:t xml:space="preserve">El ejercicio del derecho de acceso a la información es gratuito y sólo podrá requerirse el cobro correspondiente a la modalidad de reproducción y entrega solicitada. </w:t>
      </w:r>
    </w:p>
    <w:p w:rsidR="001B13A0" w:rsidRPr="00BA1B0E" w:rsidRDefault="001B13A0" w:rsidP="005616F4">
      <w:pPr>
        <w:pStyle w:val="corte4fondo"/>
        <w:tabs>
          <w:tab w:val="left" w:pos="567"/>
        </w:tabs>
        <w:spacing w:line="276" w:lineRule="auto"/>
        <w:ind w:left="567" w:firstLine="0"/>
        <w:rPr>
          <w:rFonts w:cs="Arial"/>
          <w:i/>
          <w:color w:val="2E74B5" w:themeColor="accent1" w:themeShade="BF"/>
          <w:sz w:val="20"/>
          <w:lang w:val="es-MX"/>
        </w:rPr>
      </w:pPr>
      <w:r w:rsidRPr="00BA1B0E">
        <w:rPr>
          <w:rFonts w:cs="Arial"/>
          <w:i/>
          <w:color w:val="2E74B5" w:themeColor="accent1" w:themeShade="BF"/>
          <w:sz w:val="20"/>
        </w:rPr>
        <w:t>En ningún caso los ajustes razonables que se realicen para el acceso de la información de solicitantes con discapacidad, será con costo a los mismos.</w:t>
      </w:r>
    </w:p>
    <w:p w:rsidR="001B13A0" w:rsidRPr="00BA1B0E" w:rsidRDefault="001B13A0" w:rsidP="005616F4">
      <w:pPr>
        <w:pStyle w:val="corte4fondo"/>
        <w:tabs>
          <w:tab w:val="left" w:pos="567"/>
        </w:tabs>
        <w:spacing w:line="276" w:lineRule="auto"/>
        <w:ind w:left="567" w:firstLine="0"/>
        <w:rPr>
          <w:rFonts w:cs="Arial"/>
          <w:i/>
          <w:color w:val="2E74B5" w:themeColor="accent1" w:themeShade="BF"/>
          <w:sz w:val="20"/>
          <w:lang w:val="es-MX"/>
        </w:rPr>
      </w:pPr>
    </w:p>
    <w:p w:rsidR="001B13A0" w:rsidRPr="00BA1B0E" w:rsidRDefault="001B13A0" w:rsidP="005616F4">
      <w:pPr>
        <w:pStyle w:val="corte4fondo"/>
        <w:tabs>
          <w:tab w:val="left" w:pos="567"/>
        </w:tabs>
        <w:spacing w:line="276" w:lineRule="auto"/>
        <w:ind w:left="567" w:firstLine="0"/>
        <w:rPr>
          <w:rFonts w:cs="Arial"/>
          <w:i/>
          <w:color w:val="2E74B5" w:themeColor="accent1" w:themeShade="BF"/>
          <w:sz w:val="20"/>
          <w:lang w:val="es-MX"/>
        </w:rPr>
      </w:pPr>
      <w:r w:rsidRPr="00BA1B0E">
        <w:rPr>
          <w:rFonts w:cs="Arial"/>
          <w:b/>
          <w:bCs/>
          <w:i/>
          <w:color w:val="2E74B5" w:themeColor="accent1" w:themeShade="BF"/>
          <w:sz w:val="20"/>
        </w:rPr>
        <w:t xml:space="preserve">ARTÍCULO 146. </w:t>
      </w:r>
      <w:r w:rsidRPr="00BA1B0E">
        <w:rPr>
          <w:rFonts w:cs="Arial"/>
          <w:i/>
          <w:color w:val="2E74B5" w:themeColor="accent1" w:themeShade="BF"/>
          <w:sz w:val="20"/>
        </w:rPr>
        <w:t xml:space="preserve">Para presentar una solicitud no se podrán exigir mayores requisitos que los siguientes: </w:t>
      </w:r>
    </w:p>
    <w:p w:rsidR="001B13A0" w:rsidRPr="00BA1B0E" w:rsidRDefault="001B13A0" w:rsidP="005616F4">
      <w:pPr>
        <w:pStyle w:val="corte4fondo"/>
        <w:tabs>
          <w:tab w:val="left" w:pos="567"/>
        </w:tabs>
        <w:spacing w:line="276" w:lineRule="auto"/>
        <w:ind w:left="567" w:firstLine="0"/>
        <w:rPr>
          <w:rFonts w:cs="Arial"/>
          <w:i/>
          <w:color w:val="2E74B5" w:themeColor="accent1" w:themeShade="BF"/>
          <w:sz w:val="20"/>
          <w:lang w:val="es-MX"/>
        </w:rPr>
      </w:pPr>
      <w:r w:rsidRPr="00BA1B0E">
        <w:rPr>
          <w:rFonts w:cs="Arial"/>
          <w:bCs/>
          <w:i/>
          <w:color w:val="2E74B5" w:themeColor="accent1" w:themeShade="BF"/>
          <w:sz w:val="20"/>
          <w:lang w:val="es-MX"/>
        </w:rPr>
        <w:t>[…]</w:t>
      </w:r>
    </w:p>
    <w:p w:rsidR="001B13A0" w:rsidRPr="00BA1B0E" w:rsidRDefault="001B13A0" w:rsidP="005616F4">
      <w:pPr>
        <w:pStyle w:val="corte4fondo"/>
        <w:tabs>
          <w:tab w:val="left" w:pos="567"/>
        </w:tabs>
        <w:spacing w:line="276" w:lineRule="auto"/>
        <w:ind w:left="567" w:firstLine="0"/>
        <w:rPr>
          <w:rFonts w:cs="Arial"/>
          <w:i/>
          <w:color w:val="2E74B5" w:themeColor="accent1" w:themeShade="BF"/>
          <w:sz w:val="20"/>
          <w:lang w:val="es-MX"/>
        </w:rPr>
      </w:pPr>
      <w:r w:rsidRPr="00BA1B0E">
        <w:rPr>
          <w:rFonts w:cs="Arial"/>
          <w:b/>
          <w:bCs/>
          <w:i/>
          <w:color w:val="2E74B5" w:themeColor="accent1" w:themeShade="BF"/>
          <w:sz w:val="20"/>
        </w:rPr>
        <w:t xml:space="preserve">V. </w:t>
      </w:r>
      <w:r w:rsidRPr="00BA1B0E">
        <w:rPr>
          <w:rFonts w:cs="Arial"/>
          <w:i/>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r w:rsidR="008F48FD" w:rsidRPr="00BA1B0E">
        <w:rPr>
          <w:rFonts w:cs="Arial"/>
          <w:i/>
          <w:color w:val="2E74B5" w:themeColor="accent1" w:themeShade="BF"/>
          <w:sz w:val="20"/>
          <w:lang w:val="es-MX"/>
        </w:rPr>
        <w:t>”</w:t>
      </w:r>
    </w:p>
    <w:p w:rsidR="001B13A0" w:rsidRPr="00BA1B0E" w:rsidRDefault="001B13A0" w:rsidP="005616F4">
      <w:pPr>
        <w:pStyle w:val="corte4fondo"/>
        <w:tabs>
          <w:tab w:val="left" w:pos="567"/>
        </w:tabs>
        <w:spacing w:line="276" w:lineRule="auto"/>
        <w:ind w:left="567" w:firstLine="0"/>
        <w:rPr>
          <w:rFonts w:cs="Arial"/>
          <w:color w:val="2E74B5" w:themeColor="accent1" w:themeShade="BF"/>
          <w:sz w:val="24"/>
          <w:szCs w:val="24"/>
          <w:lang w:val="es-MX"/>
        </w:rPr>
      </w:pPr>
    </w:p>
    <w:p w:rsidR="001B13A0" w:rsidRPr="00BA1B0E" w:rsidRDefault="001B13A0" w:rsidP="005616F4">
      <w:pPr>
        <w:pStyle w:val="corte4fondo"/>
        <w:spacing w:line="276" w:lineRule="auto"/>
        <w:ind w:firstLine="0"/>
        <w:rPr>
          <w:rFonts w:cs="Arial"/>
          <w:color w:val="2E74B5" w:themeColor="accent1" w:themeShade="BF"/>
          <w:sz w:val="24"/>
          <w:szCs w:val="24"/>
          <w:lang w:val="es-MX"/>
        </w:rPr>
      </w:pPr>
      <w:r w:rsidRPr="00BA1B0E">
        <w:rPr>
          <w:rFonts w:cs="Arial"/>
          <w:color w:val="2E74B5" w:themeColor="accent1" w:themeShade="BF"/>
          <w:sz w:val="24"/>
          <w:szCs w:val="24"/>
          <w:lang w:val="es-MX"/>
        </w:rPr>
        <w:tab/>
        <w:t>Por eso, e</w:t>
      </w:r>
      <w:r w:rsidRPr="00BA1B0E">
        <w:rPr>
          <w:rFonts w:cs="Arial"/>
          <w:color w:val="2E74B5" w:themeColor="accent1" w:themeShade="BF"/>
          <w:sz w:val="24"/>
          <w:szCs w:val="24"/>
        </w:rPr>
        <w:t xml:space="preserve">l acceso se dará en la modalidad de entrega </w:t>
      </w:r>
      <w:r w:rsidRPr="00BA1B0E">
        <w:rPr>
          <w:rFonts w:cs="Arial"/>
          <w:color w:val="2E74B5" w:themeColor="accent1" w:themeShade="BF"/>
          <w:sz w:val="24"/>
          <w:szCs w:val="24"/>
          <w:lang w:val="es-MX"/>
        </w:rPr>
        <w:t xml:space="preserve">elegido </w:t>
      </w:r>
      <w:r w:rsidRPr="00BA1B0E">
        <w:rPr>
          <w:rFonts w:cs="Arial"/>
          <w:color w:val="2E74B5" w:themeColor="accent1" w:themeShade="BF"/>
          <w:sz w:val="24"/>
          <w:szCs w:val="24"/>
        </w:rPr>
        <w:t>por el solicitante</w:t>
      </w:r>
      <w:r w:rsidRPr="00BA1B0E">
        <w:rPr>
          <w:rFonts w:cs="Arial"/>
          <w:color w:val="2E74B5" w:themeColor="accent1" w:themeShade="BF"/>
          <w:sz w:val="24"/>
          <w:szCs w:val="24"/>
          <w:lang w:val="es-MX"/>
        </w:rPr>
        <w:t xml:space="preserve"> y que </w:t>
      </w:r>
      <w:r w:rsidRPr="00BA1B0E">
        <w:rPr>
          <w:rFonts w:cs="Arial"/>
          <w:color w:val="2E74B5" w:themeColor="accent1" w:themeShade="BF"/>
          <w:sz w:val="24"/>
          <w:szCs w:val="24"/>
        </w:rPr>
        <w:t>cuando la información no pueda entregarse o enviarse en la modalidad elegida, el sujeto obligado deberá ofrecer otra u otras modalidades de entrega</w:t>
      </w:r>
      <w:r w:rsidRPr="00BA1B0E">
        <w:rPr>
          <w:rFonts w:cs="Arial"/>
          <w:color w:val="2E74B5" w:themeColor="accent1" w:themeShade="BF"/>
          <w:sz w:val="24"/>
          <w:szCs w:val="24"/>
          <w:lang w:val="es-MX"/>
        </w:rPr>
        <w:t xml:space="preserve"> </w:t>
      </w:r>
      <w:r w:rsidR="008F48FD" w:rsidRPr="00BA1B0E">
        <w:rPr>
          <w:rFonts w:cs="Arial"/>
          <w:color w:val="2E74B5" w:themeColor="accent1" w:themeShade="BF"/>
          <w:sz w:val="24"/>
          <w:szCs w:val="24"/>
          <w:lang w:val="es-MX"/>
        </w:rPr>
        <w:t>ya que,</w:t>
      </w:r>
      <w:r w:rsidRPr="00BA1B0E">
        <w:rPr>
          <w:rFonts w:cs="Arial"/>
          <w:color w:val="2E74B5" w:themeColor="accent1" w:themeShade="BF"/>
          <w:sz w:val="24"/>
          <w:szCs w:val="24"/>
          <w:lang w:val="es-MX"/>
        </w:rPr>
        <w:t xml:space="preserve"> de no ser así,</w:t>
      </w:r>
      <w:r w:rsidRPr="00BA1B0E">
        <w:rPr>
          <w:rFonts w:cs="Arial"/>
          <w:color w:val="2E74B5" w:themeColor="accent1" w:themeShade="BF"/>
          <w:sz w:val="24"/>
          <w:szCs w:val="24"/>
        </w:rPr>
        <w:t xml:space="preserve"> </w:t>
      </w:r>
      <w:r w:rsidRPr="00BA1B0E">
        <w:rPr>
          <w:rFonts w:cs="Arial"/>
          <w:color w:val="2E74B5" w:themeColor="accent1" w:themeShade="BF"/>
          <w:sz w:val="24"/>
          <w:szCs w:val="24"/>
          <w:lang w:val="es-MX"/>
        </w:rPr>
        <w:t xml:space="preserve">en </w:t>
      </w:r>
      <w:r w:rsidRPr="00BA1B0E">
        <w:rPr>
          <w:rFonts w:cs="Arial"/>
          <w:color w:val="2E74B5" w:themeColor="accent1" w:themeShade="BF"/>
          <w:sz w:val="24"/>
          <w:szCs w:val="24"/>
        </w:rPr>
        <w:t xml:space="preserve">cualquier caso, </w:t>
      </w:r>
      <w:r w:rsidRPr="00BA1B0E">
        <w:rPr>
          <w:rFonts w:cs="Arial"/>
          <w:color w:val="2E74B5" w:themeColor="accent1" w:themeShade="BF"/>
          <w:sz w:val="24"/>
          <w:szCs w:val="24"/>
          <w:u w:val="single"/>
        </w:rPr>
        <w:t>se deberá fundar y motivar la necesidad de ofrecer otras modalidades</w:t>
      </w:r>
      <w:r w:rsidRPr="00BA1B0E">
        <w:rPr>
          <w:rFonts w:cs="Arial"/>
          <w:color w:val="2E74B5" w:themeColor="accent1" w:themeShade="BF"/>
          <w:sz w:val="24"/>
          <w:szCs w:val="24"/>
        </w:rPr>
        <w:t>.</w:t>
      </w:r>
    </w:p>
    <w:p w:rsidR="001B13A0" w:rsidRPr="00BA1B0E" w:rsidRDefault="001B13A0" w:rsidP="005616F4">
      <w:pPr>
        <w:pStyle w:val="corte4fondo"/>
        <w:spacing w:line="276" w:lineRule="auto"/>
        <w:ind w:firstLine="0"/>
        <w:rPr>
          <w:rFonts w:cs="Arial"/>
          <w:color w:val="2E74B5" w:themeColor="accent1" w:themeShade="BF"/>
          <w:sz w:val="24"/>
          <w:szCs w:val="24"/>
          <w:lang w:val="es-MX"/>
        </w:rPr>
      </w:pPr>
    </w:p>
    <w:p w:rsidR="001B13A0" w:rsidRPr="00BA1B0E" w:rsidRDefault="001B13A0" w:rsidP="005616F4">
      <w:pPr>
        <w:pStyle w:val="corte4fondo"/>
        <w:spacing w:line="276" w:lineRule="auto"/>
        <w:ind w:firstLine="0"/>
        <w:rPr>
          <w:rFonts w:cs="Arial"/>
          <w:color w:val="2E74B5" w:themeColor="accent1" w:themeShade="BF"/>
          <w:sz w:val="24"/>
          <w:szCs w:val="24"/>
          <w:lang w:val="es-MX"/>
        </w:rPr>
      </w:pPr>
      <w:r w:rsidRPr="00BA1B0E">
        <w:rPr>
          <w:rFonts w:cs="Arial"/>
          <w:color w:val="2E74B5" w:themeColor="accent1" w:themeShade="BF"/>
          <w:sz w:val="24"/>
          <w:szCs w:val="24"/>
          <w:lang w:val="es-MX"/>
        </w:rPr>
        <w:tab/>
        <w:t xml:space="preserve">Y </w:t>
      </w:r>
      <w:r w:rsidR="008F48FD" w:rsidRPr="00BA1B0E">
        <w:rPr>
          <w:rFonts w:cs="Arial"/>
          <w:color w:val="2E74B5" w:themeColor="accent1" w:themeShade="BF"/>
          <w:sz w:val="24"/>
          <w:szCs w:val="24"/>
          <w:lang w:val="es-MX"/>
        </w:rPr>
        <w:t>que,</w:t>
      </w:r>
      <w:r w:rsidRPr="00BA1B0E">
        <w:rPr>
          <w:rFonts w:cs="Arial"/>
          <w:color w:val="2E74B5" w:themeColor="accent1" w:themeShade="BF"/>
          <w:sz w:val="24"/>
          <w:szCs w:val="24"/>
          <w:lang w:val="es-MX"/>
        </w:rPr>
        <w:t xml:space="preserve"> por lo tanto, el </w:t>
      </w:r>
      <w:r w:rsidRPr="00BA1B0E">
        <w:rPr>
          <w:rFonts w:cs="Arial"/>
          <w:color w:val="2E74B5" w:themeColor="accent1" w:themeShade="BF"/>
          <w:sz w:val="24"/>
          <w:szCs w:val="24"/>
        </w:rPr>
        <w:t xml:space="preserve">ejercicio del derecho de acceso a la información es gratuito y </w:t>
      </w:r>
      <w:r w:rsidRPr="00BA1B0E">
        <w:rPr>
          <w:rFonts w:cs="Arial"/>
          <w:color w:val="2E74B5" w:themeColor="accent1" w:themeShade="BF"/>
          <w:sz w:val="24"/>
          <w:szCs w:val="24"/>
          <w:u w:val="single"/>
        </w:rPr>
        <w:t>sólo podrá requerirse el cobro correspondiente a la modalidad de reproducción y entrega solicitada</w:t>
      </w:r>
      <w:r w:rsidRPr="00BA1B0E">
        <w:rPr>
          <w:rFonts w:cs="Arial"/>
          <w:color w:val="2E74B5" w:themeColor="accent1" w:themeShade="BF"/>
          <w:sz w:val="24"/>
          <w:szCs w:val="24"/>
        </w:rPr>
        <w:t>.</w:t>
      </w:r>
    </w:p>
    <w:p w:rsidR="001B13A0" w:rsidRPr="00BA1B0E" w:rsidRDefault="001B13A0" w:rsidP="005616F4">
      <w:pPr>
        <w:pStyle w:val="corte4fondo"/>
        <w:spacing w:line="276" w:lineRule="auto"/>
        <w:ind w:firstLine="0"/>
        <w:rPr>
          <w:rFonts w:cs="Arial"/>
          <w:color w:val="2E74B5" w:themeColor="accent1" w:themeShade="BF"/>
          <w:sz w:val="24"/>
          <w:szCs w:val="24"/>
          <w:lang w:val="es-MX"/>
        </w:rPr>
      </w:pPr>
      <w:r w:rsidRPr="00BA1B0E">
        <w:rPr>
          <w:rFonts w:cs="Arial"/>
          <w:color w:val="2E74B5" w:themeColor="accent1" w:themeShade="BF"/>
          <w:sz w:val="24"/>
          <w:szCs w:val="24"/>
        </w:rPr>
        <w:t xml:space="preserve"> </w:t>
      </w:r>
    </w:p>
    <w:p w:rsidR="001B13A0" w:rsidRPr="00BA1B0E" w:rsidRDefault="001B13A0" w:rsidP="005616F4">
      <w:pPr>
        <w:pStyle w:val="corte4fondo"/>
        <w:tabs>
          <w:tab w:val="left" w:pos="0"/>
        </w:tabs>
        <w:spacing w:line="276" w:lineRule="auto"/>
        <w:ind w:firstLine="0"/>
        <w:rPr>
          <w:rFonts w:cs="Arial"/>
          <w:color w:val="2E74B5" w:themeColor="accent1" w:themeShade="BF"/>
          <w:sz w:val="24"/>
          <w:szCs w:val="24"/>
          <w:lang w:val="es-MX"/>
        </w:rPr>
      </w:pPr>
      <w:r w:rsidRPr="00BA1B0E">
        <w:rPr>
          <w:rFonts w:cs="Arial"/>
          <w:color w:val="2E74B5" w:themeColor="accent1" w:themeShade="BF"/>
          <w:sz w:val="24"/>
          <w:szCs w:val="24"/>
          <w:lang w:val="es-MX"/>
        </w:rPr>
        <w:tab/>
        <w:t>De ahí que p</w:t>
      </w:r>
      <w:r w:rsidRPr="00BA1B0E">
        <w:rPr>
          <w:rFonts w:cs="Arial"/>
          <w:color w:val="2E74B5" w:themeColor="accent1" w:themeShade="BF"/>
          <w:sz w:val="24"/>
          <w:szCs w:val="24"/>
        </w:rPr>
        <w:t>ara presentar una solicitud no se podrán exigir mayores requisitos</w:t>
      </w:r>
      <w:r w:rsidRPr="00BA1B0E">
        <w:rPr>
          <w:rFonts w:cs="Arial"/>
          <w:color w:val="2E74B5" w:themeColor="accent1" w:themeShade="BF"/>
          <w:sz w:val="24"/>
          <w:szCs w:val="24"/>
          <w:lang w:val="es-MX"/>
        </w:rPr>
        <w:t xml:space="preserve">, entre lo que se encuentra el de la </w:t>
      </w:r>
      <w:r w:rsidRPr="00BA1B0E">
        <w:rPr>
          <w:rFonts w:cs="Arial"/>
          <w:color w:val="2E74B5" w:themeColor="accent1" w:themeShade="BF"/>
          <w:sz w:val="24"/>
          <w:szCs w:val="24"/>
        </w:rPr>
        <w:t>modalidad en la que prefiere se otorgue el acceso a la información</w:t>
      </w:r>
      <w:r w:rsidRPr="00BA1B0E">
        <w:rPr>
          <w:rFonts w:cs="Arial"/>
          <w:color w:val="2E74B5" w:themeColor="accent1" w:themeShade="BF"/>
          <w:sz w:val="24"/>
          <w:szCs w:val="24"/>
          <w:lang w:val="es-MX"/>
        </w:rPr>
        <w:t xml:space="preserve">, por ello, </w:t>
      </w:r>
      <w:r w:rsidRPr="00BA1B0E">
        <w:rPr>
          <w:rFonts w:cs="Arial"/>
          <w:color w:val="2E74B5" w:themeColor="accent1" w:themeShade="BF"/>
          <w:sz w:val="24"/>
          <w:szCs w:val="24"/>
          <w:u w:val="single"/>
          <w:lang w:val="es-MX"/>
        </w:rPr>
        <w:t xml:space="preserve">la regla es que el </w:t>
      </w:r>
      <w:r w:rsidRPr="00BA1B0E">
        <w:rPr>
          <w:rFonts w:cs="Arial"/>
          <w:color w:val="2E74B5" w:themeColor="accent1" w:themeShade="BF"/>
          <w:sz w:val="24"/>
          <w:szCs w:val="24"/>
          <w:u w:val="single"/>
        </w:rPr>
        <w:t xml:space="preserve">acceso se dará en la modalidad de </w:t>
      </w:r>
      <w:r w:rsidRPr="00BA1B0E">
        <w:rPr>
          <w:rFonts w:cs="Arial"/>
          <w:color w:val="2E74B5" w:themeColor="accent1" w:themeShade="BF"/>
          <w:sz w:val="24"/>
          <w:szCs w:val="24"/>
          <w:u w:val="single"/>
          <w:lang w:val="es-MX"/>
        </w:rPr>
        <w:t xml:space="preserve">solicitada </w:t>
      </w:r>
      <w:r w:rsidRPr="00BA1B0E">
        <w:rPr>
          <w:rFonts w:cs="Arial"/>
          <w:color w:val="2E74B5" w:themeColor="accent1" w:themeShade="BF"/>
          <w:sz w:val="24"/>
          <w:szCs w:val="24"/>
        </w:rPr>
        <w:t>y, en su caso, de envío elegidos por el solicitante</w:t>
      </w:r>
      <w:r w:rsidRPr="00BA1B0E">
        <w:rPr>
          <w:rFonts w:cs="Arial"/>
          <w:color w:val="2E74B5" w:themeColor="accent1" w:themeShade="BF"/>
          <w:sz w:val="24"/>
          <w:szCs w:val="24"/>
          <w:lang w:val="es-MX"/>
        </w:rPr>
        <w:t xml:space="preserve"> y, </w:t>
      </w:r>
      <w:r w:rsidRPr="00BA1B0E">
        <w:rPr>
          <w:rFonts w:cs="Arial"/>
          <w:color w:val="2E74B5" w:themeColor="accent1" w:themeShade="BF"/>
          <w:sz w:val="24"/>
          <w:szCs w:val="24"/>
          <w:u w:val="single"/>
          <w:lang w:val="es-MX"/>
        </w:rPr>
        <w:t>la excepción es</w:t>
      </w:r>
      <w:r w:rsidRPr="00BA1B0E">
        <w:rPr>
          <w:rFonts w:cs="Arial"/>
          <w:color w:val="2E74B5" w:themeColor="accent1" w:themeShade="BF"/>
          <w:sz w:val="24"/>
          <w:szCs w:val="24"/>
          <w:u w:val="single"/>
        </w:rPr>
        <w:t xml:space="preserve"> cuando la información no pueda entregarse o enviarse en la modalidad elegida</w:t>
      </w:r>
      <w:r w:rsidRPr="00BA1B0E">
        <w:rPr>
          <w:rFonts w:cs="Arial"/>
          <w:color w:val="2E74B5" w:themeColor="accent1" w:themeShade="BF"/>
          <w:sz w:val="24"/>
          <w:szCs w:val="24"/>
        </w:rPr>
        <w:t xml:space="preserve">, el sujeto obligado deberá ofrecer otra u otras modalidades de entrega. </w:t>
      </w:r>
    </w:p>
    <w:p w:rsidR="001B13A0" w:rsidRPr="00BA1B0E" w:rsidRDefault="001B13A0" w:rsidP="005616F4">
      <w:pPr>
        <w:pStyle w:val="corte4fondo"/>
        <w:tabs>
          <w:tab w:val="left" w:pos="0"/>
        </w:tabs>
        <w:spacing w:line="276" w:lineRule="auto"/>
        <w:ind w:firstLine="0"/>
        <w:rPr>
          <w:rFonts w:cs="Arial"/>
          <w:color w:val="2E74B5" w:themeColor="accent1" w:themeShade="BF"/>
          <w:sz w:val="24"/>
          <w:szCs w:val="24"/>
          <w:lang w:val="es-MX"/>
        </w:rPr>
      </w:pPr>
    </w:p>
    <w:p w:rsidR="001B13A0" w:rsidRPr="00BA1B0E" w:rsidRDefault="001B13A0" w:rsidP="005616F4">
      <w:pPr>
        <w:pStyle w:val="corte4fondo"/>
        <w:tabs>
          <w:tab w:val="left" w:pos="0"/>
        </w:tabs>
        <w:spacing w:line="276" w:lineRule="auto"/>
        <w:ind w:firstLine="0"/>
        <w:rPr>
          <w:rFonts w:cs="Arial"/>
          <w:color w:val="2E74B5" w:themeColor="accent1" w:themeShade="BF"/>
          <w:sz w:val="24"/>
          <w:szCs w:val="24"/>
          <w:lang w:val="es-MX"/>
        </w:rPr>
      </w:pPr>
      <w:r w:rsidRPr="00BA1B0E">
        <w:rPr>
          <w:rFonts w:cs="Arial"/>
          <w:color w:val="2E74B5" w:themeColor="accent1" w:themeShade="BF"/>
          <w:sz w:val="24"/>
          <w:szCs w:val="24"/>
          <w:lang w:val="es-MX"/>
        </w:rPr>
        <w:tab/>
        <w:t>En el caso, la solicitud de información fue realizada por la solicitante a través de la Plataforma Nacional de Transparencia y, si ésta presentó la solicitud de información por medios electrónicos, entonces, se está en el supuesto de que la autoridad debe entregar la información peticionada por ese mismo medio.</w:t>
      </w:r>
    </w:p>
    <w:p w:rsidR="001B13A0" w:rsidRPr="00BA1B0E" w:rsidRDefault="001B13A0" w:rsidP="005616F4">
      <w:pPr>
        <w:pStyle w:val="corte4fondo"/>
        <w:tabs>
          <w:tab w:val="left" w:pos="0"/>
        </w:tabs>
        <w:spacing w:line="276" w:lineRule="auto"/>
        <w:ind w:firstLine="0"/>
        <w:rPr>
          <w:rFonts w:cs="Arial"/>
          <w:color w:val="2E74B5" w:themeColor="accent1" w:themeShade="BF"/>
          <w:sz w:val="24"/>
          <w:szCs w:val="24"/>
          <w:lang w:val="es-MX"/>
        </w:rPr>
      </w:pPr>
    </w:p>
    <w:p w:rsidR="001B13A0" w:rsidRPr="00BA1B0E" w:rsidRDefault="001B13A0" w:rsidP="005616F4">
      <w:pPr>
        <w:spacing w:after="0" w:line="276" w:lineRule="auto"/>
        <w:jc w:val="both"/>
        <w:rPr>
          <w:rFonts w:ascii="Arial" w:eastAsia="Times New Roman" w:hAnsi="Arial" w:cs="Arial"/>
          <w:color w:val="2E74B5" w:themeColor="accent1" w:themeShade="BF"/>
          <w:sz w:val="24"/>
          <w:szCs w:val="24"/>
        </w:rPr>
      </w:pPr>
      <w:r w:rsidRPr="00BA1B0E">
        <w:rPr>
          <w:rFonts w:ascii="Arial" w:hAnsi="Arial" w:cs="Arial"/>
          <w:color w:val="2E74B5" w:themeColor="accent1" w:themeShade="BF"/>
          <w:sz w:val="24"/>
          <w:szCs w:val="24"/>
        </w:rPr>
        <w:tab/>
        <w:t xml:space="preserve">Lo anterior, incluso encuentra sustento en </w:t>
      </w:r>
      <w:r w:rsidRPr="00BA1B0E">
        <w:rPr>
          <w:rFonts w:ascii="Arial" w:eastAsia="Times New Roman" w:hAnsi="Arial" w:cs="Arial"/>
          <w:color w:val="2E74B5" w:themeColor="accent1" w:themeShade="BF"/>
          <w:sz w:val="24"/>
          <w:szCs w:val="24"/>
        </w:rPr>
        <w:t>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1B13A0" w:rsidRPr="00BA1B0E" w:rsidRDefault="001B13A0" w:rsidP="005616F4">
      <w:pPr>
        <w:spacing w:after="0" w:line="276" w:lineRule="auto"/>
        <w:jc w:val="both"/>
        <w:rPr>
          <w:rFonts w:ascii="Arial" w:eastAsia="Times New Roman" w:hAnsi="Arial" w:cs="Arial"/>
          <w:color w:val="2E74B5" w:themeColor="accent1" w:themeShade="BF"/>
          <w:sz w:val="24"/>
          <w:szCs w:val="24"/>
        </w:rPr>
      </w:pPr>
    </w:p>
    <w:p w:rsidR="001B13A0" w:rsidRPr="00BA1B0E" w:rsidRDefault="001B13A0" w:rsidP="005616F4">
      <w:pPr>
        <w:autoSpaceDE w:val="0"/>
        <w:autoSpaceDN w:val="0"/>
        <w:adjustRightInd w:val="0"/>
        <w:spacing w:after="0" w:line="276" w:lineRule="auto"/>
        <w:ind w:left="708"/>
        <w:jc w:val="both"/>
        <w:rPr>
          <w:rFonts w:ascii="Arial" w:eastAsia="Times New Roman" w:hAnsi="Arial" w:cs="Arial"/>
          <w:color w:val="2E74B5" w:themeColor="accent1" w:themeShade="BF"/>
          <w:sz w:val="20"/>
          <w:szCs w:val="20"/>
          <w:lang w:eastAsia="es-MX"/>
        </w:rPr>
      </w:pPr>
      <w:r w:rsidRPr="00BA1B0E">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BA1B0E">
        <w:rPr>
          <w:rFonts w:ascii="Arial" w:eastAsia="Times New Roman" w:hAnsi="Arial" w:cs="Arial"/>
          <w:color w:val="2E74B5" w:themeColor="accent1" w:themeShade="BF"/>
          <w:sz w:val="20"/>
          <w:szCs w:val="20"/>
          <w:lang w:eastAsia="es-MX"/>
        </w:rPr>
        <w:t>El ejercicio del derecho</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de acceso a la información gubernamental no se entiende</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de forma abstracta y desvinculada a la forma en que los</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gobernados pueden allegarse de aquélla; destacándose que</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la modalidad de entrega de la información resulta de especial</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interés para hacer efectivo este derecho. En este sentido,</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la Comisión para la Transparencia y Acceso a la Información</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de la Suprema Corte de Justicia de la Nación (recurso de</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revisión 1/2005) determinó que el acceso a la información</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cuando esta fue la remisión por medios electrónicos,</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toda vez que el otorgamiento en una diversa puede constituir</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un obstáculo material para el ejercicio del derecho</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de acceso a la información tutelado en el artículo 6° constitucional.</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Por lo tanto, si el peticionario solicita por vía</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electrónica determinada información sin precisar la modalidad</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de su preferencia debe presumirse que la requiere</w:t>
      </w:r>
      <w:r w:rsidRPr="00BA1B0E">
        <w:rPr>
          <w:rFonts w:ascii="Arial" w:eastAsia="Times New Roman" w:hAnsi="Arial" w:cs="Arial"/>
          <w:b/>
          <w:bCs/>
          <w:color w:val="2E74B5" w:themeColor="accent1" w:themeShade="BF"/>
          <w:sz w:val="20"/>
          <w:szCs w:val="20"/>
          <w:lang w:eastAsia="es-MX"/>
        </w:rPr>
        <w:t xml:space="preserve"> </w:t>
      </w:r>
      <w:r w:rsidRPr="00BA1B0E">
        <w:rPr>
          <w:rFonts w:ascii="Arial" w:eastAsia="Times New Roman" w:hAnsi="Arial" w:cs="Arial"/>
          <w:color w:val="2E74B5" w:themeColor="accent1" w:themeShade="BF"/>
          <w:sz w:val="20"/>
          <w:szCs w:val="20"/>
          <w:lang w:eastAsia="es-MX"/>
        </w:rPr>
        <w:t>por esa misma vía.</w:t>
      </w:r>
    </w:p>
    <w:p w:rsidR="001B13A0" w:rsidRPr="00BA1B0E" w:rsidRDefault="001B13A0" w:rsidP="005616F4">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1B13A0" w:rsidRPr="00BA1B0E" w:rsidRDefault="001B13A0" w:rsidP="005616F4">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r w:rsidRPr="00BA1B0E">
        <w:rPr>
          <w:rFonts w:ascii="Arial" w:eastAsia="Times New Roman" w:hAnsi="Arial" w:cs="Arial"/>
          <w:bCs/>
          <w:color w:val="2E74B5" w:themeColor="accent1" w:themeShade="BF"/>
          <w:sz w:val="24"/>
          <w:szCs w:val="24"/>
          <w:lang w:eastAsia="es-MX"/>
        </w:rPr>
        <w:tab/>
        <w:t>Criterio que de conformidad con el artículo 7°</w:t>
      </w:r>
      <w:r w:rsidRPr="00BA1B0E">
        <w:rPr>
          <w:rFonts w:ascii="Arial" w:eastAsia="Times New Roman" w:hAnsi="Arial" w:cs="Arial"/>
          <w:bCs/>
          <w:color w:val="2E74B5" w:themeColor="accent1" w:themeShade="BF"/>
          <w:sz w:val="24"/>
          <w:szCs w:val="24"/>
          <w:vertAlign w:val="superscript"/>
          <w:lang w:eastAsia="es-MX"/>
        </w:rPr>
        <w:footnoteReference w:id="4"/>
      </w:r>
      <w:r w:rsidRPr="00BA1B0E">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1B13A0" w:rsidRPr="00BA1B0E" w:rsidRDefault="001B13A0" w:rsidP="005616F4">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1B13A0" w:rsidRPr="00BA1B0E" w:rsidRDefault="001B13A0" w:rsidP="005616F4">
      <w:pPr>
        <w:autoSpaceDE w:val="0"/>
        <w:autoSpaceDN w:val="0"/>
        <w:adjustRightInd w:val="0"/>
        <w:spacing w:after="0" w:line="276" w:lineRule="auto"/>
        <w:jc w:val="both"/>
        <w:rPr>
          <w:rFonts w:ascii="Arial" w:hAnsi="Arial" w:cs="Arial"/>
          <w:b/>
          <w:color w:val="2E74B5" w:themeColor="accent1" w:themeShade="BF"/>
          <w:sz w:val="24"/>
          <w:szCs w:val="24"/>
        </w:rPr>
      </w:pPr>
      <w:r w:rsidRPr="00BA1B0E">
        <w:rPr>
          <w:rFonts w:ascii="Arial" w:eastAsia="Times New Roman" w:hAnsi="Arial" w:cs="Arial"/>
          <w:bCs/>
          <w:color w:val="2E74B5" w:themeColor="accent1" w:themeShade="BF"/>
          <w:sz w:val="24"/>
          <w:szCs w:val="24"/>
          <w:lang w:eastAsia="es-MX"/>
        </w:rPr>
        <w:tab/>
        <w:t xml:space="preserve">Además, de que sólo en caso de que la autoridad no tenga la información en la modalidad solicitada, entonces </w:t>
      </w:r>
      <w:r w:rsidRPr="00BA1B0E">
        <w:rPr>
          <w:rFonts w:ascii="Arial" w:hAnsi="Arial" w:cs="Arial"/>
          <w:color w:val="2E74B5" w:themeColor="accent1" w:themeShade="BF"/>
          <w:sz w:val="24"/>
          <w:szCs w:val="24"/>
        </w:rPr>
        <w:t>debe pronunciarse sobre la imposición del artículo 165</w:t>
      </w:r>
      <w:r w:rsidRPr="00BA1B0E">
        <w:rPr>
          <w:rStyle w:val="Refdenotaalpie"/>
          <w:rFonts w:ascii="Arial" w:hAnsi="Arial" w:cs="Arial"/>
          <w:color w:val="2E74B5" w:themeColor="accent1" w:themeShade="BF"/>
          <w:sz w:val="24"/>
          <w:szCs w:val="24"/>
        </w:rPr>
        <w:footnoteReference w:id="5"/>
      </w:r>
      <w:r w:rsidRPr="00BA1B0E">
        <w:rPr>
          <w:rFonts w:ascii="Arial" w:hAnsi="Arial" w:cs="Arial"/>
          <w:color w:val="2E74B5" w:themeColor="accent1" w:themeShade="BF"/>
          <w:sz w:val="24"/>
          <w:szCs w:val="24"/>
        </w:rPr>
        <w:t xml:space="preserve">, segundo párrafo, de la Ley de Transparencia, que le impone la obligación de que, en caso de no poder entregar la información en la modalidad solicitada, entonces debe de expresar en su respuesta que la información va a ser entregada, sin costo –cuando implique la entrega de no más de veinte hojas simples, esto es, las primeras veinte hojas era de forma gratuita, ello para garantizar el acceso a la información en cuanto al principio de gratuidad– que en el caso no es aplicable lo </w:t>
      </w:r>
      <w:r w:rsidRPr="00BA1B0E">
        <w:rPr>
          <w:rFonts w:ascii="Arial" w:hAnsi="Arial" w:cs="Arial"/>
          <w:color w:val="2E74B5" w:themeColor="accent1" w:themeShade="BF"/>
          <w:sz w:val="24"/>
          <w:szCs w:val="24"/>
        </w:rPr>
        <w:lastRenderedPageBreak/>
        <w:t xml:space="preserve">último, pues en el caso, por no contestar en tiempo </w:t>
      </w:r>
      <w:r w:rsidRPr="00BA1B0E">
        <w:rPr>
          <w:rFonts w:ascii="Arial" w:hAnsi="Arial" w:cs="Arial"/>
          <w:b/>
          <w:color w:val="2E74B5" w:themeColor="accent1" w:themeShade="BF"/>
          <w:sz w:val="24"/>
          <w:szCs w:val="24"/>
        </w:rPr>
        <w:t>la autoridad debe de proporcionar toda la información de manera gratuita, es decir, que si va a entregar la información en una modalidad diferente a la electrónica, el costo de la reproducción de la información corre a cargo de la autoridad.</w:t>
      </w:r>
    </w:p>
    <w:p w:rsidR="001B13A0" w:rsidRPr="00BA1B0E" w:rsidRDefault="001B13A0" w:rsidP="005616F4">
      <w:pPr>
        <w:pStyle w:val="corte4fondo"/>
        <w:spacing w:line="276" w:lineRule="auto"/>
        <w:ind w:firstLine="0"/>
        <w:rPr>
          <w:rFonts w:cs="Arial"/>
          <w:bCs/>
          <w:color w:val="2E74B5" w:themeColor="accent1" w:themeShade="BF"/>
          <w:sz w:val="24"/>
          <w:szCs w:val="24"/>
          <w:lang w:val="es-MX"/>
        </w:rPr>
      </w:pPr>
    </w:p>
    <w:p w:rsidR="001B13A0" w:rsidRPr="00BA1B0E" w:rsidRDefault="001B13A0" w:rsidP="005616F4">
      <w:pPr>
        <w:pStyle w:val="corte4fondo"/>
        <w:tabs>
          <w:tab w:val="left" w:pos="567"/>
        </w:tabs>
        <w:spacing w:line="276" w:lineRule="auto"/>
        <w:ind w:firstLine="0"/>
        <w:rPr>
          <w:rFonts w:cs="Arial"/>
          <w:color w:val="2E74B5" w:themeColor="accent1" w:themeShade="BF"/>
          <w:sz w:val="24"/>
          <w:szCs w:val="24"/>
          <w:lang w:val="es-MX"/>
        </w:rPr>
      </w:pPr>
      <w:r w:rsidRPr="00BA1B0E">
        <w:rPr>
          <w:rFonts w:cs="Arial"/>
          <w:color w:val="2E74B5" w:themeColor="accent1" w:themeShade="BF"/>
          <w:sz w:val="24"/>
          <w:szCs w:val="24"/>
          <w:lang w:val="es-MX"/>
        </w:rPr>
        <w:tab/>
        <w:t>Por esa razón como regla debe de entregar la información en la modalidad en que fue solicitada y, como excepción en el estado en que se encuentre, de forma gratuita, por lo que los efectos de esta determinación, este órgano colegiado los precisará más adelante.</w:t>
      </w:r>
    </w:p>
    <w:p w:rsidR="00360D64" w:rsidRPr="00BA1B0E" w:rsidRDefault="00360D64" w:rsidP="005616F4">
      <w:pPr>
        <w:pStyle w:val="corte4fondo"/>
        <w:tabs>
          <w:tab w:val="left" w:pos="567"/>
        </w:tabs>
        <w:spacing w:line="276" w:lineRule="auto"/>
        <w:ind w:firstLine="0"/>
        <w:rPr>
          <w:rFonts w:cs="Arial"/>
          <w:color w:val="2E74B5" w:themeColor="accent1" w:themeShade="BF"/>
          <w:sz w:val="24"/>
          <w:szCs w:val="24"/>
          <w:lang w:val="es-MX"/>
        </w:rPr>
      </w:pPr>
    </w:p>
    <w:p w:rsidR="00360D64" w:rsidRPr="00BA1B0E" w:rsidRDefault="00360D64" w:rsidP="005616F4">
      <w:pPr>
        <w:pStyle w:val="corte4fondo"/>
        <w:spacing w:line="276" w:lineRule="auto"/>
        <w:ind w:firstLine="0"/>
        <w:rPr>
          <w:rFonts w:cs="Arial"/>
          <w:color w:val="2E74B5" w:themeColor="accent1" w:themeShade="BF"/>
          <w:sz w:val="24"/>
          <w:szCs w:val="24"/>
        </w:rPr>
      </w:pPr>
      <w:r w:rsidRPr="00BA1B0E">
        <w:rPr>
          <w:rFonts w:cs="Arial"/>
          <w:b/>
          <w:color w:val="2E74B5" w:themeColor="accent1" w:themeShade="BF"/>
          <w:sz w:val="24"/>
          <w:szCs w:val="24"/>
        </w:rPr>
        <w:t>7.4.</w:t>
      </w:r>
      <w:r w:rsidRPr="00BA1B0E">
        <w:rPr>
          <w:rFonts w:cs="Arial"/>
          <w:color w:val="2E74B5" w:themeColor="accent1" w:themeShade="BF"/>
          <w:sz w:val="24"/>
          <w:szCs w:val="24"/>
        </w:rPr>
        <w:t xml:space="preserve"> </w:t>
      </w:r>
      <w:r w:rsidRPr="00BA1B0E">
        <w:rPr>
          <w:rFonts w:cs="Arial"/>
          <w:b/>
          <w:color w:val="2E74B5" w:themeColor="accent1" w:themeShade="BF"/>
          <w:sz w:val="24"/>
          <w:szCs w:val="24"/>
        </w:rPr>
        <w:t>Inexistencia de la información</w:t>
      </w:r>
      <w:r w:rsidRPr="00BA1B0E">
        <w:rPr>
          <w:rFonts w:cs="Arial"/>
          <w:color w:val="2E74B5" w:themeColor="accent1" w:themeShade="BF"/>
          <w:sz w:val="24"/>
          <w:szCs w:val="24"/>
        </w:rPr>
        <w:t>.</w:t>
      </w:r>
    </w:p>
    <w:p w:rsidR="00360D64" w:rsidRPr="00BA1B0E" w:rsidRDefault="00360D64" w:rsidP="005616F4">
      <w:pPr>
        <w:pStyle w:val="corte4fondo"/>
        <w:spacing w:line="276" w:lineRule="auto"/>
        <w:ind w:firstLine="0"/>
        <w:rPr>
          <w:rFonts w:cs="Arial"/>
          <w:color w:val="2E74B5" w:themeColor="accent1" w:themeShade="BF"/>
          <w:sz w:val="24"/>
          <w:szCs w:val="24"/>
        </w:rPr>
      </w:pPr>
    </w:p>
    <w:p w:rsidR="00360D64" w:rsidRPr="00BA1B0E" w:rsidRDefault="00360D64" w:rsidP="005616F4">
      <w:pPr>
        <w:pStyle w:val="corte4fondo"/>
        <w:spacing w:line="276" w:lineRule="auto"/>
        <w:ind w:firstLine="0"/>
        <w:rPr>
          <w:rFonts w:cs="Arial"/>
          <w:color w:val="2E74B5" w:themeColor="accent1" w:themeShade="BF"/>
          <w:sz w:val="24"/>
          <w:szCs w:val="24"/>
        </w:rPr>
      </w:pPr>
      <w:r w:rsidRPr="00BA1B0E">
        <w:rPr>
          <w:rFonts w:cs="Arial"/>
          <w:color w:val="2E74B5" w:themeColor="accent1" w:themeShade="BF"/>
          <w:sz w:val="24"/>
          <w:szCs w:val="24"/>
        </w:rPr>
        <w:tab/>
        <w:t xml:space="preserve">Ahora, en caso de que el sujeto obligado señale que la información no existe, debe, de acuerdo al procedimiento establecido en la ley de la materia declarar formalmente la inexistencia de la misma de acuerdo al procedimiento establecido en la propia Ley de Transparencia y Acceso a la Información Pública del Estado y que ya quedó visto en párrafos anteriores. </w:t>
      </w:r>
    </w:p>
    <w:p w:rsidR="0032011E" w:rsidRPr="00BA1B0E" w:rsidRDefault="0032011E" w:rsidP="005616F4">
      <w:pPr>
        <w:pStyle w:val="corte4fondo"/>
        <w:tabs>
          <w:tab w:val="left" w:pos="567"/>
        </w:tabs>
        <w:spacing w:line="276" w:lineRule="auto"/>
        <w:ind w:firstLine="0"/>
        <w:rPr>
          <w:rFonts w:cs="Arial"/>
          <w:color w:val="2E74B5" w:themeColor="accent1" w:themeShade="BF"/>
          <w:sz w:val="24"/>
          <w:szCs w:val="24"/>
          <w:lang w:val="es-MX"/>
        </w:rPr>
      </w:pPr>
    </w:p>
    <w:p w:rsidR="0032011E" w:rsidRPr="00BA1B0E" w:rsidRDefault="00360D64" w:rsidP="005616F4">
      <w:pPr>
        <w:pStyle w:val="corte4fondo"/>
        <w:tabs>
          <w:tab w:val="left" w:pos="567"/>
        </w:tabs>
        <w:spacing w:line="276" w:lineRule="auto"/>
        <w:ind w:firstLine="0"/>
        <w:rPr>
          <w:rFonts w:cs="Arial"/>
          <w:color w:val="2E74B5" w:themeColor="accent1" w:themeShade="BF"/>
          <w:sz w:val="24"/>
          <w:szCs w:val="24"/>
          <w:lang w:val="es-MX"/>
        </w:rPr>
      </w:pPr>
      <w:r w:rsidRPr="00BA1B0E">
        <w:rPr>
          <w:rFonts w:cs="Arial"/>
          <w:b/>
          <w:color w:val="2E74B5" w:themeColor="accent1" w:themeShade="BF"/>
          <w:sz w:val="24"/>
          <w:szCs w:val="24"/>
          <w:lang w:val="es-MX"/>
        </w:rPr>
        <w:t>7.5</w:t>
      </w:r>
      <w:r w:rsidR="0032011E" w:rsidRPr="00BA1B0E">
        <w:rPr>
          <w:rFonts w:cs="Arial"/>
          <w:b/>
          <w:color w:val="2E74B5" w:themeColor="accent1" w:themeShade="BF"/>
          <w:sz w:val="24"/>
          <w:szCs w:val="24"/>
          <w:lang w:val="es-MX"/>
        </w:rPr>
        <w:t>. Sentido y efectos de esta resolución</w:t>
      </w:r>
      <w:r w:rsidR="0032011E" w:rsidRPr="00BA1B0E">
        <w:rPr>
          <w:rFonts w:cs="Arial"/>
          <w:color w:val="2E74B5" w:themeColor="accent1" w:themeShade="BF"/>
          <w:sz w:val="24"/>
          <w:szCs w:val="24"/>
          <w:lang w:val="es-MX"/>
        </w:rPr>
        <w:t>.</w:t>
      </w:r>
    </w:p>
    <w:p w:rsidR="0032011E" w:rsidRPr="00BA1B0E" w:rsidRDefault="0032011E" w:rsidP="005616F4">
      <w:pPr>
        <w:pStyle w:val="corte4fondo"/>
        <w:spacing w:line="276" w:lineRule="auto"/>
        <w:rPr>
          <w:rFonts w:cs="Arial"/>
          <w:color w:val="2E74B5" w:themeColor="accent1" w:themeShade="BF"/>
          <w:sz w:val="24"/>
          <w:szCs w:val="24"/>
          <w:lang w:val="es-MX"/>
        </w:rPr>
      </w:pPr>
    </w:p>
    <w:p w:rsidR="0032011E" w:rsidRPr="00BA1B0E" w:rsidRDefault="0032011E" w:rsidP="005616F4">
      <w:pPr>
        <w:pStyle w:val="corte4fondo"/>
        <w:tabs>
          <w:tab w:val="left" w:pos="567"/>
        </w:tabs>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 xml:space="preserve">En las condiciones anotadas y, al haber resultado fundado el agravio que hizo valer la recurrente, lo procedente es que esta Comisión Estatal de Garantía de Acceso a la Información Pública de conformidad con el artículo 164 de la Ley de Transparencia y Acceso a la Información Pública del Estado </w:t>
      </w:r>
      <w:r w:rsidRPr="00BA1B0E">
        <w:rPr>
          <w:rFonts w:cs="Arial"/>
          <w:b/>
          <w:color w:val="2E74B5" w:themeColor="accent1" w:themeShade="BF"/>
          <w:sz w:val="24"/>
          <w:szCs w:val="24"/>
          <w:lang w:val="es-MX"/>
        </w:rPr>
        <w:t>aplica el principio de afirmativa ficta</w:t>
      </w:r>
      <w:r w:rsidRPr="00BA1B0E">
        <w:rPr>
          <w:rFonts w:cs="Arial"/>
          <w:color w:val="2E74B5" w:themeColor="accent1" w:themeShade="BF"/>
          <w:sz w:val="24"/>
          <w:szCs w:val="24"/>
          <w:lang w:val="es-MX"/>
        </w:rPr>
        <w:t xml:space="preserve"> y por lo tanto conmina a los entes obligados para que entreguen al solicitante la información sobre:</w:t>
      </w:r>
    </w:p>
    <w:p w:rsidR="0032011E" w:rsidRPr="00BA1B0E" w:rsidRDefault="0032011E" w:rsidP="005616F4">
      <w:pPr>
        <w:pStyle w:val="corte4fondo"/>
        <w:tabs>
          <w:tab w:val="left" w:pos="567"/>
        </w:tabs>
        <w:spacing w:line="276" w:lineRule="auto"/>
        <w:rPr>
          <w:rFonts w:cs="Arial"/>
          <w:color w:val="2E74B5" w:themeColor="accent1" w:themeShade="BF"/>
          <w:sz w:val="24"/>
          <w:szCs w:val="24"/>
          <w:lang w:val="es-MX"/>
        </w:rPr>
      </w:pPr>
    </w:p>
    <w:p w:rsidR="0032011E" w:rsidRPr="00BA1B0E" w:rsidRDefault="0032011E" w:rsidP="005616F4">
      <w:pPr>
        <w:pStyle w:val="Prrafodelista"/>
        <w:numPr>
          <w:ilvl w:val="0"/>
          <w:numId w:val="11"/>
        </w:numPr>
        <w:spacing w:after="0"/>
        <w:jc w:val="both"/>
        <w:rPr>
          <w:rFonts w:ascii="Arial" w:hAnsi="Arial" w:cs="Arial"/>
          <w:i/>
          <w:color w:val="2E74B5" w:themeColor="accent1" w:themeShade="BF"/>
          <w:sz w:val="24"/>
          <w:szCs w:val="24"/>
        </w:rPr>
      </w:pPr>
      <w:r w:rsidRPr="00BA1B0E">
        <w:rPr>
          <w:rFonts w:ascii="Arial" w:hAnsi="Arial" w:cs="Arial"/>
          <w:i/>
          <w:color w:val="2E74B5" w:themeColor="accent1" w:themeShade="BF"/>
          <w:sz w:val="24"/>
          <w:szCs w:val="24"/>
        </w:rPr>
        <w:t>Devoluciones de recursos o reembolsos, los conceptos de los mismos y sus montos que haya recibido el Patronato de la Feria Nacional Potosina del 1 de enero de 2017 al 30 de enero de 2018.</w:t>
      </w:r>
    </w:p>
    <w:p w:rsidR="0032011E" w:rsidRPr="00BA1B0E" w:rsidRDefault="0032011E" w:rsidP="005616F4">
      <w:pPr>
        <w:pStyle w:val="corte4fondo"/>
        <w:tabs>
          <w:tab w:val="left" w:pos="567"/>
        </w:tabs>
        <w:spacing w:line="276" w:lineRule="auto"/>
        <w:ind w:left="1429" w:firstLine="0"/>
        <w:rPr>
          <w:rFonts w:cs="Arial"/>
          <w:color w:val="2E74B5" w:themeColor="accent1" w:themeShade="BF"/>
          <w:sz w:val="24"/>
          <w:szCs w:val="24"/>
          <w:lang w:val="es-MX"/>
        </w:rPr>
      </w:pPr>
    </w:p>
    <w:p w:rsidR="0032011E" w:rsidRPr="00BA1B0E" w:rsidRDefault="00360D64" w:rsidP="005616F4">
      <w:pPr>
        <w:pStyle w:val="corte4fondo"/>
        <w:tabs>
          <w:tab w:val="left" w:pos="567"/>
        </w:tabs>
        <w:spacing w:line="276" w:lineRule="auto"/>
        <w:ind w:firstLine="0"/>
        <w:rPr>
          <w:rFonts w:cs="Arial"/>
          <w:b/>
          <w:color w:val="2E74B5" w:themeColor="accent1" w:themeShade="BF"/>
          <w:sz w:val="24"/>
          <w:szCs w:val="24"/>
          <w:lang w:val="es-MX"/>
        </w:rPr>
      </w:pPr>
      <w:r w:rsidRPr="00BA1B0E">
        <w:rPr>
          <w:rFonts w:cs="Arial"/>
          <w:b/>
          <w:color w:val="2E74B5" w:themeColor="accent1" w:themeShade="BF"/>
          <w:sz w:val="24"/>
          <w:szCs w:val="24"/>
          <w:lang w:val="es-MX"/>
        </w:rPr>
        <w:t>7</w:t>
      </w:r>
      <w:r w:rsidR="0032011E" w:rsidRPr="00BA1B0E">
        <w:rPr>
          <w:rFonts w:cs="Arial"/>
          <w:b/>
          <w:color w:val="2E74B5" w:themeColor="accent1" w:themeShade="BF"/>
          <w:sz w:val="24"/>
          <w:szCs w:val="24"/>
          <w:lang w:val="es-MX"/>
        </w:rPr>
        <w:t>.</w:t>
      </w:r>
      <w:r w:rsidRPr="00BA1B0E">
        <w:rPr>
          <w:rFonts w:cs="Arial"/>
          <w:b/>
          <w:color w:val="2E74B5" w:themeColor="accent1" w:themeShade="BF"/>
          <w:sz w:val="24"/>
          <w:szCs w:val="24"/>
          <w:lang w:val="es-MX"/>
        </w:rPr>
        <w:t>6</w:t>
      </w:r>
      <w:r w:rsidR="0032011E" w:rsidRPr="00BA1B0E">
        <w:rPr>
          <w:rFonts w:cs="Arial"/>
          <w:b/>
          <w:color w:val="2E74B5" w:themeColor="accent1" w:themeShade="BF"/>
          <w:sz w:val="24"/>
          <w:szCs w:val="24"/>
          <w:lang w:val="es-MX"/>
        </w:rPr>
        <w:t xml:space="preserve"> Precisiones de esta resolución.</w:t>
      </w:r>
    </w:p>
    <w:p w:rsidR="0032011E" w:rsidRPr="00BA1B0E" w:rsidRDefault="0032011E" w:rsidP="005616F4">
      <w:pPr>
        <w:pStyle w:val="corte4fondo"/>
        <w:tabs>
          <w:tab w:val="left" w:pos="567"/>
        </w:tabs>
        <w:spacing w:line="276" w:lineRule="auto"/>
        <w:ind w:firstLine="0"/>
        <w:rPr>
          <w:rFonts w:cs="Arial"/>
          <w:b/>
          <w:color w:val="2E74B5" w:themeColor="accent1" w:themeShade="BF"/>
          <w:sz w:val="24"/>
          <w:szCs w:val="24"/>
          <w:lang w:val="es-MX"/>
        </w:rPr>
      </w:pPr>
      <w:r w:rsidRPr="00BA1B0E">
        <w:rPr>
          <w:rFonts w:cs="Arial"/>
          <w:b/>
          <w:color w:val="2E74B5" w:themeColor="accent1" w:themeShade="BF"/>
          <w:sz w:val="24"/>
          <w:szCs w:val="24"/>
          <w:lang w:val="es-MX"/>
        </w:rPr>
        <w:tab/>
      </w:r>
    </w:p>
    <w:p w:rsidR="0032011E" w:rsidRPr="00BA1B0E" w:rsidRDefault="0032011E" w:rsidP="005616F4">
      <w:pPr>
        <w:pStyle w:val="corte4fondo"/>
        <w:tabs>
          <w:tab w:val="left" w:pos="567"/>
        </w:tabs>
        <w:spacing w:line="276" w:lineRule="auto"/>
        <w:ind w:firstLine="0"/>
        <w:rPr>
          <w:rFonts w:cs="Arial"/>
          <w:color w:val="2E74B5" w:themeColor="accent1" w:themeShade="BF"/>
          <w:sz w:val="24"/>
          <w:szCs w:val="24"/>
          <w:lang w:val="es-MX"/>
        </w:rPr>
      </w:pPr>
      <w:r w:rsidRPr="00BA1B0E">
        <w:rPr>
          <w:rFonts w:cs="Arial"/>
          <w:b/>
          <w:color w:val="2E74B5" w:themeColor="accent1" w:themeShade="BF"/>
          <w:sz w:val="24"/>
          <w:szCs w:val="24"/>
          <w:lang w:val="es-MX"/>
        </w:rPr>
        <w:tab/>
      </w:r>
      <w:r w:rsidRPr="00BA1B0E">
        <w:rPr>
          <w:rFonts w:cs="Arial"/>
          <w:color w:val="2E74B5" w:themeColor="accent1" w:themeShade="BF"/>
          <w:sz w:val="24"/>
          <w:szCs w:val="24"/>
          <w:lang w:val="es-MX"/>
        </w:rPr>
        <w:t>De conformidad con la última parte del artículo 176 de la Ley de Transparencia está Comisión de Transparencia establece los siguientes términos para el cumplimiento de la resolución por parte de los sujetos obligados:</w:t>
      </w:r>
    </w:p>
    <w:p w:rsidR="00360D64" w:rsidRPr="00BA1B0E" w:rsidRDefault="00360D64" w:rsidP="005616F4">
      <w:pPr>
        <w:pStyle w:val="corte4fondo"/>
        <w:tabs>
          <w:tab w:val="left" w:pos="567"/>
        </w:tabs>
        <w:spacing w:line="276" w:lineRule="auto"/>
        <w:ind w:firstLine="0"/>
        <w:rPr>
          <w:rFonts w:cs="Arial"/>
          <w:color w:val="2E74B5" w:themeColor="accent1" w:themeShade="BF"/>
          <w:sz w:val="24"/>
          <w:szCs w:val="24"/>
          <w:lang w:val="es-MX"/>
        </w:rPr>
      </w:pPr>
    </w:p>
    <w:p w:rsidR="00360D64" w:rsidRPr="00BA1B0E" w:rsidRDefault="00360D64" w:rsidP="005616F4">
      <w:pPr>
        <w:pStyle w:val="corte4fondo"/>
        <w:numPr>
          <w:ilvl w:val="0"/>
          <w:numId w:val="10"/>
        </w:numPr>
        <w:tabs>
          <w:tab w:val="left" w:pos="567"/>
        </w:tabs>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t xml:space="preserve">En cuanto a lo ordenado, se reitera que la información debe de entregarse en la modalidad solicitada y, en caso de que el sujeto obligado no contenga la información en esa modalidad, entonces deberá de permitir la reproducción gratuita. En el entendido de que en el último supuesto deberá de proporcionar lugar y horarios de atención al público, personas que lo atenderán, así como todos aquéllos elementos que permitan y faciliten el pago y la entrega de la información. </w:t>
      </w:r>
    </w:p>
    <w:p w:rsidR="00360D64" w:rsidRPr="00BA1B0E" w:rsidRDefault="00360D64" w:rsidP="005616F4">
      <w:pPr>
        <w:pStyle w:val="corte4fondo"/>
        <w:tabs>
          <w:tab w:val="left" w:pos="567"/>
        </w:tabs>
        <w:spacing w:line="276" w:lineRule="auto"/>
        <w:ind w:left="720" w:firstLine="0"/>
        <w:rPr>
          <w:rFonts w:cs="Arial"/>
          <w:color w:val="2E74B5" w:themeColor="accent1" w:themeShade="BF"/>
          <w:sz w:val="24"/>
          <w:szCs w:val="24"/>
          <w:lang w:val="es-MX"/>
        </w:rPr>
      </w:pPr>
    </w:p>
    <w:p w:rsidR="00360D64" w:rsidRPr="00BA1B0E" w:rsidRDefault="00360D64" w:rsidP="005616F4">
      <w:pPr>
        <w:pStyle w:val="corte4fondo"/>
        <w:numPr>
          <w:ilvl w:val="0"/>
          <w:numId w:val="10"/>
        </w:numPr>
        <w:tabs>
          <w:tab w:val="left" w:pos="567"/>
        </w:tabs>
        <w:spacing w:line="276" w:lineRule="auto"/>
        <w:rPr>
          <w:rFonts w:cs="Arial"/>
          <w:color w:val="2E74B5" w:themeColor="accent1" w:themeShade="BF"/>
          <w:sz w:val="24"/>
          <w:szCs w:val="24"/>
          <w:lang w:val="es-MX"/>
        </w:rPr>
      </w:pPr>
      <w:r w:rsidRPr="00BA1B0E">
        <w:rPr>
          <w:rFonts w:cs="Arial"/>
          <w:color w:val="2E74B5" w:themeColor="accent1" w:themeShade="BF"/>
          <w:sz w:val="24"/>
          <w:szCs w:val="24"/>
          <w:lang w:val="es-MX"/>
        </w:rPr>
        <w:lastRenderedPageBreak/>
        <w:t>El sujeto obligado deberá de cuidar en todo momento que la información que entregará no contenga datos personales o confidenciales, pues en caso de contener información con esos datos, deberá de elaborar la versión pública.</w:t>
      </w:r>
    </w:p>
    <w:p w:rsidR="0032011E" w:rsidRPr="00BA1B0E" w:rsidRDefault="0032011E" w:rsidP="005616F4">
      <w:pPr>
        <w:pStyle w:val="corte4fondo"/>
        <w:tabs>
          <w:tab w:val="left" w:pos="567"/>
        </w:tabs>
        <w:spacing w:line="276" w:lineRule="auto"/>
        <w:ind w:firstLine="0"/>
        <w:rPr>
          <w:rFonts w:cs="Arial"/>
          <w:color w:val="2E74B5" w:themeColor="accent1" w:themeShade="BF"/>
          <w:sz w:val="24"/>
          <w:szCs w:val="24"/>
          <w:lang w:val="es-MX"/>
        </w:rPr>
      </w:pPr>
    </w:p>
    <w:p w:rsidR="00360D64" w:rsidRPr="00BA1B0E" w:rsidRDefault="00360D64" w:rsidP="005616F4">
      <w:pPr>
        <w:pStyle w:val="corte4fondo"/>
        <w:numPr>
          <w:ilvl w:val="0"/>
          <w:numId w:val="10"/>
        </w:numPr>
        <w:tabs>
          <w:tab w:val="left" w:pos="567"/>
        </w:tabs>
        <w:spacing w:line="276" w:lineRule="auto"/>
        <w:rPr>
          <w:rFonts w:cs="Arial"/>
          <w:color w:val="2E74B5" w:themeColor="accent1" w:themeShade="BF"/>
          <w:sz w:val="24"/>
          <w:szCs w:val="24"/>
        </w:rPr>
      </w:pPr>
      <w:r w:rsidRPr="00BA1B0E">
        <w:rPr>
          <w:rFonts w:cs="Arial"/>
          <w:color w:val="2E74B5" w:themeColor="accent1" w:themeShade="BF"/>
          <w:sz w:val="24"/>
          <w:szCs w:val="24"/>
        </w:rPr>
        <w:t>En caso de que el sujeto obligado no contenga la información, entonces deberá de justificarlo en términos de los artículos 18, 19 y 20 de la Ley de Transparencia.</w:t>
      </w:r>
    </w:p>
    <w:p w:rsidR="0032011E" w:rsidRPr="00BA1B0E" w:rsidRDefault="0032011E" w:rsidP="005616F4">
      <w:pPr>
        <w:pStyle w:val="corte4fondo"/>
        <w:tabs>
          <w:tab w:val="left" w:pos="567"/>
        </w:tabs>
        <w:spacing w:line="276" w:lineRule="auto"/>
        <w:ind w:left="567" w:firstLine="0"/>
        <w:rPr>
          <w:rFonts w:cs="Arial"/>
          <w:color w:val="2E74B5" w:themeColor="accent1" w:themeShade="BF"/>
          <w:sz w:val="24"/>
          <w:szCs w:val="24"/>
          <w:lang w:val="es-MX"/>
        </w:rPr>
      </w:pPr>
    </w:p>
    <w:p w:rsidR="0032011E" w:rsidRPr="00BA1B0E" w:rsidRDefault="00360D64" w:rsidP="005616F4">
      <w:pPr>
        <w:spacing w:after="0" w:line="276" w:lineRule="auto"/>
        <w:jc w:val="both"/>
        <w:rPr>
          <w:rFonts w:ascii="Arial" w:eastAsia="Times New Roman" w:hAnsi="Arial" w:cs="Arial"/>
          <w:b/>
          <w:color w:val="2E74B5" w:themeColor="accent1" w:themeShade="BF"/>
          <w:sz w:val="24"/>
          <w:szCs w:val="24"/>
          <w:lang w:eastAsia="es-MX"/>
        </w:rPr>
      </w:pPr>
      <w:r w:rsidRPr="00BA1B0E">
        <w:rPr>
          <w:rFonts w:ascii="Arial" w:eastAsia="Times New Roman" w:hAnsi="Arial" w:cs="Arial"/>
          <w:b/>
          <w:color w:val="2E74B5" w:themeColor="accent1" w:themeShade="BF"/>
          <w:sz w:val="24"/>
          <w:szCs w:val="24"/>
          <w:lang w:eastAsia="es-MX"/>
        </w:rPr>
        <w:t>7.7</w:t>
      </w:r>
      <w:r w:rsidR="0032011E" w:rsidRPr="00BA1B0E">
        <w:rPr>
          <w:rFonts w:ascii="Arial" w:eastAsia="Times New Roman" w:hAnsi="Arial" w:cs="Arial"/>
          <w:b/>
          <w:color w:val="2E74B5" w:themeColor="accent1" w:themeShade="BF"/>
          <w:sz w:val="24"/>
          <w:szCs w:val="24"/>
          <w:lang w:eastAsia="es-MX"/>
        </w:rPr>
        <w:t>. Plazo de diez días hábiles para el cumplimento de esta resolución.</w:t>
      </w:r>
    </w:p>
    <w:p w:rsidR="0032011E" w:rsidRPr="00BA1B0E" w:rsidRDefault="0032011E" w:rsidP="005616F4">
      <w:pPr>
        <w:spacing w:after="0" w:line="276" w:lineRule="auto"/>
        <w:jc w:val="both"/>
        <w:rPr>
          <w:rFonts w:ascii="Arial" w:eastAsia="Times New Roman" w:hAnsi="Arial" w:cs="Arial"/>
          <w:b/>
          <w:color w:val="2E74B5" w:themeColor="accent1" w:themeShade="BF"/>
          <w:sz w:val="24"/>
          <w:szCs w:val="24"/>
          <w:lang w:eastAsia="es-MX"/>
        </w:rPr>
      </w:pPr>
    </w:p>
    <w:p w:rsidR="0032011E" w:rsidRPr="00BA1B0E" w:rsidRDefault="0032011E" w:rsidP="005616F4">
      <w:pPr>
        <w:pStyle w:val="Prrafodelista"/>
        <w:spacing w:after="0"/>
        <w:ind w:left="720"/>
        <w:jc w:val="both"/>
        <w:rPr>
          <w:rFonts w:ascii="Arial" w:eastAsia="Times New Roman" w:hAnsi="Arial" w:cs="Arial"/>
          <w:color w:val="2E74B5" w:themeColor="accent1" w:themeShade="BF"/>
          <w:sz w:val="24"/>
          <w:szCs w:val="24"/>
          <w:lang w:eastAsia="es-MX"/>
        </w:rPr>
      </w:pPr>
      <w:r w:rsidRPr="00BA1B0E">
        <w:rPr>
          <w:rFonts w:ascii="Arial" w:eastAsia="Times New Roman" w:hAnsi="Arial" w:cs="Arial"/>
          <w:color w:val="2E74B5" w:themeColor="accent1" w:themeShade="BF"/>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32011E" w:rsidRPr="00BA1B0E" w:rsidRDefault="0032011E" w:rsidP="005616F4">
      <w:pPr>
        <w:pStyle w:val="Prrafodelista"/>
        <w:spacing w:after="0"/>
        <w:ind w:left="720"/>
        <w:jc w:val="both"/>
        <w:rPr>
          <w:rFonts w:ascii="Arial" w:eastAsia="Times New Roman" w:hAnsi="Arial" w:cs="Arial"/>
          <w:color w:val="2E74B5" w:themeColor="accent1" w:themeShade="BF"/>
          <w:sz w:val="24"/>
          <w:szCs w:val="24"/>
          <w:lang w:eastAsia="es-MX"/>
        </w:rPr>
      </w:pPr>
    </w:p>
    <w:p w:rsidR="0032011E" w:rsidRPr="00BA1B0E" w:rsidRDefault="00360D64" w:rsidP="005616F4">
      <w:pPr>
        <w:spacing w:after="0" w:line="276" w:lineRule="auto"/>
        <w:jc w:val="both"/>
        <w:rPr>
          <w:rFonts w:ascii="Arial" w:eastAsia="Times New Roman" w:hAnsi="Arial" w:cs="Arial"/>
          <w:b/>
          <w:color w:val="2E74B5" w:themeColor="accent1" w:themeShade="BF"/>
          <w:sz w:val="24"/>
          <w:szCs w:val="24"/>
          <w:lang w:eastAsia="es-MX"/>
        </w:rPr>
      </w:pPr>
      <w:r w:rsidRPr="00BA1B0E">
        <w:rPr>
          <w:rFonts w:ascii="Arial" w:eastAsia="Times New Roman" w:hAnsi="Arial" w:cs="Arial"/>
          <w:b/>
          <w:color w:val="2E74B5" w:themeColor="accent1" w:themeShade="BF"/>
          <w:sz w:val="24"/>
          <w:szCs w:val="24"/>
          <w:lang w:eastAsia="es-MX"/>
        </w:rPr>
        <w:t>7.8</w:t>
      </w:r>
      <w:r w:rsidR="0032011E" w:rsidRPr="00BA1B0E">
        <w:rPr>
          <w:rFonts w:ascii="Arial" w:eastAsia="Times New Roman" w:hAnsi="Arial" w:cs="Arial"/>
          <w:b/>
          <w:color w:val="2E74B5" w:themeColor="accent1" w:themeShade="BF"/>
          <w:sz w:val="24"/>
          <w:szCs w:val="24"/>
          <w:lang w:eastAsia="es-MX"/>
        </w:rPr>
        <w:t>. Informe sobre el cumplimento a la resolución dentro del plazo de tres días hábiles.</w:t>
      </w:r>
    </w:p>
    <w:p w:rsidR="0032011E" w:rsidRPr="00BA1B0E" w:rsidRDefault="0032011E" w:rsidP="005616F4">
      <w:pPr>
        <w:spacing w:after="0" w:line="276" w:lineRule="auto"/>
        <w:jc w:val="both"/>
        <w:rPr>
          <w:rFonts w:ascii="Arial" w:eastAsia="Times New Roman" w:hAnsi="Arial" w:cs="Arial"/>
          <w:b/>
          <w:color w:val="2E74B5" w:themeColor="accent1" w:themeShade="BF"/>
          <w:sz w:val="24"/>
          <w:szCs w:val="24"/>
          <w:lang w:eastAsia="es-MX"/>
        </w:rPr>
      </w:pPr>
    </w:p>
    <w:p w:rsidR="0032011E" w:rsidRPr="00BA1B0E" w:rsidRDefault="0032011E" w:rsidP="005616F4">
      <w:pPr>
        <w:pStyle w:val="Prrafodelista"/>
        <w:spacing w:after="0"/>
        <w:ind w:left="720"/>
        <w:jc w:val="both"/>
        <w:rPr>
          <w:rFonts w:ascii="Arial" w:eastAsia="Times New Roman" w:hAnsi="Arial" w:cs="Arial"/>
          <w:color w:val="2E74B5" w:themeColor="accent1" w:themeShade="BF"/>
          <w:sz w:val="24"/>
          <w:szCs w:val="24"/>
          <w:lang w:eastAsia="es-MX"/>
        </w:rPr>
      </w:pPr>
      <w:r w:rsidRPr="00BA1B0E">
        <w:rPr>
          <w:rFonts w:ascii="Arial" w:eastAsia="Times New Roman" w:hAnsi="Arial" w:cs="Arial"/>
          <w:color w:val="2E74B5" w:themeColor="accent1" w:themeShade="BF"/>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32011E" w:rsidRPr="00BA1B0E" w:rsidRDefault="0032011E" w:rsidP="005616F4">
      <w:pPr>
        <w:pStyle w:val="Prrafodelista"/>
        <w:spacing w:after="0"/>
        <w:ind w:left="720"/>
        <w:jc w:val="both"/>
        <w:rPr>
          <w:rFonts w:ascii="Arial" w:eastAsia="Times New Roman" w:hAnsi="Arial" w:cs="Arial"/>
          <w:color w:val="2E74B5" w:themeColor="accent1" w:themeShade="BF"/>
          <w:sz w:val="24"/>
          <w:szCs w:val="24"/>
          <w:lang w:eastAsia="es-MX"/>
        </w:rPr>
      </w:pPr>
    </w:p>
    <w:p w:rsidR="0032011E" w:rsidRPr="00BA1B0E" w:rsidRDefault="00360D64" w:rsidP="005616F4">
      <w:pPr>
        <w:spacing w:after="0" w:line="276" w:lineRule="auto"/>
        <w:jc w:val="both"/>
        <w:rPr>
          <w:rFonts w:ascii="Arial" w:eastAsia="Times New Roman" w:hAnsi="Arial" w:cs="Arial"/>
          <w:b/>
          <w:color w:val="2E74B5" w:themeColor="accent1" w:themeShade="BF"/>
          <w:sz w:val="24"/>
          <w:szCs w:val="24"/>
          <w:lang w:eastAsia="es-MX"/>
        </w:rPr>
      </w:pPr>
      <w:r w:rsidRPr="00BA1B0E">
        <w:rPr>
          <w:rFonts w:ascii="Arial" w:eastAsia="Times New Roman" w:hAnsi="Arial" w:cs="Arial"/>
          <w:b/>
          <w:color w:val="2E74B5" w:themeColor="accent1" w:themeShade="BF"/>
          <w:sz w:val="24"/>
          <w:szCs w:val="24"/>
          <w:lang w:eastAsia="es-MX"/>
        </w:rPr>
        <w:t>7.9</w:t>
      </w:r>
      <w:r w:rsidR="0032011E" w:rsidRPr="00BA1B0E">
        <w:rPr>
          <w:rFonts w:ascii="Arial" w:eastAsia="Times New Roman" w:hAnsi="Arial" w:cs="Arial"/>
          <w:b/>
          <w:color w:val="2E74B5" w:themeColor="accent1" w:themeShade="BF"/>
          <w:sz w:val="24"/>
          <w:szCs w:val="24"/>
          <w:lang w:eastAsia="es-MX"/>
        </w:rPr>
        <w:t>. Medida de apremio en caso de incumplimiento a la resolución.</w:t>
      </w:r>
    </w:p>
    <w:p w:rsidR="0032011E" w:rsidRPr="00BA1B0E" w:rsidRDefault="0032011E" w:rsidP="005616F4">
      <w:pPr>
        <w:spacing w:after="0" w:line="276" w:lineRule="auto"/>
        <w:jc w:val="both"/>
        <w:rPr>
          <w:rFonts w:ascii="Arial" w:eastAsia="Times New Roman" w:hAnsi="Arial" w:cs="Arial"/>
          <w:b/>
          <w:color w:val="2E74B5" w:themeColor="accent1" w:themeShade="BF"/>
          <w:sz w:val="24"/>
          <w:szCs w:val="24"/>
          <w:lang w:eastAsia="es-MX"/>
        </w:rPr>
      </w:pPr>
    </w:p>
    <w:p w:rsidR="0032011E" w:rsidRPr="00BA1B0E" w:rsidRDefault="0032011E" w:rsidP="005616F4">
      <w:pPr>
        <w:pStyle w:val="Prrafodelista"/>
        <w:spacing w:after="0"/>
        <w:ind w:left="720"/>
        <w:jc w:val="both"/>
        <w:rPr>
          <w:rFonts w:ascii="Arial" w:eastAsia="Times New Roman" w:hAnsi="Arial" w:cs="Arial"/>
          <w:color w:val="2E74B5" w:themeColor="accent1" w:themeShade="BF"/>
          <w:sz w:val="24"/>
          <w:szCs w:val="24"/>
          <w:lang w:eastAsia="es-MX"/>
        </w:rPr>
      </w:pPr>
      <w:r w:rsidRPr="00BA1B0E">
        <w:rPr>
          <w:rFonts w:ascii="Arial" w:eastAsia="Times New Roman" w:hAnsi="Arial" w:cs="Arial"/>
          <w:color w:val="2E74B5" w:themeColor="accent1" w:themeShade="BF"/>
          <w:sz w:val="24"/>
          <w:szCs w:val="24"/>
          <w:lang w:eastAsia="es-MX"/>
        </w:rPr>
        <w:t>Esta Comisión Estatal de Garantía de Acceso a la Información Pública apercibe al sujeto 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w:t>
      </w:r>
    </w:p>
    <w:p w:rsidR="0032011E" w:rsidRPr="00BA1B0E" w:rsidRDefault="0032011E" w:rsidP="005616F4">
      <w:pPr>
        <w:pStyle w:val="Prrafodelista"/>
        <w:spacing w:after="0"/>
        <w:ind w:left="720"/>
        <w:jc w:val="both"/>
        <w:rPr>
          <w:rFonts w:ascii="Arial" w:eastAsia="Times New Roman" w:hAnsi="Arial" w:cs="Arial"/>
          <w:color w:val="2E74B5" w:themeColor="accent1" w:themeShade="BF"/>
          <w:sz w:val="24"/>
          <w:szCs w:val="24"/>
          <w:lang w:eastAsia="es-MX"/>
        </w:rPr>
      </w:pPr>
    </w:p>
    <w:p w:rsidR="0032011E" w:rsidRPr="00BA1B0E" w:rsidRDefault="0032011E" w:rsidP="005616F4">
      <w:pPr>
        <w:spacing w:after="0" w:line="276" w:lineRule="auto"/>
        <w:jc w:val="both"/>
        <w:rPr>
          <w:rFonts w:ascii="Arial" w:eastAsia="Times New Roman" w:hAnsi="Arial" w:cs="Arial"/>
          <w:b/>
          <w:color w:val="2E74B5" w:themeColor="accent1" w:themeShade="BF"/>
          <w:sz w:val="24"/>
          <w:szCs w:val="24"/>
          <w:lang w:eastAsia="es-MX"/>
        </w:rPr>
      </w:pPr>
      <w:r w:rsidRPr="00BA1B0E">
        <w:rPr>
          <w:rFonts w:ascii="Arial" w:eastAsia="Times New Roman" w:hAnsi="Arial" w:cs="Arial"/>
          <w:b/>
          <w:color w:val="2E74B5" w:themeColor="accent1" w:themeShade="BF"/>
          <w:sz w:val="24"/>
          <w:szCs w:val="24"/>
          <w:lang w:eastAsia="es-MX"/>
        </w:rPr>
        <w:t>Medios de impugnación.</w:t>
      </w:r>
    </w:p>
    <w:p w:rsidR="0032011E" w:rsidRPr="00BA1B0E" w:rsidRDefault="0032011E" w:rsidP="005616F4">
      <w:pPr>
        <w:spacing w:after="0" w:line="276" w:lineRule="auto"/>
        <w:jc w:val="both"/>
        <w:rPr>
          <w:rFonts w:ascii="Arial" w:eastAsia="Times New Roman" w:hAnsi="Arial" w:cs="Arial"/>
          <w:b/>
          <w:color w:val="2E74B5" w:themeColor="accent1" w:themeShade="BF"/>
          <w:sz w:val="24"/>
          <w:szCs w:val="24"/>
          <w:lang w:eastAsia="es-MX"/>
        </w:rPr>
      </w:pPr>
    </w:p>
    <w:p w:rsidR="0032011E" w:rsidRPr="00BA1B0E" w:rsidRDefault="0032011E" w:rsidP="005616F4">
      <w:pPr>
        <w:pStyle w:val="Prrafodelista"/>
        <w:spacing w:after="0"/>
        <w:ind w:left="720"/>
        <w:jc w:val="both"/>
        <w:rPr>
          <w:rFonts w:ascii="Arial" w:eastAsia="Times New Roman" w:hAnsi="Arial" w:cs="Arial"/>
          <w:color w:val="2E74B5" w:themeColor="accent1" w:themeShade="BF"/>
          <w:sz w:val="24"/>
          <w:szCs w:val="24"/>
          <w:lang w:eastAsia="es-MX"/>
        </w:rPr>
      </w:pPr>
      <w:r w:rsidRPr="00BA1B0E">
        <w:rPr>
          <w:rFonts w:ascii="Arial" w:eastAsia="Times New Roman" w:hAnsi="Arial" w:cs="Arial"/>
          <w:color w:val="2E74B5" w:themeColor="accent1" w:themeShade="BF"/>
          <w:sz w:val="24"/>
          <w:szCs w:val="24"/>
          <w:lang w:eastAsia="es-MX"/>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32011E" w:rsidRPr="00BA1B0E" w:rsidRDefault="0032011E" w:rsidP="005616F4">
      <w:pPr>
        <w:pStyle w:val="corte4fondo"/>
        <w:tabs>
          <w:tab w:val="left" w:pos="567"/>
        </w:tabs>
        <w:spacing w:line="276" w:lineRule="auto"/>
        <w:ind w:left="720" w:firstLine="0"/>
        <w:rPr>
          <w:rFonts w:cs="Arial"/>
          <w:b/>
          <w:color w:val="2E74B5" w:themeColor="accent1" w:themeShade="BF"/>
          <w:sz w:val="24"/>
          <w:szCs w:val="24"/>
        </w:rPr>
      </w:pPr>
    </w:p>
    <w:p w:rsidR="0032011E" w:rsidRPr="00BA1B0E" w:rsidRDefault="0032011E" w:rsidP="005616F4">
      <w:pPr>
        <w:pStyle w:val="corte4fondo"/>
        <w:tabs>
          <w:tab w:val="left" w:pos="567"/>
        </w:tabs>
        <w:spacing w:line="276" w:lineRule="auto"/>
        <w:ind w:left="720" w:firstLine="0"/>
        <w:rPr>
          <w:rFonts w:cs="Arial"/>
          <w:color w:val="2E74B5" w:themeColor="accent1" w:themeShade="BF"/>
          <w:sz w:val="24"/>
          <w:szCs w:val="24"/>
        </w:rPr>
      </w:pPr>
      <w:r w:rsidRPr="00BA1B0E">
        <w:rPr>
          <w:rFonts w:cs="Arial"/>
          <w:b/>
          <w:color w:val="2E74B5" w:themeColor="accent1" w:themeShade="BF"/>
          <w:sz w:val="24"/>
          <w:szCs w:val="24"/>
        </w:rPr>
        <w:t>RESOLUTIVOS</w:t>
      </w:r>
      <w:r w:rsidRPr="00BA1B0E">
        <w:rPr>
          <w:rFonts w:cs="Arial"/>
          <w:color w:val="2E74B5" w:themeColor="accent1" w:themeShade="BF"/>
          <w:sz w:val="24"/>
          <w:szCs w:val="24"/>
        </w:rPr>
        <w:t xml:space="preserve"> </w:t>
      </w:r>
    </w:p>
    <w:p w:rsidR="0032011E" w:rsidRPr="00BA1B0E" w:rsidRDefault="0032011E" w:rsidP="005616F4">
      <w:pPr>
        <w:pStyle w:val="corte4fondo"/>
        <w:tabs>
          <w:tab w:val="left" w:pos="567"/>
        </w:tabs>
        <w:spacing w:line="276" w:lineRule="auto"/>
        <w:ind w:left="720" w:firstLine="0"/>
        <w:rPr>
          <w:rFonts w:cs="Arial"/>
          <w:color w:val="2E74B5" w:themeColor="accent1" w:themeShade="BF"/>
          <w:sz w:val="24"/>
          <w:szCs w:val="24"/>
        </w:rPr>
      </w:pPr>
    </w:p>
    <w:p w:rsidR="0032011E" w:rsidRPr="00BA1B0E" w:rsidRDefault="0032011E" w:rsidP="005616F4">
      <w:pPr>
        <w:pStyle w:val="corte4fondo"/>
        <w:tabs>
          <w:tab w:val="left" w:pos="567"/>
        </w:tabs>
        <w:spacing w:line="276" w:lineRule="auto"/>
        <w:rPr>
          <w:rFonts w:cs="Arial"/>
          <w:color w:val="2E74B5" w:themeColor="accent1" w:themeShade="BF"/>
          <w:sz w:val="24"/>
          <w:szCs w:val="24"/>
        </w:rPr>
      </w:pPr>
      <w:r w:rsidRPr="00BA1B0E">
        <w:rPr>
          <w:rFonts w:cs="Arial"/>
          <w:color w:val="2E74B5" w:themeColor="accent1" w:themeShade="BF"/>
          <w:sz w:val="24"/>
          <w:szCs w:val="24"/>
        </w:rPr>
        <w:t>Por lo expuesto y fundado, SE RESUELVE:</w:t>
      </w:r>
    </w:p>
    <w:p w:rsidR="0032011E" w:rsidRPr="00BA1B0E" w:rsidRDefault="0032011E" w:rsidP="005616F4">
      <w:pPr>
        <w:pStyle w:val="corte4fondo"/>
        <w:tabs>
          <w:tab w:val="left" w:pos="567"/>
        </w:tabs>
        <w:spacing w:line="276" w:lineRule="auto"/>
        <w:ind w:left="720" w:firstLine="0"/>
        <w:rPr>
          <w:rFonts w:cs="Arial"/>
          <w:color w:val="2E74B5" w:themeColor="accent1" w:themeShade="BF"/>
          <w:sz w:val="24"/>
          <w:szCs w:val="24"/>
        </w:rPr>
      </w:pPr>
    </w:p>
    <w:p w:rsidR="0032011E" w:rsidRPr="00BA1B0E" w:rsidRDefault="0032011E" w:rsidP="005616F4">
      <w:pPr>
        <w:pStyle w:val="corte4fondo"/>
        <w:tabs>
          <w:tab w:val="left" w:pos="567"/>
        </w:tabs>
        <w:spacing w:line="276" w:lineRule="auto"/>
        <w:rPr>
          <w:rFonts w:cs="Arial"/>
          <w:color w:val="2E74B5" w:themeColor="accent1" w:themeShade="BF"/>
          <w:sz w:val="24"/>
          <w:szCs w:val="24"/>
        </w:rPr>
      </w:pPr>
      <w:r w:rsidRPr="00BA1B0E">
        <w:rPr>
          <w:rFonts w:cs="Arial"/>
          <w:b/>
          <w:color w:val="2E74B5" w:themeColor="accent1" w:themeShade="BF"/>
          <w:sz w:val="24"/>
          <w:szCs w:val="24"/>
        </w:rPr>
        <w:t>ÚNICO</w:t>
      </w:r>
      <w:r w:rsidRPr="00BA1B0E">
        <w:rPr>
          <w:rFonts w:cs="Arial"/>
          <w:color w:val="2E74B5" w:themeColor="accent1" w:themeShade="BF"/>
          <w:sz w:val="24"/>
          <w:szCs w:val="24"/>
        </w:rPr>
        <w:t xml:space="preserve">. </w:t>
      </w:r>
      <w:r w:rsidRPr="00BA1B0E">
        <w:rPr>
          <w:rFonts w:cs="Arial"/>
          <w:color w:val="2E74B5" w:themeColor="accent1" w:themeShade="BF"/>
          <w:sz w:val="24"/>
          <w:szCs w:val="24"/>
          <w:lang w:val="es-MX"/>
        </w:rPr>
        <w:t xml:space="preserve">Esta Comisión Estatal de Garantía y Acceso a la Información Pública </w:t>
      </w:r>
      <w:r w:rsidRPr="00BA1B0E">
        <w:rPr>
          <w:rFonts w:cs="Arial"/>
          <w:b/>
          <w:color w:val="2E74B5" w:themeColor="accent1" w:themeShade="BF"/>
          <w:sz w:val="24"/>
          <w:szCs w:val="24"/>
          <w:lang w:val="es-MX"/>
        </w:rPr>
        <w:t>aplica la afirmativa ficta</w:t>
      </w:r>
      <w:r w:rsidRPr="00BA1B0E">
        <w:rPr>
          <w:rFonts w:cs="Arial"/>
          <w:color w:val="2E74B5" w:themeColor="accent1" w:themeShade="BF"/>
          <w:sz w:val="24"/>
          <w:szCs w:val="24"/>
          <w:lang w:val="es-MX"/>
        </w:rPr>
        <w:t xml:space="preserve"> por los fundamentos y las razones desarrolladas en el considerando </w:t>
      </w:r>
      <w:r w:rsidR="00360D64" w:rsidRPr="00BA1B0E">
        <w:rPr>
          <w:rFonts w:cs="Arial"/>
          <w:color w:val="2E74B5" w:themeColor="accent1" w:themeShade="BF"/>
          <w:sz w:val="24"/>
          <w:szCs w:val="24"/>
          <w:lang w:val="es-MX"/>
        </w:rPr>
        <w:t>séptimo</w:t>
      </w:r>
      <w:r w:rsidRPr="00BA1B0E">
        <w:rPr>
          <w:rFonts w:cs="Arial"/>
          <w:color w:val="2E74B5" w:themeColor="accent1" w:themeShade="BF"/>
          <w:sz w:val="24"/>
          <w:szCs w:val="24"/>
          <w:lang w:val="es-MX"/>
        </w:rPr>
        <w:t xml:space="preserve"> de la presente resolución.</w:t>
      </w:r>
    </w:p>
    <w:p w:rsidR="00C967AB" w:rsidRPr="00BA1B0E" w:rsidRDefault="00C967AB" w:rsidP="005616F4">
      <w:pPr>
        <w:pStyle w:val="corte4fondo"/>
        <w:tabs>
          <w:tab w:val="left" w:pos="567"/>
        </w:tabs>
        <w:spacing w:line="276" w:lineRule="auto"/>
        <w:ind w:left="720" w:firstLine="0"/>
        <w:rPr>
          <w:rFonts w:cs="Arial"/>
          <w:color w:val="2E74B5" w:themeColor="accent1" w:themeShade="BF"/>
          <w:sz w:val="24"/>
          <w:szCs w:val="24"/>
        </w:rPr>
      </w:pPr>
    </w:p>
    <w:p w:rsidR="0032011E" w:rsidRPr="00BA1B0E" w:rsidRDefault="0032011E" w:rsidP="005616F4">
      <w:pPr>
        <w:pStyle w:val="corte4fondo"/>
        <w:tabs>
          <w:tab w:val="left" w:pos="567"/>
        </w:tabs>
        <w:spacing w:line="276" w:lineRule="auto"/>
        <w:rPr>
          <w:rFonts w:cs="Arial"/>
          <w:color w:val="2E74B5" w:themeColor="accent1" w:themeShade="BF"/>
          <w:sz w:val="24"/>
          <w:szCs w:val="24"/>
        </w:rPr>
      </w:pPr>
      <w:r w:rsidRPr="00BA1B0E">
        <w:rPr>
          <w:rFonts w:cs="Arial"/>
          <w:b/>
          <w:color w:val="2E74B5" w:themeColor="accent1" w:themeShade="BF"/>
          <w:sz w:val="24"/>
          <w:szCs w:val="24"/>
        </w:rPr>
        <w:t xml:space="preserve">Notifíquese; </w:t>
      </w:r>
      <w:r w:rsidRPr="00BA1B0E">
        <w:rPr>
          <w:rFonts w:cs="Arial"/>
          <w:color w:val="2E74B5" w:themeColor="accent1" w:themeShade="BF"/>
          <w:sz w:val="24"/>
          <w:szCs w:val="24"/>
        </w:rPr>
        <w:t>por oficio a las autoridades</w:t>
      </w:r>
      <w:r w:rsidRPr="00BA1B0E">
        <w:rPr>
          <w:rFonts w:cs="Arial"/>
          <w:b/>
          <w:color w:val="2E74B5" w:themeColor="accent1" w:themeShade="BF"/>
          <w:sz w:val="24"/>
          <w:szCs w:val="24"/>
        </w:rPr>
        <w:t xml:space="preserve"> </w:t>
      </w:r>
      <w:r w:rsidRPr="00BA1B0E">
        <w:rPr>
          <w:rFonts w:cs="Arial"/>
          <w:color w:val="2E74B5" w:themeColor="accent1" w:themeShade="BF"/>
          <w:sz w:val="24"/>
          <w:szCs w:val="24"/>
        </w:rPr>
        <w:t>y a la recurrente por el medio que designó.</w:t>
      </w:r>
    </w:p>
    <w:p w:rsidR="0032011E" w:rsidRPr="00BA1B0E" w:rsidRDefault="0032011E" w:rsidP="005616F4">
      <w:pPr>
        <w:autoSpaceDE w:val="0"/>
        <w:autoSpaceDN w:val="0"/>
        <w:adjustRightInd w:val="0"/>
        <w:spacing w:after="0" w:line="276" w:lineRule="auto"/>
        <w:jc w:val="both"/>
        <w:rPr>
          <w:rFonts w:ascii="Arial" w:hAnsi="Arial" w:cs="Arial"/>
          <w:color w:val="2E74B5" w:themeColor="accent1" w:themeShade="BF"/>
          <w:sz w:val="24"/>
          <w:szCs w:val="24"/>
        </w:rPr>
      </w:pPr>
    </w:p>
    <w:p w:rsidR="007B6AD8" w:rsidRPr="006B4ACF" w:rsidRDefault="007B6AD8" w:rsidP="007B6AD8">
      <w:pPr>
        <w:pStyle w:val="corte4fondo"/>
        <w:tabs>
          <w:tab w:val="left" w:pos="567"/>
        </w:tabs>
        <w:spacing w:line="276" w:lineRule="auto"/>
        <w:rPr>
          <w:rFonts w:eastAsia="Arial Unicode MS" w:cs="Arial"/>
          <w:color w:val="2E74B5" w:themeColor="accent1" w:themeShade="BF"/>
          <w:sz w:val="24"/>
          <w:szCs w:val="24"/>
          <w:lang w:val="es-MX"/>
        </w:rPr>
      </w:pPr>
      <w:r w:rsidRPr="006B4ACF">
        <w:rPr>
          <w:rFonts w:cs="Arial"/>
          <w:color w:val="2E74B5" w:themeColor="accent1" w:themeShade="BF"/>
          <w:sz w:val="24"/>
          <w:szCs w:val="24"/>
        </w:rPr>
        <w:t xml:space="preserve">Así, por </w:t>
      </w:r>
      <w:r>
        <w:rPr>
          <w:rFonts w:cs="Arial"/>
          <w:color w:val="2E74B5" w:themeColor="accent1" w:themeShade="BF"/>
          <w:sz w:val="24"/>
          <w:szCs w:val="24"/>
          <w:lang w:val="es-MX"/>
        </w:rPr>
        <w:t xml:space="preserve">mayoría </w:t>
      </w:r>
      <w:r w:rsidRPr="006B4ACF">
        <w:rPr>
          <w:rFonts w:cs="Arial"/>
          <w:color w:val="2E74B5" w:themeColor="accent1" w:themeShade="BF"/>
          <w:sz w:val="24"/>
          <w:szCs w:val="24"/>
        </w:rPr>
        <w:t>de votos lo resolvió la Comisión Estatal de Garantía de Acceso a la Información Pública, integrada por los Comisionados</w:t>
      </w:r>
      <w:r w:rsidRPr="006B4ACF">
        <w:rPr>
          <w:rFonts w:cs="Arial"/>
          <w:color w:val="2E74B5" w:themeColor="accent1" w:themeShade="BF"/>
          <w:sz w:val="24"/>
          <w:szCs w:val="24"/>
          <w:lang w:val="es-MX"/>
        </w:rPr>
        <w:t xml:space="preserve"> Licenciadas Paulina Sánchez Pérez del Pozo,</w:t>
      </w:r>
      <w:r w:rsidRPr="006B4ACF">
        <w:rPr>
          <w:rFonts w:cs="Arial"/>
          <w:color w:val="2E74B5" w:themeColor="accent1" w:themeShade="BF"/>
          <w:sz w:val="24"/>
          <w:szCs w:val="24"/>
        </w:rPr>
        <w:t xml:space="preserve"> Claudia Elizabeth </w:t>
      </w:r>
      <w:r w:rsidRPr="006B4ACF">
        <w:rPr>
          <w:rFonts w:cs="Arial"/>
          <w:color w:val="2E74B5" w:themeColor="accent1" w:themeShade="BF"/>
          <w:sz w:val="24"/>
          <w:szCs w:val="24"/>
          <w:lang w:val="es-MX"/>
        </w:rPr>
        <w:t>A</w:t>
      </w:r>
      <w:r w:rsidRPr="006B4ACF">
        <w:rPr>
          <w:rFonts w:cs="Arial"/>
          <w:color w:val="2E74B5" w:themeColor="accent1" w:themeShade="BF"/>
          <w:sz w:val="24"/>
          <w:szCs w:val="24"/>
        </w:rPr>
        <w:t>valos Cedillo</w:t>
      </w:r>
      <w:r w:rsidRPr="006B4ACF">
        <w:rPr>
          <w:rFonts w:cs="Arial"/>
          <w:color w:val="2E74B5" w:themeColor="accent1" w:themeShade="BF"/>
          <w:sz w:val="24"/>
          <w:szCs w:val="24"/>
          <w:lang w:val="es-MX"/>
        </w:rPr>
        <w:t xml:space="preserve"> </w:t>
      </w:r>
      <w:r w:rsidRPr="006B4ACF">
        <w:rPr>
          <w:rFonts w:cs="Arial"/>
          <w:color w:val="2E74B5" w:themeColor="accent1" w:themeShade="BF"/>
          <w:sz w:val="24"/>
          <w:szCs w:val="24"/>
        </w:rPr>
        <w:t>y M</w:t>
      </w:r>
      <w:r w:rsidRPr="006B4ACF">
        <w:rPr>
          <w:rFonts w:cs="Arial"/>
          <w:color w:val="2E74B5" w:themeColor="accent1" w:themeShade="BF"/>
          <w:sz w:val="24"/>
          <w:szCs w:val="24"/>
          <w:lang w:val="es-MX"/>
        </w:rPr>
        <w:t>tro</w:t>
      </w:r>
      <w:r w:rsidRPr="006B4ACF">
        <w:rPr>
          <w:rFonts w:cs="Arial"/>
          <w:color w:val="2E74B5" w:themeColor="accent1" w:themeShade="BF"/>
          <w:sz w:val="24"/>
          <w:szCs w:val="24"/>
        </w:rPr>
        <w:t>. Alejandro Lafuente Torres</w:t>
      </w:r>
      <w:r w:rsidRPr="006B4ACF">
        <w:rPr>
          <w:rFonts w:cs="Arial"/>
          <w:color w:val="2E74B5" w:themeColor="accent1" w:themeShade="BF"/>
          <w:sz w:val="24"/>
          <w:szCs w:val="24"/>
          <w:lang w:val="es-MX"/>
        </w:rPr>
        <w:t>,</w:t>
      </w:r>
      <w:r w:rsidRPr="006B4ACF">
        <w:rPr>
          <w:rFonts w:cs="Arial"/>
          <w:color w:val="2E74B5" w:themeColor="accent1" w:themeShade="BF"/>
          <w:sz w:val="24"/>
          <w:szCs w:val="24"/>
        </w:rPr>
        <w:t xml:space="preserve"> </w:t>
      </w:r>
      <w:r w:rsidRPr="006B4ACF">
        <w:rPr>
          <w:rFonts w:cs="Arial"/>
          <w:color w:val="2E74B5" w:themeColor="accent1" w:themeShade="BF"/>
          <w:sz w:val="24"/>
          <w:szCs w:val="24"/>
          <w:lang w:val="es-MX"/>
        </w:rPr>
        <w:t>P</w:t>
      </w:r>
      <w:r w:rsidRPr="006B4ACF">
        <w:rPr>
          <w:rFonts w:cs="Arial"/>
          <w:color w:val="2E74B5" w:themeColor="accent1" w:themeShade="BF"/>
          <w:sz w:val="24"/>
          <w:szCs w:val="24"/>
        </w:rPr>
        <w:t xml:space="preserve">residente, siendo ponente la primera de los nombrados, quienes en unión de la Licenciada Rosa María Motilla García, Secretaria de Pleno que da fe, firman esta resolución. </w:t>
      </w:r>
      <w:r w:rsidRPr="006B4ACF">
        <w:rPr>
          <w:rFonts w:eastAsia="Arial Unicode MS" w:cs="Arial"/>
          <w:color w:val="2E74B5" w:themeColor="accent1" w:themeShade="BF"/>
          <w:sz w:val="24"/>
          <w:szCs w:val="24"/>
        </w:rPr>
        <w:t xml:space="preserve"> </w:t>
      </w:r>
      <w:r w:rsidRPr="006B4ACF">
        <w:rPr>
          <w:rFonts w:eastAsia="Arial Unicode MS" w:cs="Arial"/>
          <w:color w:val="2E74B5" w:themeColor="accent1" w:themeShade="BF"/>
          <w:sz w:val="24"/>
          <w:szCs w:val="24"/>
          <w:lang w:val="es-MX"/>
        </w:rPr>
        <w:t xml:space="preserve">  </w:t>
      </w:r>
    </w:p>
    <w:p w:rsidR="007B6AD8" w:rsidRPr="006B4ACF" w:rsidRDefault="007B6AD8" w:rsidP="007B6AD8">
      <w:pPr>
        <w:pStyle w:val="corte4fondo"/>
        <w:tabs>
          <w:tab w:val="left" w:pos="567"/>
        </w:tabs>
        <w:spacing w:line="276" w:lineRule="auto"/>
        <w:rPr>
          <w:rFonts w:cs="Arial"/>
          <w:color w:val="2E74B5" w:themeColor="accent1" w:themeShade="BF"/>
          <w:sz w:val="24"/>
          <w:szCs w:val="24"/>
          <w:lang w:val="es-MX"/>
        </w:rPr>
      </w:pPr>
    </w:p>
    <w:p w:rsidR="007B6AD8" w:rsidRPr="006B4ACF" w:rsidRDefault="007B6AD8" w:rsidP="007B6AD8">
      <w:pPr>
        <w:spacing w:after="0"/>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7B6AD8" w:rsidRPr="006B4ACF" w:rsidTr="001205FC">
        <w:trPr>
          <w:trHeight w:val="2654"/>
          <w:jc w:val="center"/>
        </w:trPr>
        <w:tc>
          <w:tcPr>
            <w:tcW w:w="4706" w:type="dxa"/>
            <w:gridSpan w:val="2"/>
          </w:tcPr>
          <w:p w:rsidR="007B6AD8" w:rsidRPr="006B4ACF" w:rsidRDefault="007B6AD8" w:rsidP="001205FC">
            <w:pPr>
              <w:spacing w:after="0"/>
              <w:jc w:val="center"/>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        COMISIONADO PRESIDENTE</w:t>
            </w:r>
          </w:p>
          <w:p w:rsidR="007B6AD8" w:rsidRPr="006B4ACF" w:rsidRDefault="007B6AD8" w:rsidP="001205FC">
            <w:pPr>
              <w:spacing w:after="0"/>
              <w:ind w:left="360" w:firstLine="708"/>
              <w:jc w:val="center"/>
              <w:rPr>
                <w:rFonts w:ascii="Arial" w:eastAsia="Arial Unicode MS" w:hAnsi="Arial" w:cs="Arial"/>
                <w:b/>
                <w:color w:val="2E74B5" w:themeColor="accent1" w:themeShade="BF"/>
                <w:sz w:val="24"/>
                <w:szCs w:val="24"/>
              </w:rPr>
            </w:pPr>
          </w:p>
          <w:p w:rsidR="007B6AD8" w:rsidRPr="006B4ACF" w:rsidRDefault="007B6AD8" w:rsidP="001205FC">
            <w:pPr>
              <w:spacing w:after="0"/>
              <w:ind w:left="360" w:firstLine="708"/>
              <w:jc w:val="center"/>
              <w:rPr>
                <w:rFonts w:ascii="Arial" w:eastAsia="Arial Unicode MS" w:hAnsi="Arial" w:cs="Arial"/>
                <w:b/>
                <w:color w:val="2E74B5" w:themeColor="accent1" w:themeShade="BF"/>
                <w:sz w:val="24"/>
                <w:szCs w:val="24"/>
              </w:rPr>
            </w:pPr>
          </w:p>
          <w:p w:rsidR="007B6AD8" w:rsidRPr="006B4ACF" w:rsidRDefault="007B6AD8" w:rsidP="001205FC">
            <w:pPr>
              <w:spacing w:after="0"/>
              <w:ind w:left="360" w:firstLine="708"/>
              <w:jc w:val="center"/>
              <w:rPr>
                <w:rFonts w:ascii="Arial" w:eastAsia="Arial Unicode MS" w:hAnsi="Arial" w:cs="Arial"/>
                <w:b/>
                <w:color w:val="2E74B5" w:themeColor="accent1" w:themeShade="BF"/>
                <w:sz w:val="24"/>
                <w:szCs w:val="24"/>
              </w:rPr>
            </w:pPr>
          </w:p>
          <w:p w:rsidR="007B6AD8" w:rsidRPr="006B4ACF" w:rsidRDefault="007B6AD8" w:rsidP="001205FC">
            <w:pPr>
              <w:spacing w:after="0"/>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                   MTRO. ALEJANDRO </w:t>
            </w:r>
          </w:p>
          <w:p w:rsidR="007B6AD8" w:rsidRPr="006B4ACF" w:rsidRDefault="007B6AD8" w:rsidP="001205FC">
            <w:pPr>
              <w:spacing w:after="0"/>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                    LAFUENTE TORRES </w:t>
            </w:r>
          </w:p>
        </w:tc>
        <w:tc>
          <w:tcPr>
            <w:tcW w:w="5194" w:type="dxa"/>
            <w:gridSpan w:val="2"/>
          </w:tcPr>
          <w:p w:rsidR="007B6AD8" w:rsidRPr="006B4ACF" w:rsidRDefault="007B6AD8" w:rsidP="001205FC">
            <w:pPr>
              <w:spacing w:after="0"/>
              <w:ind w:left="360" w:firstLine="708"/>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              COMISIONADA </w:t>
            </w:r>
          </w:p>
          <w:p w:rsidR="007B6AD8" w:rsidRPr="006B4ACF" w:rsidRDefault="007B6AD8" w:rsidP="001205FC">
            <w:pPr>
              <w:spacing w:after="0"/>
              <w:ind w:left="360" w:firstLine="708"/>
              <w:jc w:val="center"/>
              <w:rPr>
                <w:rFonts w:ascii="Arial" w:eastAsia="Arial Unicode MS" w:hAnsi="Arial" w:cs="Arial"/>
                <w:b/>
                <w:color w:val="2E74B5" w:themeColor="accent1" w:themeShade="BF"/>
                <w:sz w:val="24"/>
                <w:szCs w:val="24"/>
              </w:rPr>
            </w:pPr>
          </w:p>
          <w:p w:rsidR="007B6AD8" w:rsidRPr="006B4ACF" w:rsidRDefault="007B6AD8" w:rsidP="001205FC">
            <w:pPr>
              <w:spacing w:after="0"/>
              <w:ind w:left="360" w:firstLine="708"/>
              <w:jc w:val="center"/>
              <w:rPr>
                <w:rFonts w:ascii="Arial" w:eastAsia="Arial Unicode MS" w:hAnsi="Arial" w:cs="Arial"/>
                <w:b/>
                <w:color w:val="2E74B5" w:themeColor="accent1" w:themeShade="BF"/>
                <w:sz w:val="24"/>
                <w:szCs w:val="24"/>
              </w:rPr>
            </w:pPr>
          </w:p>
          <w:p w:rsidR="007B6AD8" w:rsidRPr="006B4ACF" w:rsidRDefault="007B6AD8" w:rsidP="001205FC">
            <w:pPr>
              <w:spacing w:after="0"/>
              <w:ind w:left="360" w:firstLine="708"/>
              <w:jc w:val="center"/>
              <w:rPr>
                <w:rFonts w:ascii="Arial" w:eastAsia="Arial Unicode MS" w:hAnsi="Arial" w:cs="Arial"/>
                <w:b/>
                <w:color w:val="2E74B5" w:themeColor="accent1" w:themeShade="BF"/>
                <w:sz w:val="24"/>
                <w:szCs w:val="24"/>
              </w:rPr>
            </w:pPr>
          </w:p>
          <w:p w:rsidR="007B6AD8" w:rsidRPr="006B4ACF" w:rsidRDefault="007B6AD8" w:rsidP="001205FC">
            <w:pPr>
              <w:spacing w:after="0"/>
              <w:jc w:val="center"/>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LIC. PAULINA SÁNCHEZ </w:t>
            </w:r>
          </w:p>
          <w:p w:rsidR="007B6AD8" w:rsidRPr="006B4ACF" w:rsidRDefault="007B6AD8" w:rsidP="001205FC">
            <w:pPr>
              <w:spacing w:after="0"/>
              <w:jc w:val="center"/>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PÉREZ DEL POZO</w:t>
            </w:r>
          </w:p>
          <w:p w:rsidR="007B6AD8" w:rsidRPr="006B4ACF" w:rsidRDefault="007B6AD8" w:rsidP="001205FC">
            <w:pPr>
              <w:spacing w:after="0"/>
              <w:ind w:left="1132"/>
              <w:rPr>
                <w:rFonts w:ascii="Arial" w:eastAsia="Arial Unicode MS" w:hAnsi="Arial" w:cs="Arial"/>
                <w:b/>
                <w:color w:val="2E74B5" w:themeColor="accent1" w:themeShade="BF"/>
                <w:sz w:val="24"/>
                <w:szCs w:val="24"/>
              </w:rPr>
            </w:pPr>
            <w:bookmarkStart w:id="0" w:name="_GoBack"/>
            <w:bookmarkEnd w:id="0"/>
          </w:p>
        </w:tc>
      </w:tr>
      <w:tr w:rsidR="007B6AD8" w:rsidRPr="006B4ACF" w:rsidTr="001205FC">
        <w:trPr>
          <w:trHeight w:val="2085"/>
          <w:jc w:val="center"/>
        </w:trPr>
        <w:tc>
          <w:tcPr>
            <w:tcW w:w="4552" w:type="dxa"/>
          </w:tcPr>
          <w:p w:rsidR="007B6AD8" w:rsidRPr="006B4ACF" w:rsidRDefault="007B6AD8" w:rsidP="001205FC">
            <w:pPr>
              <w:spacing w:after="0"/>
              <w:ind w:left="360" w:hanging="360"/>
              <w:jc w:val="center"/>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COMISIONADA </w:t>
            </w:r>
          </w:p>
          <w:p w:rsidR="007B6AD8" w:rsidRPr="006B4ACF" w:rsidRDefault="007B6AD8" w:rsidP="001205FC">
            <w:pPr>
              <w:spacing w:after="0"/>
              <w:ind w:left="360"/>
              <w:rPr>
                <w:rFonts w:ascii="Arial" w:eastAsia="Arial Unicode MS" w:hAnsi="Arial" w:cs="Arial"/>
                <w:b/>
                <w:color w:val="2E74B5" w:themeColor="accent1" w:themeShade="BF"/>
                <w:sz w:val="24"/>
                <w:szCs w:val="24"/>
              </w:rPr>
            </w:pPr>
          </w:p>
          <w:p w:rsidR="007B6AD8" w:rsidRPr="006B4ACF" w:rsidRDefault="007B6AD8" w:rsidP="001205FC">
            <w:pPr>
              <w:spacing w:after="0"/>
              <w:ind w:left="360"/>
              <w:rPr>
                <w:rFonts w:ascii="Arial" w:eastAsia="Arial Unicode MS" w:hAnsi="Arial" w:cs="Arial"/>
                <w:b/>
                <w:color w:val="2E74B5" w:themeColor="accent1" w:themeShade="BF"/>
                <w:sz w:val="24"/>
                <w:szCs w:val="24"/>
              </w:rPr>
            </w:pPr>
          </w:p>
          <w:p w:rsidR="007B6AD8" w:rsidRPr="006B4ACF" w:rsidRDefault="007B6AD8" w:rsidP="001205FC">
            <w:pPr>
              <w:spacing w:after="0"/>
              <w:ind w:left="360"/>
              <w:rPr>
                <w:rFonts w:ascii="Arial" w:eastAsia="Arial Unicode MS" w:hAnsi="Arial" w:cs="Arial"/>
                <w:b/>
                <w:color w:val="2E74B5" w:themeColor="accent1" w:themeShade="BF"/>
                <w:sz w:val="24"/>
                <w:szCs w:val="24"/>
              </w:rPr>
            </w:pPr>
          </w:p>
          <w:p w:rsidR="007B6AD8" w:rsidRPr="006B4ACF" w:rsidRDefault="007B6AD8" w:rsidP="001205FC">
            <w:pPr>
              <w:tabs>
                <w:tab w:val="left" w:pos="1358"/>
              </w:tabs>
              <w:spacing w:after="0"/>
              <w:ind w:firstLine="36"/>
              <w:jc w:val="center"/>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LIC. CLAUDIA ELIZABETH </w:t>
            </w:r>
          </w:p>
          <w:p w:rsidR="007B6AD8" w:rsidRPr="006B4ACF" w:rsidRDefault="007B6AD8" w:rsidP="001205FC">
            <w:pPr>
              <w:spacing w:after="0"/>
              <w:ind w:left="360" w:firstLine="36"/>
              <w:jc w:val="center"/>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ÁVALOS CEDILLO  </w:t>
            </w:r>
          </w:p>
          <w:p w:rsidR="007B6AD8" w:rsidRPr="006B4ACF" w:rsidRDefault="007B6AD8" w:rsidP="001205FC">
            <w:pPr>
              <w:spacing w:after="0"/>
              <w:ind w:left="360" w:firstLine="36"/>
              <w:jc w:val="center"/>
              <w:rPr>
                <w:rFonts w:ascii="Arial" w:eastAsia="Arial Unicode MS" w:hAnsi="Arial" w:cs="Arial"/>
                <w:b/>
                <w:color w:val="2E74B5" w:themeColor="accent1" w:themeShade="BF"/>
                <w:sz w:val="24"/>
                <w:szCs w:val="24"/>
              </w:rPr>
            </w:pPr>
          </w:p>
          <w:p w:rsidR="007B6AD8" w:rsidRPr="006B4ACF" w:rsidRDefault="007B6AD8" w:rsidP="001205FC">
            <w:pPr>
              <w:spacing w:after="0"/>
              <w:ind w:left="360" w:firstLine="36"/>
              <w:jc w:val="center"/>
              <w:rPr>
                <w:rFonts w:ascii="Arial" w:eastAsia="Arial Unicode MS" w:hAnsi="Arial" w:cs="Arial"/>
                <w:b/>
                <w:color w:val="2E74B5" w:themeColor="accent1" w:themeShade="BF"/>
                <w:sz w:val="24"/>
                <w:szCs w:val="24"/>
              </w:rPr>
            </w:pPr>
          </w:p>
        </w:tc>
        <w:tc>
          <w:tcPr>
            <w:tcW w:w="334" w:type="dxa"/>
            <w:gridSpan w:val="2"/>
          </w:tcPr>
          <w:p w:rsidR="007B6AD8" w:rsidRPr="006B4ACF" w:rsidRDefault="007B6AD8" w:rsidP="001205FC">
            <w:pPr>
              <w:spacing w:after="0"/>
              <w:ind w:left="360" w:firstLine="708"/>
              <w:jc w:val="center"/>
              <w:rPr>
                <w:rFonts w:ascii="Arial" w:eastAsia="Arial Unicode MS" w:hAnsi="Arial" w:cs="Arial"/>
                <w:b/>
                <w:color w:val="2E74B5" w:themeColor="accent1" w:themeShade="BF"/>
                <w:sz w:val="24"/>
                <w:szCs w:val="24"/>
              </w:rPr>
            </w:pPr>
          </w:p>
        </w:tc>
        <w:tc>
          <w:tcPr>
            <w:tcW w:w="5014" w:type="dxa"/>
          </w:tcPr>
          <w:p w:rsidR="007B6AD8" w:rsidRPr="006B4ACF" w:rsidRDefault="007B6AD8" w:rsidP="001205FC">
            <w:pPr>
              <w:spacing w:after="0"/>
              <w:ind w:left="360" w:firstLine="708"/>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SECRETARIA DE PLENO</w:t>
            </w:r>
          </w:p>
          <w:p w:rsidR="007B6AD8" w:rsidRPr="006B4ACF" w:rsidRDefault="007B6AD8" w:rsidP="001205FC">
            <w:pPr>
              <w:spacing w:after="0"/>
              <w:ind w:left="360" w:firstLine="708"/>
              <w:jc w:val="center"/>
              <w:rPr>
                <w:rFonts w:ascii="Arial" w:eastAsia="Arial Unicode MS" w:hAnsi="Arial" w:cs="Arial"/>
                <w:b/>
                <w:color w:val="2E74B5" w:themeColor="accent1" w:themeShade="BF"/>
                <w:sz w:val="24"/>
                <w:szCs w:val="24"/>
              </w:rPr>
            </w:pPr>
          </w:p>
          <w:p w:rsidR="007B6AD8" w:rsidRPr="006B4ACF" w:rsidRDefault="007B6AD8" w:rsidP="001205FC">
            <w:pPr>
              <w:spacing w:after="0"/>
              <w:ind w:left="360" w:firstLine="708"/>
              <w:jc w:val="center"/>
              <w:rPr>
                <w:rFonts w:ascii="Arial" w:eastAsia="Arial Unicode MS" w:hAnsi="Arial" w:cs="Arial"/>
                <w:b/>
                <w:color w:val="2E74B5" w:themeColor="accent1" w:themeShade="BF"/>
                <w:sz w:val="24"/>
                <w:szCs w:val="24"/>
              </w:rPr>
            </w:pPr>
          </w:p>
          <w:p w:rsidR="007B6AD8" w:rsidRPr="006B4ACF" w:rsidRDefault="007B6AD8" w:rsidP="001205FC">
            <w:pPr>
              <w:spacing w:after="0"/>
              <w:ind w:left="360" w:firstLine="708"/>
              <w:jc w:val="center"/>
              <w:rPr>
                <w:rFonts w:ascii="Arial" w:eastAsia="Arial Unicode MS" w:hAnsi="Arial" w:cs="Arial"/>
                <w:b/>
                <w:color w:val="2E74B5" w:themeColor="accent1" w:themeShade="BF"/>
                <w:sz w:val="24"/>
                <w:szCs w:val="24"/>
              </w:rPr>
            </w:pPr>
          </w:p>
          <w:p w:rsidR="007B6AD8" w:rsidRPr="006B4ACF" w:rsidRDefault="007B6AD8" w:rsidP="001205FC">
            <w:pPr>
              <w:spacing w:after="0"/>
              <w:ind w:left="360" w:hanging="360"/>
              <w:jc w:val="center"/>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LIC. ROSA MARÍA MOTILLA GARCÍA </w:t>
            </w:r>
          </w:p>
        </w:tc>
      </w:tr>
    </w:tbl>
    <w:p w:rsidR="00187E4E" w:rsidRPr="00BA1B0E" w:rsidRDefault="00187E4E" w:rsidP="005616F4">
      <w:pPr>
        <w:pStyle w:val="corte4fondo"/>
        <w:spacing w:line="276" w:lineRule="auto"/>
        <w:ind w:firstLine="0"/>
        <w:rPr>
          <w:rFonts w:eastAsia="Arial Unicode MS" w:cs="Arial"/>
          <w:b/>
          <w:color w:val="2E74B5" w:themeColor="accent1" w:themeShade="BF"/>
          <w:sz w:val="24"/>
          <w:szCs w:val="24"/>
          <w:lang w:val="es-MX"/>
        </w:rPr>
      </w:pPr>
    </w:p>
    <w:p w:rsidR="00187E4E" w:rsidRPr="00BA1B0E" w:rsidRDefault="00187E4E" w:rsidP="005616F4">
      <w:pPr>
        <w:pStyle w:val="corte4fondo"/>
        <w:tabs>
          <w:tab w:val="left" w:pos="567"/>
        </w:tabs>
        <w:spacing w:line="276" w:lineRule="auto"/>
        <w:ind w:firstLine="0"/>
        <w:rPr>
          <w:rFonts w:cs="Arial"/>
          <w:color w:val="2E74B5" w:themeColor="accent1" w:themeShade="BF"/>
          <w:sz w:val="10"/>
          <w:szCs w:val="10"/>
          <w:lang w:val="es-MX"/>
        </w:rPr>
      </w:pPr>
    </w:p>
    <w:p w:rsidR="00187E4E" w:rsidRPr="00BA1B0E" w:rsidRDefault="00187E4E" w:rsidP="005616F4">
      <w:pPr>
        <w:pStyle w:val="corte4fondo"/>
        <w:tabs>
          <w:tab w:val="left" w:pos="567"/>
        </w:tabs>
        <w:spacing w:line="276" w:lineRule="auto"/>
        <w:ind w:firstLine="0"/>
        <w:rPr>
          <w:rFonts w:cs="Arial"/>
          <w:color w:val="2E74B5" w:themeColor="accent1" w:themeShade="BF"/>
          <w:sz w:val="10"/>
          <w:szCs w:val="10"/>
          <w:lang w:val="es-MX"/>
        </w:rPr>
      </w:pPr>
      <w:r w:rsidRPr="00BA1B0E">
        <w:rPr>
          <w:rFonts w:cs="Arial"/>
          <w:color w:val="2E74B5" w:themeColor="accent1" w:themeShade="BF"/>
          <w:sz w:val="10"/>
          <w:szCs w:val="10"/>
          <w:lang w:val="es-MX"/>
        </w:rPr>
        <w:t xml:space="preserve">*ESTAS FIRMAS PERTENECEN A LA RESOLUCIÓN DE LA REVISIÓN </w:t>
      </w:r>
      <w:r w:rsidR="0032011E" w:rsidRPr="00BA1B0E">
        <w:rPr>
          <w:rFonts w:cs="Arial"/>
          <w:color w:val="2E74B5" w:themeColor="accent1" w:themeShade="BF"/>
          <w:sz w:val="10"/>
          <w:szCs w:val="10"/>
          <w:lang w:val="es-MX"/>
        </w:rPr>
        <w:t>113</w:t>
      </w:r>
      <w:r w:rsidR="00BE6337" w:rsidRPr="00BA1B0E">
        <w:rPr>
          <w:rFonts w:cs="Arial"/>
          <w:color w:val="2E74B5" w:themeColor="accent1" w:themeShade="BF"/>
          <w:sz w:val="10"/>
          <w:szCs w:val="10"/>
          <w:lang w:val="es-MX"/>
        </w:rPr>
        <w:t xml:space="preserve">/2018-2 QUE FUE INTERPUESTO </w:t>
      </w:r>
      <w:r w:rsidR="0032011E" w:rsidRPr="00BA1B0E">
        <w:rPr>
          <w:rFonts w:cs="Arial"/>
          <w:color w:val="2E74B5" w:themeColor="accent1" w:themeShade="BF"/>
          <w:sz w:val="10"/>
          <w:szCs w:val="10"/>
          <w:lang w:val="es-MX"/>
        </w:rPr>
        <w:t xml:space="preserve">CONTRA EL PATRONATO DE LA FERIA NACIONAL POTOSINA </w:t>
      </w:r>
      <w:r w:rsidRPr="00BA1B0E">
        <w:rPr>
          <w:rFonts w:cs="Arial"/>
          <w:color w:val="2E74B5" w:themeColor="accent1" w:themeShade="BF"/>
          <w:sz w:val="10"/>
          <w:szCs w:val="10"/>
          <w:lang w:val="es-MX"/>
        </w:rPr>
        <w:t>Y QU</w:t>
      </w:r>
      <w:r w:rsidR="0004048D" w:rsidRPr="00BA1B0E">
        <w:rPr>
          <w:rFonts w:cs="Arial"/>
          <w:color w:val="2E74B5" w:themeColor="accent1" w:themeShade="BF"/>
          <w:sz w:val="10"/>
          <w:szCs w:val="10"/>
          <w:lang w:val="es-MX"/>
        </w:rPr>
        <w:t xml:space="preserve">E FUE APROBADA EN LA SESIÓN </w:t>
      </w:r>
      <w:r w:rsidRPr="00BA1B0E">
        <w:rPr>
          <w:rFonts w:cs="Arial"/>
          <w:color w:val="2E74B5" w:themeColor="accent1" w:themeShade="BF"/>
          <w:sz w:val="10"/>
          <w:szCs w:val="10"/>
          <w:lang w:val="es-MX"/>
        </w:rPr>
        <w:t xml:space="preserve">ORDINARIA DEL </w:t>
      </w:r>
      <w:r w:rsidR="0032011E" w:rsidRPr="00BA1B0E">
        <w:rPr>
          <w:rFonts w:cs="Arial"/>
          <w:color w:val="2E74B5" w:themeColor="accent1" w:themeShade="BF"/>
          <w:sz w:val="10"/>
          <w:szCs w:val="10"/>
          <w:lang w:val="es-MX"/>
        </w:rPr>
        <w:t>04 CUATRO DE MAYO DE 2018 DOS MIL DIECIOCHO</w:t>
      </w:r>
      <w:r w:rsidRPr="00BA1B0E">
        <w:rPr>
          <w:rFonts w:cs="Arial"/>
          <w:color w:val="2E74B5" w:themeColor="accent1" w:themeShade="BF"/>
          <w:sz w:val="10"/>
          <w:szCs w:val="10"/>
          <w:lang w:val="es-MX"/>
        </w:rPr>
        <w:t>.</w:t>
      </w:r>
    </w:p>
    <w:p w:rsidR="00187E4E" w:rsidRPr="00BA1B0E" w:rsidRDefault="00187E4E" w:rsidP="005616F4">
      <w:pPr>
        <w:pStyle w:val="corte4fondo"/>
        <w:tabs>
          <w:tab w:val="left" w:pos="567"/>
        </w:tabs>
        <w:spacing w:line="276" w:lineRule="auto"/>
        <w:ind w:firstLine="0"/>
        <w:rPr>
          <w:rFonts w:cs="Arial"/>
          <w:color w:val="2E74B5" w:themeColor="accent1" w:themeShade="BF"/>
          <w:sz w:val="10"/>
          <w:szCs w:val="10"/>
          <w:lang w:val="es-MX"/>
        </w:rPr>
      </w:pPr>
    </w:p>
    <w:p w:rsidR="00187E4E" w:rsidRPr="00BA1B0E" w:rsidRDefault="00187E4E" w:rsidP="005616F4">
      <w:pPr>
        <w:pStyle w:val="corte4fondo"/>
        <w:tabs>
          <w:tab w:val="left" w:pos="567"/>
        </w:tabs>
        <w:spacing w:line="276" w:lineRule="auto"/>
        <w:ind w:firstLine="0"/>
        <w:rPr>
          <w:rFonts w:cs="Arial"/>
          <w:color w:val="2E74B5" w:themeColor="accent1" w:themeShade="BF"/>
          <w:sz w:val="10"/>
          <w:szCs w:val="10"/>
          <w:lang w:val="es-MX"/>
        </w:rPr>
      </w:pPr>
    </w:p>
    <w:p w:rsidR="00187E4E" w:rsidRPr="00BA1B0E" w:rsidRDefault="00187E4E" w:rsidP="005616F4">
      <w:pPr>
        <w:pStyle w:val="corte4fondo"/>
        <w:tabs>
          <w:tab w:val="left" w:pos="567"/>
        </w:tabs>
        <w:spacing w:line="276" w:lineRule="auto"/>
        <w:ind w:firstLine="0"/>
        <w:rPr>
          <w:rFonts w:cs="Arial"/>
          <w:color w:val="2E74B5" w:themeColor="accent1" w:themeShade="BF"/>
          <w:sz w:val="10"/>
          <w:szCs w:val="10"/>
          <w:lang w:val="es-MX"/>
        </w:rPr>
      </w:pPr>
    </w:p>
    <w:p w:rsidR="00187E4E" w:rsidRPr="00BA1B0E" w:rsidRDefault="00187E4E" w:rsidP="005616F4">
      <w:pPr>
        <w:pStyle w:val="corte4fondo"/>
        <w:tabs>
          <w:tab w:val="left" w:pos="567"/>
        </w:tabs>
        <w:spacing w:line="276" w:lineRule="auto"/>
        <w:ind w:firstLine="0"/>
        <w:rPr>
          <w:rFonts w:cs="Arial"/>
          <w:color w:val="2E74B5" w:themeColor="accent1" w:themeShade="BF"/>
          <w:sz w:val="10"/>
          <w:szCs w:val="10"/>
          <w:lang w:val="es-MX"/>
        </w:rPr>
      </w:pPr>
    </w:p>
    <w:p w:rsidR="00187E4E" w:rsidRPr="00BA1B0E" w:rsidRDefault="00187E4E" w:rsidP="005616F4">
      <w:pPr>
        <w:pStyle w:val="corte4fondo"/>
        <w:tabs>
          <w:tab w:val="left" w:pos="567"/>
          <w:tab w:val="left" w:pos="3643"/>
        </w:tabs>
        <w:spacing w:line="276" w:lineRule="auto"/>
        <w:rPr>
          <w:rFonts w:cs="Arial"/>
          <w:i/>
          <w:color w:val="2E74B5" w:themeColor="accent1" w:themeShade="BF"/>
          <w:sz w:val="10"/>
          <w:szCs w:val="10"/>
          <w:lang w:val="es-MX"/>
        </w:rPr>
      </w:pPr>
      <w:r w:rsidRPr="00BA1B0E">
        <w:rPr>
          <w:rFonts w:cs="Arial"/>
          <w:i/>
          <w:color w:val="2E74B5" w:themeColor="accent1" w:themeShade="BF"/>
          <w:sz w:val="10"/>
          <w:szCs w:val="10"/>
          <w:lang w:val="es-MX"/>
        </w:rPr>
        <w:tab/>
      </w:r>
    </w:p>
    <w:p w:rsidR="00187E4E" w:rsidRPr="00BA1B0E" w:rsidRDefault="00187E4E" w:rsidP="005616F4">
      <w:pPr>
        <w:pStyle w:val="corte4fondo"/>
        <w:tabs>
          <w:tab w:val="left" w:pos="567"/>
        </w:tabs>
        <w:spacing w:line="276" w:lineRule="auto"/>
        <w:ind w:firstLine="0"/>
        <w:rPr>
          <w:rFonts w:cs="Arial"/>
          <w:i/>
          <w:color w:val="2E74B5" w:themeColor="accent1" w:themeShade="BF"/>
          <w:sz w:val="10"/>
          <w:szCs w:val="10"/>
        </w:rPr>
      </w:pPr>
      <w:r w:rsidRPr="00BA1B0E">
        <w:rPr>
          <w:rFonts w:cs="Arial"/>
          <w:i/>
          <w:color w:val="2E74B5" w:themeColor="accent1" w:themeShade="BF"/>
          <w:sz w:val="10"/>
          <w:szCs w:val="10"/>
          <w:lang w:val="es-MX"/>
        </w:rPr>
        <w:t>L/MEMH</w:t>
      </w:r>
      <w:r w:rsidRPr="00BA1B0E">
        <w:rPr>
          <w:rFonts w:cs="Arial"/>
          <w:i/>
          <w:color w:val="2E74B5" w:themeColor="accent1" w:themeShade="BF"/>
          <w:sz w:val="10"/>
          <w:szCs w:val="10"/>
        </w:rPr>
        <w:t xml:space="preserve"> </w:t>
      </w:r>
    </w:p>
    <w:p w:rsidR="00187E4E" w:rsidRPr="00BA1B0E" w:rsidRDefault="00187E4E" w:rsidP="005616F4">
      <w:pPr>
        <w:spacing w:after="0" w:line="276" w:lineRule="auto"/>
        <w:rPr>
          <w:rFonts w:ascii="Arial" w:hAnsi="Arial" w:cs="Arial"/>
          <w:color w:val="2E74B5" w:themeColor="accent1" w:themeShade="BF"/>
          <w:sz w:val="24"/>
          <w:szCs w:val="24"/>
        </w:rPr>
      </w:pPr>
    </w:p>
    <w:p w:rsidR="00187E4E" w:rsidRPr="00BA1B0E" w:rsidRDefault="00187E4E" w:rsidP="005616F4">
      <w:pPr>
        <w:spacing w:after="0" w:line="276" w:lineRule="auto"/>
        <w:rPr>
          <w:rFonts w:ascii="Arial" w:hAnsi="Arial" w:cs="Arial"/>
          <w:color w:val="2E74B5" w:themeColor="accent1" w:themeShade="BF"/>
          <w:sz w:val="24"/>
          <w:szCs w:val="24"/>
        </w:rPr>
      </w:pPr>
    </w:p>
    <w:p w:rsidR="00187E4E" w:rsidRPr="00BA1B0E" w:rsidRDefault="00187E4E" w:rsidP="005616F4">
      <w:pPr>
        <w:spacing w:after="0" w:line="276" w:lineRule="auto"/>
        <w:rPr>
          <w:rFonts w:ascii="Arial" w:hAnsi="Arial" w:cs="Arial"/>
          <w:color w:val="2E74B5" w:themeColor="accent1" w:themeShade="BF"/>
          <w:sz w:val="24"/>
          <w:szCs w:val="24"/>
        </w:rPr>
      </w:pPr>
    </w:p>
    <w:p w:rsidR="00943837" w:rsidRPr="00BA1B0E" w:rsidRDefault="00943837" w:rsidP="005616F4">
      <w:pPr>
        <w:spacing w:after="0" w:line="276" w:lineRule="auto"/>
        <w:rPr>
          <w:rFonts w:ascii="Arial" w:hAnsi="Arial" w:cs="Arial"/>
          <w:color w:val="2E74B5" w:themeColor="accent1" w:themeShade="BF"/>
          <w:sz w:val="24"/>
          <w:szCs w:val="24"/>
        </w:rPr>
      </w:pPr>
    </w:p>
    <w:sectPr w:rsidR="00943837" w:rsidRPr="00BA1B0E" w:rsidSect="00AD7C88">
      <w:headerReference w:type="default" r:id="rId12"/>
      <w:pgSz w:w="12240" w:h="20160"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B60" w:rsidRDefault="00E53B60" w:rsidP="00860670">
      <w:pPr>
        <w:spacing w:after="0" w:line="240" w:lineRule="auto"/>
      </w:pPr>
      <w:r>
        <w:separator/>
      </w:r>
    </w:p>
  </w:endnote>
  <w:endnote w:type="continuationSeparator" w:id="0">
    <w:p w:rsidR="00E53B60" w:rsidRDefault="00E53B60" w:rsidP="00860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B60" w:rsidRDefault="00E53B60" w:rsidP="00860670">
      <w:pPr>
        <w:spacing w:after="0" w:line="240" w:lineRule="auto"/>
      </w:pPr>
      <w:r>
        <w:separator/>
      </w:r>
    </w:p>
  </w:footnote>
  <w:footnote w:type="continuationSeparator" w:id="0">
    <w:p w:rsidR="00E53B60" w:rsidRDefault="00E53B60" w:rsidP="00860670">
      <w:pPr>
        <w:spacing w:after="0" w:line="240" w:lineRule="auto"/>
      </w:pPr>
      <w:r>
        <w:continuationSeparator/>
      </w:r>
    </w:p>
  </w:footnote>
  <w:footnote w:id="1">
    <w:p w:rsidR="00187E4E" w:rsidRPr="00DA1577" w:rsidRDefault="00187E4E" w:rsidP="00187E4E">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59062F" w:rsidRPr="004F4A54" w:rsidRDefault="0059062F" w:rsidP="0059062F">
      <w:pPr>
        <w:pStyle w:val="Textonotapie"/>
        <w:rPr>
          <w:rFonts w:ascii="Arial" w:hAnsi="Arial" w:cs="Arial"/>
          <w:sz w:val="16"/>
          <w:szCs w:val="16"/>
        </w:rPr>
      </w:pPr>
      <w:r w:rsidRPr="004F4A54">
        <w:rPr>
          <w:rStyle w:val="Refdenotaalpie"/>
          <w:rFonts w:ascii="Arial" w:hAnsi="Arial" w:cs="Arial"/>
          <w:sz w:val="16"/>
          <w:szCs w:val="16"/>
        </w:rPr>
        <w:footnoteRef/>
      </w:r>
      <w:r>
        <w:rPr>
          <w:rFonts w:ascii="Arial" w:hAnsi="Arial" w:cs="Arial"/>
          <w:sz w:val="16"/>
          <w:szCs w:val="16"/>
        </w:rPr>
        <w:t xml:space="preserve"> Visible en la foja</w:t>
      </w:r>
      <w:r w:rsidRPr="004F4A54">
        <w:rPr>
          <w:rFonts w:ascii="Arial" w:hAnsi="Arial" w:cs="Arial"/>
          <w:sz w:val="16"/>
          <w:szCs w:val="16"/>
        </w:rPr>
        <w:t xml:space="preserve"> </w:t>
      </w:r>
      <w:r>
        <w:rPr>
          <w:rFonts w:ascii="Arial" w:hAnsi="Arial" w:cs="Arial"/>
          <w:sz w:val="16"/>
          <w:szCs w:val="16"/>
        </w:rPr>
        <w:t xml:space="preserve">17 </w:t>
      </w:r>
      <w:r w:rsidRPr="004F4A54">
        <w:rPr>
          <w:rFonts w:ascii="Arial" w:hAnsi="Arial" w:cs="Arial"/>
          <w:sz w:val="16"/>
          <w:szCs w:val="16"/>
        </w:rPr>
        <w:t xml:space="preserve">de autos. </w:t>
      </w:r>
    </w:p>
  </w:footnote>
  <w:footnote w:id="3">
    <w:p w:rsidR="00F21918" w:rsidRDefault="00F21918" w:rsidP="00F21918">
      <w:pPr>
        <w:pStyle w:val="Default"/>
        <w:spacing w:line="360" w:lineRule="auto"/>
        <w:jc w:val="both"/>
        <w:rPr>
          <w:sz w:val="16"/>
          <w:szCs w:val="16"/>
        </w:rPr>
      </w:pPr>
      <w:r w:rsidRPr="00DA528B">
        <w:rPr>
          <w:rStyle w:val="Refdenotaalpie"/>
          <w:sz w:val="16"/>
          <w:szCs w:val="16"/>
        </w:rPr>
        <w:footnoteRef/>
      </w:r>
      <w:r w:rsidRPr="00DA528B">
        <w:rPr>
          <w:sz w:val="16"/>
          <w:szCs w:val="16"/>
        </w:rPr>
        <w:t xml:space="preserve"> </w:t>
      </w:r>
      <w:r w:rsidRPr="00DA528B">
        <w:rPr>
          <w:b/>
          <w:bCs/>
          <w:sz w:val="16"/>
          <w:szCs w:val="16"/>
        </w:rPr>
        <w:t xml:space="preserve">ARTÍCULO 148. </w:t>
      </w:r>
      <w:r w:rsidRPr="00DA528B">
        <w:rPr>
          <w:sz w:val="16"/>
          <w:szCs w:val="16"/>
        </w:rPr>
        <w:t xml:space="preserve">Los términos de todas las notificaciones previstas en esta Ley, empezarán a correr al día siguiente al que se practiquen. </w:t>
      </w:r>
    </w:p>
    <w:p w:rsidR="00F21918" w:rsidRPr="00977767" w:rsidRDefault="00F21918" w:rsidP="00F21918">
      <w:pPr>
        <w:pStyle w:val="Default"/>
        <w:spacing w:line="360" w:lineRule="auto"/>
        <w:jc w:val="both"/>
        <w:rPr>
          <w:sz w:val="16"/>
          <w:szCs w:val="16"/>
        </w:rPr>
      </w:pPr>
      <w:r w:rsidRPr="00DA528B">
        <w:rPr>
          <w:sz w:val="16"/>
          <w:szCs w:val="16"/>
        </w:rPr>
        <w:t>Cuando los plazos fijados por esta Ley sean en días, éstos se entenderán como hábiles.</w:t>
      </w:r>
    </w:p>
    <w:p w:rsidR="00F21918" w:rsidRPr="00DA528B" w:rsidRDefault="00F21918" w:rsidP="00F21918">
      <w:pPr>
        <w:pStyle w:val="Textonotapie"/>
        <w:spacing w:line="360" w:lineRule="auto"/>
        <w:jc w:val="both"/>
        <w:rPr>
          <w:rFonts w:ascii="Arial" w:hAnsi="Arial" w:cs="Arial"/>
          <w:sz w:val="16"/>
          <w:szCs w:val="16"/>
        </w:rPr>
      </w:pPr>
      <w:r w:rsidRPr="00DA528B">
        <w:rPr>
          <w:rFonts w:ascii="Arial" w:hAnsi="Arial" w:cs="Arial"/>
          <w:b/>
          <w:bCs/>
          <w:sz w:val="16"/>
          <w:szCs w:val="16"/>
        </w:rPr>
        <w:t xml:space="preserve">ARTÍCULO 154. </w:t>
      </w:r>
      <w:r w:rsidRPr="00DA528B">
        <w:rPr>
          <w:rFonts w:ascii="Arial" w:hAnsi="Arial" w:cs="Arial"/>
          <w:sz w:val="16"/>
          <w:szCs w:val="16"/>
        </w:rPr>
        <w:t>La respuesta a la solicitud deberá ser notificada al interesado en el menor tiempo posible, que no podrá exceder de diez días, contados a partir del día siguiente a la presentación de aquélla. 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footnote>
  <w:footnote w:id="4">
    <w:p w:rsidR="001B13A0" w:rsidRPr="007D2E32" w:rsidRDefault="001B13A0" w:rsidP="001B13A0">
      <w:pPr>
        <w:pStyle w:val="Textonotapie"/>
        <w:spacing w:line="360" w:lineRule="auto"/>
        <w:jc w:val="both"/>
        <w:rPr>
          <w:rFonts w:ascii="Arial" w:hAnsi="Arial" w:cs="Arial"/>
          <w:sz w:val="16"/>
          <w:szCs w:val="16"/>
        </w:rPr>
      </w:pPr>
      <w:r w:rsidRPr="007D2E32">
        <w:rPr>
          <w:rStyle w:val="Refdenotaalpie"/>
          <w:rFonts w:ascii="Arial" w:hAnsi="Arial" w:cs="Arial"/>
          <w:color w:val="548DD4"/>
          <w:sz w:val="16"/>
          <w:szCs w:val="16"/>
        </w:rPr>
        <w:footnoteRef/>
      </w:r>
      <w:r w:rsidRPr="007D2E32">
        <w:rPr>
          <w:rFonts w:ascii="Arial" w:hAnsi="Arial" w:cs="Arial"/>
          <w:color w:val="548DD4"/>
          <w:sz w:val="16"/>
          <w:szCs w:val="16"/>
        </w:rPr>
        <w:t xml:space="preserve"> </w:t>
      </w:r>
      <w:r w:rsidRPr="007D2E32">
        <w:rPr>
          <w:rFonts w:ascii="Arial" w:hAnsi="Arial" w:cs="Arial"/>
          <w:b/>
          <w:bCs/>
          <w:sz w:val="16"/>
          <w:szCs w:val="16"/>
        </w:rPr>
        <w:t xml:space="preserve">ARTICULO 7. </w:t>
      </w:r>
      <w:r w:rsidRPr="007D2E32">
        <w:rPr>
          <w:rFonts w:ascii="Arial" w:hAnsi="Arial" w:cs="Arial"/>
          <w:sz w:val="16"/>
          <w:szCs w:val="16"/>
        </w:rPr>
        <w:t>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pro persona.</w:t>
      </w:r>
    </w:p>
  </w:footnote>
  <w:footnote w:id="5">
    <w:p w:rsidR="001B13A0" w:rsidRPr="00CB52C7" w:rsidRDefault="001B13A0" w:rsidP="001B13A0">
      <w:pPr>
        <w:pStyle w:val="corte4fondo"/>
        <w:tabs>
          <w:tab w:val="left" w:pos="567"/>
        </w:tabs>
        <w:ind w:firstLine="0"/>
        <w:rPr>
          <w:rFonts w:cs="Arial"/>
          <w:sz w:val="16"/>
          <w:szCs w:val="16"/>
          <w:lang w:val="es-MX"/>
        </w:rPr>
      </w:pPr>
      <w:r w:rsidRPr="00CB52C7">
        <w:rPr>
          <w:rStyle w:val="Refdenotaalpie"/>
          <w:sz w:val="16"/>
          <w:szCs w:val="16"/>
        </w:rPr>
        <w:footnoteRef/>
      </w:r>
      <w:r w:rsidRPr="00CB52C7">
        <w:rPr>
          <w:sz w:val="16"/>
          <w:szCs w:val="16"/>
        </w:rPr>
        <w:t xml:space="preserve"> </w:t>
      </w:r>
      <w:r w:rsidRPr="00CB52C7">
        <w:rPr>
          <w:rFonts w:cs="Arial"/>
          <w:sz w:val="16"/>
          <w:szCs w:val="16"/>
          <w:lang w:val="es-MX"/>
        </w:rPr>
        <w:t>ARTÍCULO 165. En caso de existir costos para obtener la información, deberán cubrirse de manera previa a la entrega y no podr</w:t>
      </w:r>
      <w:r>
        <w:rPr>
          <w:rFonts w:cs="Arial"/>
          <w:sz w:val="16"/>
          <w:szCs w:val="16"/>
          <w:lang w:val="es-MX"/>
        </w:rPr>
        <w:t xml:space="preserve">án ser superiores a la suma de: </w:t>
      </w:r>
      <w:r w:rsidRPr="00CB52C7">
        <w:rPr>
          <w:rFonts w:cs="Arial"/>
          <w:sz w:val="16"/>
          <w:szCs w:val="16"/>
          <w:lang w:val="es-MX"/>
        </w:rPr>
        <w:t>I. El costo de los materiales utilizados en la reproducción de la</w:t>
      </w:r>
      <w:r>
        <w:rPr>
          <w:rFonts w:cs="Arial"/>
          <w:sz w:val="16"/>
          <w:szCs w:val="16"/>
          <w:lang w:val="es-MX"/>
        </w:rPr>
        <w:t xml:space="preserve"> información; </w:t>
      </w:r>
      <w:r w:rsidRPr="00CB52C7">
        <w:rPr>
          <w:rFonts w:cs="Arial"/>
          <w:sz w:val="16"/>
          <w:szCs w:val="16"/>
          <w:lang w:val="es-MX"/>
        </w:rPr>
        <w:t>II. E</w:t>
      </w:r>
      <w:r>
        <w:rPr>
          <w:rFonts w:cs="Arial"/>
          <w:sz w:val="16"/>
          <w:szCs w:val="16"/>
          <w:lang w:val="es-MX"/>
        </w:rPr>
        <w:t xml:space="preserve">l costo de envío, en su caso, y </w:t>
      </w:r>
      <w:r w:rsidRPr="00CB52C7">
        <w:rPr>
          <w:rFonts w:cs="Arial"/>
          <w:sz w:val="16"/>
          <w:szCs w:val="16"/>
          <w:lang w:val="es-MX"/>
        </w:rPr>
        <w:t xml:space="preserve">III. El pago de la certificación de </w:t>
      </w:r>
      <w:r>
        <w:rPr>
          <w:rFonts w:cs="Arial"/>
          <w:sz w:val="16"/>
          <w:szCs w:val="16"/>
          <w:lang w:val="es-MX"/>
        </w:rPr>
        <w:t>los Documentos, cuando proceda. --</w:t>
      </w:r>
      <w:r w:rsidRPr="00CB52C7">
        <w:rPr>
          <w:rFonts w:cs="Arial"/>
          <w:sz w:val="16"/>
          <w:szCs w:val="16"/>
          <w:lang w:val="es-MX"/>
        </w:rPr>
        <w:t>Tratándose de la reproducción en medios magnéticos, si el solicitante aporta el medio en el que será almacenada la información, la reprodu</w:t>
      </w:r>
      <w:r>
        <w:rPr>
          <w:rFonts w:cs="Arial"/>
          <w:sz w:val="16"/>
          <w:szCs w:val="16"/>
          <w:lang w:val="es-MX"/>
        </w:rPr>
        <w:t>cción será totalmente gratuita.--</w:t>
      </w:r>
      <w:r w:rsidRPr="00CB52C7">
        <w:rPr>
          <w:rFonts w:cs="Arial"/>
          <w:sz w:val="16"/>
          <w:szCs w:val="16"/>
          <w:lang w:val="es-MX"/>
        </w:rPr>
        <w:t>Los sujetos obligados llevarán a cabo la reproducción y/o envío de la información solicitada, previo pago de</w:t>
      </w:r>
      <w:r>
        <w:rPr>
          <w:rFonts w:cs="Arial"/>
          <w:sz w:val="16"/>
          <w:szCs w:val="16"/>
          <w:lang w:val="es-MX"/>
        </w:rPr>
        <w:t xml:space="preserve"> los derechos correspondientes. --</w:t>
      </w:r>
      <w:r w:rsidRPr="00CB52C7">
        <w:rPr>
          <w:rFonts w:cs="Arial"/>
          <w:sz w:val="16"/>
          <w:szCs w:val="16"/>
          <w:lang w:val="es-MX"/>
        </w:rPr>
        <w:t>La información deberá ser entregada sin costo</w:t>
      </w:r>
      <w:r>
        <w:rPr>
          <w:rFonts w:cs="Arial"/>
          <w:sz w:val="16"/>
          <w:szCs w:val="16"/>
          <w:lang w:val="es-MX"/>
        </w:rPr>
        <w:t xml:space="preserve">, cuando implique la entrega de </w:t>
      </w:r>
      <w:r w:rsidRPr="00CB52C7">
        <w:rPr>
          <w:rFonts w:cs="Arial"/>
          <w:sz w:val="16"/>
          <w:szCs w:val="16"/>
          <w:lang w:val="es-MX"/>
        </w:rPr>
        <w:t>no más de veinte hojas simples. Las unidades de transparencia podrán exceptuar el pago de reproducción y envío atendiendo a las circunstancias socioeconómicas del solicitante.</w:t>
      </w:r>
    </w:p>
    <w:p w:rsidR="001B13A0" w:rsidRPr="00CB52C7" w:rsidRDefault="001B13A0" w:rsidP="001B13A0">
      <w:pPr>
        <w:pStyle w:val="corte4fondo"/>
        <w:tabs>
          <w:tab w:val="left" w:pos="567"/>
        </w:tabs>
        <w:ind w:firstLine="0"/>
        <w:rPr>
          <w:rFonts w:cs="Arial"/>
          <w:sz w:val="16"/>
          <w:szCs w:val="16"/>
          <w:lang w:val="es-MX"/>
        </w:rPr>
      </w:pPr>
      <w:r w:rsidRPr="00CB52C7">
        <w:rPr>
          <w:rFonts w:cs="Arial"/>
          <w:sz w:val="16"/>
          <w:szCs w:val="16"/>
          <w:lang w:val="es-MX"/>
        </w:rPr>
        <w:t>Ante la falta de respuesta a una solicitud en el plazo previsto y en caso de que proceda el acceso, los costos de reproducción y envío correrán a cargo del sujeto obligado.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34472B" w:rsidRDefault="00FC59E8" w:rsidP="00020E02">
    <w:pPr>
      <w:pStyle w:val="Encabezado"/>
      <w:tabs>
        <w:tab w:val="clear" w:pos="4419"/>
        <w:tab w:val="left" w:pos="6804"/>
      </w:tabs>
      <w:jc w:val="right"/>
      <w:rPr>
        <w:rFonts w:ascii="Arial" w:hAnsi="Arial" w:cs="Arial"/>
        <w:sz w:val="18"/>
        <w:szCs w:val="18"/>
      </w:rPr>
    </w:pPr>
    <w:r>
      <w:t xml:space="preserve">                                                                                                                    </w:t>
    </w:r>
    <w:r w:rsidRPr="00DE7FC2">
      <w:rPr>
        <w:rFonts w:ascii="Arial" w:hAnsi="Arial" w:cs="Arial"/>
      </w:rPr>
      <w:t xml:space="preserve">                                                    </w:t>
    </w:r>
    <w:r>
      <w:rPr>
        <w:rFonts w:ascii="Arial" w:hAnsi="Arial" w:cs="Arial"/>
      </w:rPr>
      <w:t xml:space="preserve">                  </w:t>
    </w:r>
    <w:r w:rsidRPr="0034472B">
      <w:rPr>
        <w:rFonts w:ascii="Arial" w:hAnsi="Arial" w:cs="Arial"/>
        <w:sz w:val="18"/>
        <w:szCs w:val="18"/>
      </w:rPr>
      <w:fldChar w:fldCharType="begin"/>
    </w:r>
    <w:r w:rsidRPr="0034472B">
      <w:rPr>
        <w:rFonts w:ascii="Arial" w:hAnsi="Arial" w:cs="Arial"/>
        <w:sz w:val="18"/>
        <w:szCs w:val="18"/>
      </w:rPr>
      <w:instrText xml:space="preserve"> PAGE   \* MERGEFORMAT </w:instrText>
    </w:r>
    <w:r w:rsidRPr="0034472B">
      <w:rPr>
        <w:rFonts w:ascii="Arial" w:hAnsi="Arial" w:cs="Arial"/>
        <w:sz w:val="18"/>
        <w:szCs w:val="18"/>
      </w:rPr>
      <w:fldChar w:fldCharType="separate"/>
    </w:r>
    <w:r w:rsidR="007B6AD8">
      <w:rPr>
        <w:rFonts w:ascii="Arial" w:hAnsi="Arial" w:cs="Arial"/>
        <w:noProof/>
        <w:sz w:val="18"/>
        <w:szCs w:val="18"/>
      </w:rPr>
      <w:t>13</w:t>
    </w:r>
    <w:r w:rsidRPr="0034472B">
      <w:rPr>
        <w:rFonts w:ascii="Arial" w:hAnsi="Arial" w:cs="Arial"/>
        <w:sz w:val="18"/>
        <w:szCs w:val="18"/>
      </w:rPr>
      <w:fldChar w:fldCharType="end"/>
    </w:r>
    <w:r w:rsidRPr="0034472B">
      <w:rPr>
        <w:rFonts w:ascii="Arial" w:hAnsi="Arial" w:cs="Arial"/>
        <w:sz w:val="18"/>
        <w:szCs w:val="18"/>
      </w:rPr>
      <w:t xml:space="preserve">                                          RECURSO DE REVISIÓN  </w:t>
    </w:r>
    <w:r w:rsidR="00860670">
      <w:rPr>
        <w:rFonts w:ascii="Arial" w:hAnsi="Arial" w:cs="Arial"/>
        <w:sz w:val="18"/>
        <w:szCs w:val="18"/>
      </w:rPr>
      <w:t>113</w:t>
    </w:r>
    <w:r w:rsidRPr="0034472B">
      <w:rPr>
        <w:rFonts w:ascii="Arial" w:hAnsi="Arial" w:cs="Arial"/>
        <w:sz w:val="18"/>
        <w:szCs w:val="18"/>
      </w:rPr>
      <w:t>/2018</w:t>
    </w:r>
  </w:p>
  <w:p w:rsidR="00020E02" w:rsidRDefault="00FC59E8">
    <w:pPr>
      <w:pStyle w:val="Encabezado"/>
    </w:pPr>
    <w:r>
      <w:t xml:space="preserve">       </w:t>
    </w:r>
  </w:p>
  <w:p w:rsidR="00020E02" w:rsidRDefault="00E53B6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44C808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7E602A0"/>
    <w:multiLevelType w:val="hybridMultilevel"/>
    <w:tmpl w:val="E2FA12BC"/>
    <w:lvl w:ilvl="0" w:tplc="080A0001">
      <w:start w:val="1"/>
      <w:numFmt w:val="bullet"/>
      <w:lvlText w:val=""/>
      <w:lvlJc w:val="left"/>
      <w:pPr>
        <w:ind w:left="1287"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3" w15:restartNumberingAfterBreak="0">
    <w:nsid w:val="28C24614"/>
    <w:multiLevelType w:val="hybridMultilevel"/>
    <w:tmpl w:val="7894473A"/>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4" w15:restartNumberingAfterBreak="0">
    <w:nsid w:val="2AC214B5"/>
    <w:multiLevelType w:val="hybridMultilevel"/>
    <w:tmpl w:val="DFDC7D68"/>
    <w:lvl w:ilvl="0" w:tplc="080A000F">
      <w:start w:val="1"/>
      <w:numFmt w:val="decimal"/>
      <w:lvlText w:val="%1."/>
      <w:lvlJc w:val="left"/>
      <w:pPr>
        <w:ind w:left="1504" w:hanging="360"/>
      </w:pPr>
    </w:lvl>
    <w:lvl w:ilvl="1" w:tplc="080A0019" w:tentative="1">
      <w:start w:val="1"/>
      <w:numFmt w:val="lowerLetter"/>
      <w:lvlText w:val="%2."/>
      <w:lvlJc w:val="left"/>
      <w:pPr>
        <w:ind w:left="2224" w:hanging="360"/>
      </w:pPr>
    </w:lvl>
    <w:lvl w:ilvl="2" w:tplc="080A001B" w:tentative="1">
      <w:start w:val="1"/>
      <w:numFmt w:val="lowerRoman"/>
      <w:lvlText w:val="%3."/>
      <w:lvlJc w:val="right"/>
      <w:pPr>
        <w:ind w:left="2944" w:hanging="180"/>
      </w:pPr>
    </w:lvl>
    <w:lvl w:ilvl="3" w:tplc="080A000F" w:tentative="1">
      <w:start w:val="1"/>
      <w:numFmt w:val="decimal"/>
      <w:lvlText w:val="%4."/>
      <w:lvlJc w:val="left"/>
      <w:pPr>
        <w:ind w:left="3664" w:hanging="360"/>
      </w:pPr>
    </w:lvl>
    <w:lvl w:ilvl="4" w:tplc="080A0019" w:tentative="1">
      <w:start w:val="1"/>
      <w:numFmt w:val="lowerLetter"/>
      <w:lvlText w:val="%5."/>
      <w:lvlJc w:val="left"/>
      <w:pPr>
        <w:ind w:left="4384" w:hanging="360"/>
      </w:pPr>
    </w:lvl>
    <w:lvl w:ilvl="5" w:tplc="080A001B" w:tentative="1">
      <w:start w:val="1"/>
      <w:numFmt w:val="lowerRoman"/>
      <w:lvlText w:val="%6."/>
      <w:lvlJc w:val="right"/>
      <w:pPr>
        <w:ind w:left="5104" w:hanging="180"/>
      </w:pPr>
    </w:lvl>
    <w:lvl w:ilvl="6" w:tplc="080A000F" w:tentative="1">
      <w:start w:val="1"/>
      <w:numFmt w:val="decimal"/>
      <w:lvlText w:val="%7."/>
      <w:lvlJc w:val="left"/>
      <w:pPr>
        <w:ind w:left="5824" w:hanging="360"/>
      </w:pPr>
    </w:lvl>
    <w:lvl w:ilvl="7" w:tplc="080A0019" w:tentative="1">
      <w:start w:val="1"/>
      <w:numFmt w:val="lowerLetter"/>
      <w:lvlText w:val="%8."/>
      <w:lvlJc w:val="left"/>
      <w:pPr>
        <w:ind w:left="6544" w:hanging="360"/>
      </w:pPr>
    </w:lvl>
    <w:lvl w:ilvl="8" w:tplc="080A001B" w:tentative="1">
      <w:start w:val="1"/>
      <w:numFmt w:val="lowerRoman"/>
      <w:lvlText w:val="%9."/>
      <w:lvlJc w:val="right"/>
      <w:pPr>
        <w:ind w:left="7264" w:hanging="180"/>
      </w:pPr>
    </w:lvl>
  </w:abstractNum>
  <w:abstractNum w:abstractNumId="5" w15:restartNumberingAfterBreak="0">
    <w:nsid w:val="2D820CD2"/>
    <w:multiLevelType w:val="hybridMultilevel"/>
    <w:tmpl w:val="2BE2FCE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351764B0"/>
    <w:multiLevelType w:val="hybridMultilevel"/>
    <w:tmpl w:val="1294F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ADD74F6"/>
    <w:multiLevelType w:val="hybridMultilevel"/>
    <w:tmpl w:val="8A4AAE3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522A51B7"/>
    <w:multiLevelType w:val="hybridMultilevel"/>
    <w:tmpl w:val="1AA20E7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6559581D"/>
    <w:multiLevelType w:val="hybridMultilevel"/>
    <w:tmpl w:val="3D6A5494"/>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8"/>
  </w:num>
  <w:num w:numId="2">
    <w:abstractNumId w:val="5"/>
  </w:num>
  <w:num w:numId="3">
    <w:abstractNumId w:val="11"/>
  </w:num>
  <w:num w:numId="4">
    <w:abstractNumId w:val="0"/>
  </w:num>
  <w:num w:numId="5">
    <w:abstractNumId w:val="3"/>
  </w:num>
  <w:num w:numId="6">
    <w:abstractNumId w:val="4"/>
  </w:num>
  <w:num w:numId="7">
    <w:abstractNumId w:val="6"/>
  </w:num>
  <w:num w:numId="8">
    <w:abstractNumId w:val="10"/>
  </w:num>
  <w:num w:numId="9">
    <w:abstractNumId w:val="7"/>
  </w:num>
  <w:num w:numId="10">
    <w:abstractNumId w:val="1"/>
  </w:num>
  <w:num w:numId="11">
    <w:abstractNumId w:val="9"/>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670"/>
    <w:rsid w:val="0004048D"/>
    <w:rsid w:val="000A68AE"/>
    <w:rsid w:val="000E03A3"/>
    <w:rsid w:val="00187E4E"/>
    <w:rsid w:val="001B13A0"/>
    <w:rsid w:val="001D199F"/>
    <w:rsid w:val="001F1F6C"/>
    <w:rsid w:val="001F3CD1"/>
    <w:rsid w:val="00215B56"/>
    <w:rsid w:val="002E3256"/>
    <w:rsid w:val="0032011E"/>
    <w:rsid w:val="00360D64"/>
    <w:rsid w:val="00370494"/>
    <w:rsid w:val="003E2A23"/>
    <w:rsid w:val="003E31E2"/>
    <w:rsid w:val="004B20ED"/>
    <w:rsid w:val="004D0440"/>
    <w:rsid w:val="00511148"/>
    <w:rsid w:val="0052104E"/>
    <w:rsid w:val="0055588A"/>
    <w:rsid w:val="005616F4"/>
    <w:rsid w:val="0059062F"/>
    <w:rsid w:val="005C2B61"/>
    <w:rsid w:val="005F50AD"/>
    <w:rsid w:val="0066184D"/>
    <w:rsid w:val="00665637"/>
    <w:rsid w:val="00683A4C"/>
    <w:rsid w:val="006A3F41"/>
    <w:rsid w:val="006A508D"/>
    <w:rsid w:val="006D54C2"/>
    <w:rsid w:val="00784EB5"/>
    <w:rsid w:val="007B6AD8"/>
    <w:rsid w:val="00860670"/>
    <w:rsid w:val="00891967"/>
    <w:rsid w:val="00892B67"/>
    <w:rsid w:val="008F48FD"/>
    <w:rsid w:val="00943837"/>
    <w:rsid w:val="009A4362"/>
    <w:rsid w:val="00A50AD2"/>
    <w:rsid w:val="00AD7C88"/>
    <w:rsid w:val="00B41CE6"/>
    <w:rsid w:val="00B94D66"/>
    <w:rsid w:val="00BA1B0E"/>
    <w:rsid w:val="00BE6337"/>
    <w:rsid w:val="00C63B53"/>
    <w:rsid w:val="00C967AB"/>
    <w:rsid w:val="00CE5A9F"/>
    <w:rsid w:val="00CE7A59"/>
    <w:rsid w:val="00E00D0A"/>
    <w:rsid w:val="00E27F86"/>
    <w:rsid w:val="00E53B60"/>
    <w:rsid w:val="00EE2863"/>
    <w:rsid w:val="00F132D0"/>
    <w:rsid w:val="00F21918"/>
    <w:rsid w:val="00F2483E"/>
    <w:rsid w:val="00FC59E8"/>
    <w:rsid w:val="00FC5B3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55711"/>
  <w15:chartTrackingRefBased/>
  <w15:docId w15:val="{A894850B-E8DF-4EA4-9033-3D5369949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011E"/>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860670"/>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860670"/>
    <w:rPr>
      <w:rFonts w:ascii="Calibri" w:eastAsia="Calibri" w:hAnsi="Calibri" w:cs="Times New Roman"/>
      <w:sz w:val="20"/>
      <w:szCs w:val="20"/>
    </w:rPr>
  </w:style>
  <w:style w:type="paragraph" w:styleId="Encabezado">
    <w:name w:val="header"/>
    <w:basedOn w:val="Normal"/>
    <w:link w:val="EncabezadoCar"/>
    <w:unhideWhenUsed/>
    <w:rsid w:val="00860670"/>
    <w:pPr>
      <w:tabs>
        <w:tab w:val="center" w:pos="4419"/>
        <w:tab w:val="right" w:pos="8838"/>
      </w:tabs>
      <w:spacing w:after="0" w:line="240" w:lineRule="auto"/>
    </w:pPr>
  </w:style>
  <w:style w:type="character" w:customStyle="1" w:styleId="EncabezadoCar">
    <w:name w:val="Encabezado Car"/>
    <w:basedOn w:val="Fuentedeprrafopredeter"/>
    <w:link w:val="Encabezado"/>
    <w:rsid w:val="00860670"/>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860670"/>
    <w:rPr>
      <w:vertAlign w:val="superscript"/>
    </w:rPr>
  </w:style>
  <w:style w:type="paragraph" w:customStyle="1" w:styleId="corte4fondo">
    <w:name w:val="corte4 fondo"/>
    <w:basedOn w:val="Normal"/>
    <w:link w:val="corte4fondoCar1"/>
    <w:qFormat/>
    <w:rsid w:val="00860670"/>
    <w:pPr>
      <w:spacing w:after="0" w:line="360" w:lineRule="auto"/>
      <w:ind w:firstLine="709"/>
      <w:jc w:val="both"/>
    </w:pPr>
    <w:rPr>
      <w:rFonts w:ascii="Arial" w:eastAsia="Times New Roman" w:hAnsi="Arial"/>
      <w:sz w:val="30"/>
      <w:szCs w:val="20"/>
      <w:lang w:val="x-none" w:eastAsia="es-MX"/>
    </w:rPr>
  </w:style>
  <w:style w:type="character" w:customStyle="1" w:styleId="corte4fondoCar1">
    <w:name w:val="corte4 fondo Car1"/>
    <w:link w:val="corte4fondo"/>
    <w:rsid w:val="00860670"/>
    <w:rPr>
      <w:rFonts w:ascii="Arial" w:eastAsia="Times New Roman" w:hAnsi="Arial" w:cs="Times New Roman"/>
      <w:sz w:val="30"/>
      <w:szCs w:val="20"/>
      <w:lang w:val="x-none" w:eastAsia="es-MX"/>
    </w:rPr>
  </w:style>
  <w:style w:type="paragraph" w:styleId="Prrafodelista">
    <w:name w:val="List Paragraph"/>
    <w:basedOn w:val="Normal"/>
    <w:uiPriority w:val="34"/>
    <w:qFormat/>
    <w:rsid w:val="00860670"/>
    <w:pPr>
      <w:spacing w:after="200" w:line="276" w:lineRule="auto"/>
      <w:ind w:left="708"/>
    </w:pPr>
  </w:style>
  <w:style w:type="paragraph" w:styleId="Piedepgina">
    <w:name w:val="footer"/>
    <w:basedOn w:val="Normal"/>
    <w:link w:val="PiedepginaCar"/>
    <w:uiPriority w:val="99"/>
    <w:unhideWhenUsed/>
    <w:rsid w:val="0086067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0670"/>
    <w:rPr>
      <w:rFonts w:ascii="Calibri" w:eastAsia="Calibri" w:hAnsi="Calibri" w:cs="Times New Roman"/>
    </w:rPr>
  </w:style>
  <w:style w:type="paragraph" w:customStyle="1" w:styleId="corte1datos">
    <w:name w:val="corte1 datos"/>
    <w:basedOn w:val="Normal"/>
    <w:link w:val="corte1datosCar"/>
    <w:qFormat/>
    <w:rsid w:val="00187E4E"/>
    <w:pPr>
      <w:spacing w:after="0" w:line="240" w:lineRule="auto"/>
      <w:ind w:left="2552"/>
    </w:pPr>
    <w:rPr>
      <w:rFonts w:ascii="Arial" w:eastAsia="Times New Roman" w:hAnsi="Arial"/>
      <w:b/>
      <w:caps/>
      <w:sz w:val="30"/>
      <w:szCs w:val="20"/>
      <w:lang w:val="x-none" w:eastAsia="es-MX"/>
    </w:rPr>
  </w:style>
  <w:style w:type="paragraph" w:customStyle="1" w:styleId="corte2ponente">
    <w:name w:val="corte2 ponente"/>
    <w:basedOn w:val="Normal"/>
    <w:link w:val="corte2ponenteCar"/>
    <w:uiPriority w:val="99"/>
    <w:rsid w:val="00187E4E"/>
    <w:pPr>
      <w:spacing w:after="0" w:line="240" w:lineRule="auto"/>
    </w:pPr>
    <w:rPr>
      <w:rFonts w:ascii="Arial" w:eastAsia="Times New Roman" w:hAnsi="Arial"/>
      <w:b/>
      <w:caps/>
      <w:sz w:val="30"/>
      <w:szCs w:val="20"/>
      <w:lang w:val="x-none" w:eastAsia="es-MX"/>
    </w:rPr>
  </w:style>
  <w:style w:type="character" w:customStyle="1" w:styleId="corte2ponenteCar">
    <w:name w:val="corte2 ponente Car"/>
    <w:link w:val="corte2ponente"/>
    <w:uiPriority w:val="99"/>
    <w:rsid w:val="00187E4E"/>
    <w:rPr>
      <w:rFonts w:ascii="Arial" w:eastAsia="Times New Roman" w:hAnsi="Arial" w:cs="Times New Roman"/>
      <w:b/>
      <w:caps/>
      <w:sz w:val="30"/>
      <w:szCs w:val="20"/>
      <w:lang w:val="x-none" w:eastAsia="es-MX"/>
    </w:rPr>
  </w:style>
  <w:style w:type="character" w:customStyle="1" w:styleId="corte1datosCar">
    <w:name w:val="corte1 datos Car"/>
    <w:link w:val="corte1datos"/>
    <w:rsid w:val="00187E4E"/>
    <w:rPr>
      <w:rFonts w:ascii="Arial" w:eastAsia="Times New Roman" w:hAnsi="Arial" w:cs="Times New Roman"/>
      <w:b/>
      <w:caps/>
      <w:sz w:val="30"/>
      <w:szCs w:val="20"/>
      <w:lang w:val="x-none" w:eastAsia="es-MX"/>
    </w:rPr>
  </w:style>
  <w:style w:type="paragraph" w:styleId="NormalWeb">
    <w:name w:val="Normal (Web)"/>
    <w:basedOn w:val="Normal"/>
    <w:uiPriority w:val="99"/>
    <w:rsid w:val="00187E4E"/>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Default">
    <w:name w:val="Default"/>
    <w:rsid w:val="00187E4E"/>
    <w:pPr>
      <w:autoSpaceDE w:val="0"/>
      <w:autoSpaceDN w:val="0"/>
      <w:adjustRightInd w:val="0"/>
      <w:spacing w:after="0" w:line="240" w:lineRule="auto"/>
    </w:pPr>
    <w:rPr>
      <w:rFonts w:ascii="Arial" w:eastAsia="Calibri" w:hAnsi="Arial" w:cs="Arial"/>
      <w:color w:val="000000"/>
      <w:sz w:val="24"/>
      <w:szCs w:val="24"/>
      <w:lang w:eastAsia="es-MX"/>
    </w:rPr>
  </w:style>
  <w:style w:type="paragraph" w:styleId="Textodeglobo">
    <w:name w:val="Balloon Text"/>
    <w:basedOn w:val="Normal"/>
    <w:link w:val="TextodegloboCar"/>
    <w:uiPriority w:val="99"/>
    <w:semiHidden/>
    <w:unhideWhenUsed/>
    <w:rsid w:val="001F1F6C"/>
    <w:pPr>
      <w:spacing w:after="0" w:line="240" w:lineRule="auto"/>
    </w:pPr>
    <w:rPr>
      <w:rFonts w:ascii="Segoe UI" w:eastAsia="Times New Roman" w:hAnsi="Segoe UI"/>
      <w:sz w:val="18"/>
      <w:szCs w:val="18"/>
      <w:lang w:val="es-ES" w:eastAsia="es-ES"/>
    </w:rPr>
  </w:style>
  <w:style w:type="character" w:customStyle="1" w:styleId="TextodegloboCar">
    <w:name w:val="Texto de globo Car"/>
    <w:basedOn w:val="Fuentedeprrafopredeter"/>
    <w:link w:val="Textodeglobo"/>
    <w:uiPriority w:val="99"/>
    <w:semiHidden/>
    <w:rsid w:val="001F1F6C"/>
    <w:rPr>
      <w:rFonts w:ascii="Segoe UI" w:eastAsia="Times New Roman" w:hAnsi="Segoe UI" w:cs="Times New Roman"/>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13</Pages>
  <Words>3821</Words>
  <Characters>21016</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27</cp:revision>
  <cp:lastPrinted>2018-05-18T16:41:00Z</cp:lastPrinted>
  <dcterms:created xsi:type="dcterms:W3CDTF">2018-05-02T17:48:00Z</dcterms:created>
  <dcterms:modified xsi:type="dcterms:W3CDTF">2018-05-18T16:41:00Z</dcterms:modified>
</cp:coreProperties>
</file>