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0" w:type="auto"/>
        <w:tblInd w:w="3510" w:type="dxa"/>
        <w:tblLook w:val="04A0"/>
      </w:tblPr>
      <w:tblGrid>
        <w:gridCol w:w="5184"/>
      </w:tblGrid>
      <w:tr w:rsidR="00A02016" w:rsidRPr="002F26F5"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2F26F5" w:rsidRDefault="00547C44" w:rsidP="00B91518">
            <w:pPr>
              <w:ind w:left="-108"/>
              <w:rPr>
                <w:rFonts w:ascii="Arial" w:hAnsi="Arial" w:cs="Arial"/>
                <w:color w:val="4F81BD" w:themeColor="accent1"/>
                <w:szCs w:val="26"/>
                <w:lang w:val="es-MX"/>
              </w:rPr>
            </w:pPr>
            <w:r w:rsidRPr="002F26F5">
              <w:rPr>
                <w:rFonts w:ascii="Arial" w:hAnsi="Arial" w:cs="Arial"/>
                <w:b/>
                <w:color w:val="4F81BD" w:themeColor="accent1"/>
                <w:szCs w:val="26"/>
                <w:lang w:val="es-MX"/>
              </w:rPr>
              <w:t xml:space="preserve">RECURSO DE REVISIÓN: </w:t>
            </w:r>
            <w:r w:rsidR="00950714" w:rsidRPr="002F26F5">
              <w:rPr>
                <w:rFonts w:ascii="Arial" w:hAnsi="Arial" w:cs="Arial"/>
                <w:color w:val="4F81BD" w:themeColor="accent1"/>
                <w:szCs w:val="26"/>
                <w:lang w:val="es-MX"/>
              </w:rPr>
              <w:t>RR-039</w:t>
            </w:r>
            <w:r w:rsidR="007C6DA0" w:rsidRPr="002F26F5">
              <w:rPr>
                <w:rFonts w:ascii="Arial" w:hAnsi="Arial" w:cs="Arial"/>
                <w:color w:val="4F81BD" w:themeColor="accent1"/>
                <w:szCs w:val="26"/>
                <w:lang w:val="es-MX"/>
              </w:rPr>
              <w:t>/2018</w:t>
            </w:r>
            <w:r w:rsidRPr="002F26F5">
              <w:rPr>
                <w:rFonts w:ascii="Arial" w:hAnsi="Arial" w:cs="Arial"/>
                <w:color w:val="4F81BD" w:themeColor="accent1"/>
                <w:szCs w:val="26"/>
                <w:lang w:val="es-MX"/>
              </w:rPr>
              <w:t>-3</w:t>
            </w:r>
          </w:p>
        </w:tc>
      </w:tr>
      <w:tr w:rsidR="00A02016" w:rsidRPr="002F26F5"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2F26F5" w:rsidRDefault="00547C44" w:rsidP="006527C3">
            <w:pPr>
              <w:ind w:left="-108"/>
              <w:rPr>
                <w:rFonts w:ascii="Arial" w:hAnsi="Arial" w:cs="Arial"/>
                <w:color w:val="4F81BD" w:themeColor="accent1"/>
                <w:szCs w:val="26"/>
                <w:lang w:val="es-MX"/>
              </w:rPr>
            </w:pPr>
            <w:r w:rsidRPr="002F26F5">
              <w:rPr>
                <w:rFonts w:ascii="Arial" w:hAnsi="Arial" w:cs="Arial"/>
                <w:b/>
                <w:color w:val="4F81BD" w:themeColor="accent1"/>
                <w:szCs w:val="26"/>
                <w:lang w:val="es-MX"/>
              </w:rPr>
              <w:t>ENTE OBLIGADO:</w:t>
            </w:r>
            <w:r w:rsidRPr="002F26F5">
              <w:rPr>
                <w:rFonts w:ascii="Arial" w:hAnsi="Arial" w:cs="Arial"/>
                <w:color w:val="4F81BD" w:themeColor="accent1"/>
                <w:szCs w:val="26"/>
                <w:lang w:val="es-MX"/>
              </w:rPr>
              <w:t xml:space="preserve"> </w:t>
            </w:r>
            <w:r w:rsidR="00950714" w:rsidRPr="002F26F5">
              <w:rPr>
                <w:rFonts w:ascii="Arial" w:hAnsi="Arial" w:cs="Arial"/>
                <w:color w:val="4F81BD" w:themeColor="accent1"/>
                <w:szCs w:val="26"/>
                <w:lang w:val="es-MX"/>
              </w:rPr>
              <w:t>AYUNTAMIENTO DE RIOVERDE, S.L.P</w:t>
            </w:r>
            <w:r w:rsidR="004001C3" w:rsidRPr="002F26F5">
              <w:rPr>
                <w:rFonts w:ascii="Arial" w:hAnsi="Arial" w:cs="Arial"/>
                <w:color w:val="4F81BD" w:themeColor="accent1"/>
                <w:szCs w:val="26"/>
                <w:lang w:val="es-MX"/>
              </w:rPr>
              <w:t>.</w:t>
            </w:r>
          </w:p>
        </w:tc>
      </w:tr>
      <w:tr w:rsidR="00547C44" w:rsidRPr="002F26F5"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2F26F5" w:rsidRDefault="00547C44" w:rsidP="00B91518">
            <w:pPr>
              <w:ind w:left="-108"/>
              <w:rPr>
                <w:rFonts w:ascii="Arial" w:hAnsi="Arial" w:cs="Arial"/>
                <w:color w:val="4F81BD" w:themeColor="accent1"/>
                <w:szCs w:val="26"/>
                <w:lang w:val="es-MX"/>
              </w:rPr>
            </w:pPr>
            <w:r w:rsidRPr="002F26F5">
              <w:rPr>
                <w:rFonts w:ascii="Arial" w:hAnsi="Arial" w:cs="Arial"/>
                <w:b/>
                <w:color w:val="4F81BD" w:themeColor="accent1"/>
                <w:szCs w:val="26"/>
                <w:lang w:val="es-MX"/>
              </w:rPr>
              <w:t xml:space="preserve">COMISIONADO PONENTE: </w:t>
            </w:r>
            <w:r w:rsidRPr="002F26F5">
              <w:rPr>
                <w:rFonts w:ascii="Arial" w:hAnsi="Arial" w:cs="Arial"/>
                <w:color w:val="4F81BD" w:themeColor="accent1"/>
                <w:szCs w:val="26"/>
                <w:lang w:val="es-MX"/>
              </w:rPr>
              <w:t>CLAUDIA ELIZABETH ÁVALOS CEDILLO</w:t>
            </w:r>
          </w:p>
        </w:tc>
      </w:tr>
    </w:tbl>
    <w:p w:rsidR="00547C44" w:rsidRPr="002F26F5" w:rsidRDefault="00547C44" w:rsidP="00B91518">
      <w:pPr>
        <w:rPr>
          <w:rFonts w:ascii="Arial" w:hAnsi="Arial" w:cs="Arial"/>
          <w:b/>
          <w:color w:val="4F81BD" w:themeColor="accent1"/>
          <w:szCs w:val="26"/>
          <w:lang w:val="es-MX"/>
        </w:rPr>
      </w:pPr>
    </w:p>
    <w:p w:rsidR="004602D7" w:rsidRPr="002F26F5" w:rsidRDefault="004602D7" w:rsidP="00B91518">
      <w:pPr>
        <w:rPr>
          <w:rFonts w:ascii="Arial" w:hAnsi="Arial" w:cs="Arial"/>
          <w:b/>
          <w:color w:val="4F81BD" w:themeColor="accent1"/>
          <w:szCs w:val="26"/>
          <w:lang w:val="es-MX"/>
        </w:rPr>
      </w:pPr>
    </w:p>
    <w:p w:rsidR="00547C44" w:rsidRPr="002F26F5" w:rsidRDefault="00547C44" w:rsidP="00B91518">
      <w:pPr>
        <w:pStyle w:val="Textoindependienteprimerasangra"/>
        <w:spacing w:after="0"/>
        <w:ind w:firstLine="0"/>
        <w:rPr>
          <w:rFonts w:ascii="Arial" w:eastAsia="Arial Unicode MS" w:hAnsi="Arial" w:cs="Arial"/>
          <w:color w:val="4F81BD" w:themeColor="accent1"/>
          <w:szCs w:val="26"/>
          <w:lang w:val="es-MX"/>
        </w:rPr>
      </w:pPr>
      <w:r w:rsidRPr="002F26F5">
        <w:rPr>
          <w:rFonts w:ascii="Arial" w:hAnsi="Arial" w:cs="Arial"/>
          <w:b/>
          <w:color w:val="4F81BD" w:themeColor="accent1"/>
          <w:szCs w:val="26"/>
          <w:lang w:val="es-MX"/>
        </w:rPr>
        <w:tab/>
      </w:r>
      <w:r w:rsidRPr="002F26F5">
        <w:rPr>
          <w:rFonts w:ascii="Arial" w:eastAsia="Arial Unicode MS" w:hAnsi="Arial" w:cs="Arial"/>
          <w:color w:val="4F81BD" w:themeColor="accent1"/>
          <w:szCs w:val="26"/>
          <w:lang w:val="es-MX"/>
        </w:rPr>
        <w:t xml:space="preserve">San Luis Potosí, San Luis Potosí, </w:t>
      </w:r>
      <w:r w:rsidR="0044644D" w:rsidRPr="002F26F5">
        <w:rPr>
          <w:rFonts w:ascii="Arial" w:eastAsia="Arial Unicode MS" w:hAnsi="Arial" w:cs="Arial"/>
          <w:color w:val="4F81BD" w:themeColor="accent1"/>
          <w:szCs w:val="26"/>
          <w:lang w:val="es-MX"/>
        </w:rPr>
        <w:t>catorce de marzo</w:t>
      </w:r>
      <w:r w:rsidR="007C6DA0" w:rsidRPr="002F26F5">
        <w:rPr>
          <w:rFonts w:ascii="Arial" w:eastAsia="Arial Unicode MS" w:hAnsi="Arial" w:cs="Arial"/>
          <w:color w:val="4F81BD" w:themeColor="accent1"/>
          <w:szCs w:val="26"/>
          <w:lang w:val="es-MX"/>
        </w:rPr>
        <w:t xml:space="preserve"> de dos mil dieciocho</w:t>
      </w:r>
      <w:r w:rsidRPr="002F26F5">
        <w:rPr>
          <w:rFonts w:ascii="Arial" w:eastAsia="Arial Unicode MS" w:hAnsi="Arial" w:cs="Arial"/>
          <w:color w:val="4F81BD" w:themeColor="accent1"/>
          <w:szCs w:val="26"/>
          <w:lang w:val="es-MX"/>
        </w:rPr>
        <w:t>.</w:t>
      </w:r>
    </w:p>
    <w:p w:rsidR="000214B4" w:rsidRPr="002F26F5" w:rsidRDefault="004001C3" w:rsidP="00B91518">
      <w:pPr>
        <w:pStyle w:val="Textoindependienteprimerasangra"/>
        <w:spacing w:before="240"/>
        <w:ind w:firstLine="900"/>
        <w:rPr>
          <w:rFonts w:ascii="Arial" w:eastAsia="Arial Unicode MS" w:hAnsi="Arial" w:cs="Arial"/>
          <w:b/>
          <w:color w:val="4F81BD" w:themeColor="accent1"/>
          <w:szCs w:val="26"/>
          <w:lang w:val="es-MX"/>
        </w:rPr>
      </w:pPr>
      <w:r w:rsidRPr="002F26F5">
        <w:rPr>
          <w:rFonts w:ascii="Arial" w:eastAsia="Arial Unicode MS" w:hAnsi="Arial" w:cs="Arial"/>
          <w:b/>
          <w:color w:val="4F81BD" w:themeColor="accent1"/>
          <w:szCs w:val="26"/>
          <w:lang w:val="es-MX"/>
        </w:rPr>
        <w:t>V</w:t>
      </w:r>
      <w:r w:rsidR="00547C44" w:rsidRPr="002F26F5">
        <w:rPr>
          <w:rFonts w:ascii="Arial" w:eastAsia="Arial Unicode MS" w:hAnsi="Arial" w:cs="Arial"/>
          <w:b/>
          <w:color w:val="4F81BD" w:themeColor="accent1"/>
          <w:szCs w:val="26"/>
          <w:lang w:val="es-MX"/>
        </w:rPr>
        <w:t>ISTO</w:t>
      </w:r>
      <w:r w:rsidR="00547C44" w:rsidRPr="002F26F5">
        <w:rPr>
          <w:rFonts w:ascii="Arial" w:eastAsia="Arial Unicode MS" w:hAnsi="Arial" w:cs="Arial"/>
          <w:color w:val="4F81BD" w:themeColor="accent1"/>
          <w:szCs w:val="26"/>
          <w:lang w:val="es-MX"/>
        </w:rPr>
        <w:t xml:space="preserve"> para resolver los autos que conforman el expediente </w:t>
      </w:r>
      <w:r w:rsidR="00950714" w:rsidRPr="002F26F5">
        <w:rPr>
          <w:rFonts w:ascii="Arial" w:hAnsi="Arial" w:cs="Arial"/>
          <w:b/>
          <w:color w:val="4F81BD" w:themeColor="accent1"/>
          <w:szCs w:val="26"/>
          <w:lang w:val="es-MX"/>
        </w:rPr>
        <w:t>039</w:t>
      </w:r>
      <w:r w:rsidR="007C6DA0" w:rsidRPr="002F26F5">
        <w:rPr>
          <w:rFonts w:ascii="Arial" w:hAnsi="Arial" w:cs="Arial"/>
          <w:b/>
          <w:color w:val="4F81BD" w:themeColor="accent1"/>
          <w:szCs w:val="26"/>
          <w:lang w:val="es-MX"/>
        </w:rPr>
        <w:t>/2018</w:t>
      </w:r>
      <w:r w:rsidR="00547C44" w:rsidRPr="002F26F5">
        <w:rPr>
          <w:rFonts w:ascii="Arial" w:hAnsi="Arial" w:cs="Arial"/>
          <w:b/>
          <w:color w:val="4F81BD" w:themeColor="accent1"/>
          <w:szCs w:val="26"/>
          <w:lang w:val="es-MX"/>
        </w:rPr>
        <w:t xml:space="preserve">-3 </w:t>
      </w:r>
      <w:r w:rsidR="00C3070D" w:rsidRPr="002F26F5">
        <w:rPr>
          <w:rFonts w:ascii="Arial" w:eastAsia="Arial Unicode MS" w:hAnsi="Arial" w:cs="Arial"/>
          <w:color w:val="4F81BD" w:themeColor="accent1"/>
          <w:szCs w:val="26"/>
          <w:lang w:val="es-MX"/>
        </w:rPr>
        <w:t>del índice de esta C</w:t>
      </w:r>
      <w:r w:rsidR="00547C44" w:rsidRPr="002F26F5">
        <w:rPr>
          <w:rFonts w:ascii="Arial" w:eastAsia="Arial Unicode MS" w:hAnsi="Arial" w:cs="Arial"/>
          <w:color w:val="4F81BD" w:themeColor="accent1"/>
          <w:szCs w:val="26"/>
          <w:lang w:val="es-MX"/>
        </w:rPr>
        <w:t xml:space="preserve">omisión, relativo al </w:t>
      </w:r>
      <w:r w:rsidR="00F1470A" w:rsidRPr="002F26F5">
        <w:rPr>
          <w:rFonts w:ascii="Arial" w:eastAsia="Arial Unicode MS" w:hAnsi="Arial" w:cs="Arial"/>
          <w:b/>
          <w:color w:val="4F81BD" w:themeColor="accent1"/>
          <w:szCs w:val="26"/>
          <w:lang w:val="es-MX"/>
        </w:rPr>
        <w:t>Recurso de R</w:t>
      </w:r>
      <w:r w:rsidR="00547C44" w:rsidRPr="002F26F5">
        <w:rPr>
          <w:rFonts w:ascii="Arial" w:eastAsia="Arial Unicode MS" w:hAnsi="Arial" w:cs="Arial"/>
          <w:b/>
          <w:color w:val="4F81BD" w:themeColor="accent1"/>
          <w:szCs w:val="26"/>
          <w:lang w:val="es-MX"/>
        </w:rPr>
        <w:t>evisión</w:t>
      </w:r>
      <w:r w:rsidR="00547C44" w:rsidRPr="002F26F5">
        <w:rPr>
          <w:rFonts w:ascii="Arial" w:eastAsia="Arial Unicode MS" w:hAnsi="Arial" w:cs="Arial"/>
          <w:color w:val="4F81BD" w:themeColor="accent1"/>
          <w:szCs w:val="26"/>
          <w:lang w:val="es-MX"/>
        </w:rPr>
        <w:t xml:space="preserve">, </w:t>
      </w:r>
      <w:r w:rsidRPr="002F26F5">
        <w:rPr>
          <w:rFonts w:ascii="Arial" w:eastAsia="Arial Unicode MS" w:hAnsi="Arial" w:cs="Arial"/>
          <w:color w:val="4F81BD" w:themeColor="accent1"/>
          <w:szCs w:val="26"/>
          <w:lang w:val="es-MX"/>
        </w:rPr>
        <w:t xml:space="preserve">interpuesto contra la respuesta emitida </w:t>
      </w:r>
      <w:r w:rsidR="00C02CBF" w:rsidRPr="002F26F5">
        <w:rPr>
          <w:rFonts w:ascii="Arial" w:eastAsia="Arial Unicode MS" w:hAnsi="Arial" w:cs="Arial"/>
          <w:color w:val="4F81BD" w:themeColor="accent1"/>
          <w:szCs w:val="26"/>
          <w:lang w:val="es-MX"/>
        </w:rPr>
        <w:t>por</w:t>
      </w:r>
      <w:r w:rsidR="00950714" w:rsidRPr="002F26F5">
        <w:rPr>
          <w:rFonts w:ascii="Arial" w:eastAsia="Arial Unicode MS" w:hAnsi="Arial" w:cs="Arial"/>
          <w:color w:val="4F81BD" w:themeColor="accent1"/>
          <w:szCs w:val="26"/>
          <w:lang w:val="es-MX"/>
        </w:rPr>
        <w:t xml:space="preserve"> el </w:t>
      </w:r>
      <w:r w:rsidR="00950714" w:rsidRPr="002F26F5">
        <w:rPr>
          <w:rFonts w:ascii="Arial" w:eastAsia="Arial Unicode MS" w:hAnsi="Arial" w:cs="Arial"/>
          <w:b/>
          <w:color w:val="4F81BD" w:themeColor="accent1"/>
          <w:szCs w:val="26"/>
          <w:lang w:val="es-MX"/>
        </w:rPr>
        <w:t>AYUNTAMIENTO DE RIOVERDE, S.L.P.</w:t>
      </w:r>
      <w:r w:rsidR="007C6DA0" w:rsidRPr="002F26F5">
        <w:rPr>
          <w:rFonts w:ascii="Arial" w:eastAsia="Arial Unicode MS" w:hAnsi="Arial" w:cs="Arial"/>
          <w:b/>
          <w:color w:val="4F81BD" w:themeColor="accent1"/>
          <w:szCs w:val="26"/>
          <w:lang w:val="es-MX"/>
        </w:rPr>
        <w:t xml:space="preserve">, </w:t>
      </w:r>
      <w:r w:rsidR="00F32508" w:rsidRPr="002F26F5">
        <w:rPr>
          <w:rFonts w:ascii="Arial" w:eastAsia="Arial Unicode MS" w:hAnsi="Arial" w:cs="Arial"/>
          <w:color w:val="4F81BD" w:themeColor="accent1"/>
          <w:szCs w:val="26"/>
          <w:lang w:val="es-MX"/>
        </w:rPr>
        <w:t>teniendo en consideración los siguientes:</w:t>
      </w:r>
      <w:r w:rsidR="00F1470A" w:rsidRPr="002F26F5">
        <w:rPr>
          <w:rFonts w:ascii="Arial" w:eastAsia="Arial Unicode MS" w:hAnsi="Arial" w:cs="Arial"/>
          <w:b/>
          <w:color w:val="4F81BD" w:themeColor="accent1"/>
          <w:szCs w:val="26"/>
          <w:lang w:val="es-MX"/>
        </w:rPr>
        <w:t xml:space="preserve">  </w:t>
      </w:r>
    </w:p>
    <w:p w:rsidR="00547C44" w:rsidRPr="002F26F5" w:rsidRDefault="00547C44" w:rsidP="00B91518">
      <w:pPr>
        <w:pStyle w:val="Textoindependienteprimerasangra"/>
        <w:spacing w:before="240"/>
        <w:ind w:firstLine="900"/>
        <w:jc w:val="center"/>
        <w:rPr>
          <w:rFonts w:ascii="Arial" w:eastAsia="Arial Unicode MS" w:hAnsi="Arial" w:cs="Arial"/>
          <w:b/>
          <w:color w:val="4F81BD" w:themeColor="accent1"/>
          <w:szCs w:val="26"/>
          <w:lang w:val="es-MX"/>
        </w:rPr>
      </w:pPr>
      <w:r w:rsidRPr="002F26F5">
        <w:rPr>
          <w:rFonts w:ascii="Arial" w:eastAsia="Arial Unicode MS" w:hAnsi="Arial" w:cs="Arial"/>
          <w:b/>
          <w:color w:val="4F81BD" w:themeColor="accent1"/>
          <w:szCs w:val="26"/>
          <w:lang w:val="es-MX"/>
        </w:rPr>
        <w:t>A N T E C E D E N T E S:</w:t>
      </w:r>
    </w:p>
    <w:p w:rsidR="00CE3139" w:rsidRPr="002F26F5" w:rsidRDefault="00547C44" w:rsidP="00B91518">
      <w:pPr>
        <w:pStyle w:val="Textoindependienteprimerasangra"/>
        <w:spacing w:before="240" w:after="0"/>
        <w:ind w:firstLine="900"/>
        <w:rPr>
          <w:rFonts w:ascii="Arial" w:eastAsia="Arial Unicode MS" w:hAnsi="Arial" w:cs="Arial"/>
          <w:color w:val="4F81BD" w:themeColor="accent1"/>
          <w:szCs w:val="26"/>
          <w:lang w:val="es-MX"/>
        </w:rPr>
      </w:pPr>
      <w:r w:rsidRPr="002F26F5">
        <w:rPr>
          <w:rFonts w:ascii="Arial" w:eastAsia="Arial Unicode MS" w:hAnsi="Arial" w:cs="Arial"/>
          <w:b/>
          <w:color w:val="4F81BD" w:themeColor="accent1"/>
          <w:szCs w:val="26"/>
          <w:lang w:val="es-MX"/>
        </w:rPr>
        <w:t xml:space="preserve">PRIMERO. Solicitud de Información. </w:t>
      </w:r>
      <w:r w:rsidR="00950714" w:rsidRPr="002F26F5">
        <w:rPr>
          <w:rFonts w:ascii="Arial" w:eastAsia="Arial Unicode MS" w:hAnsi="Arial" w:cs="Arial"/>
          <w:color w:val="4F81BD" w:themeColor="accent1"/>
          <w:szCs w:val="26"/>
          <w:lang w:val="es-MX"/>
        </w:rPr>
        <w:t xml:space="preserve">De las constancias que conforman el presente sumario, se advierte a foja 21, que en dieciocho de noviembre de dos mil diecisiete, la </w:t>
      </w:r>
      <w:r w:rsidR="000214B4" w:rsidRPr="002F26F5">
        <w:rPr>
          <w:rFonts w:ascii="Arial" w:eastAsia="Arial Unicode MS" w:hAnsi="Arial" w:cs="Arial"/>
          <w:color w:val="4F81BD" w:themeColor="accent1"/>
          <w:szCs w:val="26"/>
          <w:lang w:val="es-MX"/>
        </w:rPr>
        <w:t>recurrente</w:t>
      </w:r>
      <w:r w:rsidR="00C63190" w:rsidRPr="002F26F5">
        <w:rPr>
          <w:rFonts w:ascii="Arial" w:eastAsia="Arial Unicode MS" w:hAnsi="Arial" w:cs="Arial"/>
          <w:color w:val="4F81BD" w:themeColor="accent1"/>
          <w:szCs w:val="26"/>
          <w:lang w:val="es-MX"/>
        </w:rPr>
        <w:t xml:space="preserve"> </w:t>
      </w:r>
      <w:r w:rsidR="00AF29EF" w:rsidRPr="002F26F5">
        <w:rPr>
          <w:rFonts w:ascii="Arial" w:eastAsia="Arial Unicode MS" w:hAnsi="Arial" w:cs="Arial"/>
          <w:color w:val="4F81BD" w:themeColor="accent1"/>
          <w:szCs w:val="26"/>
          <w:lang w:val="es-MX"/>
        </w:rPr>
        <w:t xml:space="preserve">presentó </w:t>
      </w:r>
      <w:r w:rsidR="00CE3139" w:rsidRPr="002F26F5">
        <w:rPr>
          <w:rFonts w:ascii="Arial" w:eastAsia="Arial Unicode MS" w:hAnsi="Arial" w:cs="Arial"/>
          <w:color w:val="4F81BD" w:themeColor="accent1"/>
          <w:szCs w:val="26"/>
          <w:lang w:val="es-MX"/>
        </w:rPr>
        <w:t>ante</w:t>
      </w:r>
      <w:r w:rsidR="00950714" w:rsidRPr="002F26F5">
        <w:rPr>
          <w:rFonts w:ascii="Arial" w:eastAsia="Arial Unicode MS" w:hAnsi="Arial" w:cs="Arial"/>
          <w:color w:val="4F81BD" w:themeColor="accent1"/>
          <w:szCs w:val="26"/>
          <w:lang w:val="es-MX"/>
        </w:rPr>
        <w:t xml:space="preserve"> la Unidad de Transparencia del </w:t>
      </w:r>
      <w:r w:rsidR="00950714" w:rsidRPr="002F26F5">
        <w:rPr>
          <w:rFonts w:ascii="Arial" w:eastAsia="Arial Unicode MS" w:hAnsi="Arial" w:cs="Arial"/>
          <w:b/>
          <w:color w:val="4F81BD" w:themeColor="accent1"/>
          <w:szCs w:val="26"/>
          <w:lang w:val="es-MX"/>
        </w:rPr>
        <w:t xml:space="preserve">H. AYUNTAMIENTO DE RIOVERDE, </w:t>
      </w:r>
      <w:r w:rsidR="00095AB3" w:rsidRPr="002F26F5">
        <w:rPr>
          <w:rFonts w:ascii="Arial" w:eastAsia="Arial Unicode MS" w:hAnsi="Arial" w:cs="Arial"/>
          <w:color w:val="4F81BD" w:themeColor="accent1"/>
          <w:szCs w:val="26"/>
          <w:lang w:val="es-MX"/>
        </w:rPr>
        <w:t>una solicitud de información</w:t>
      </w:r>
      <w:r w:rsidR="00CE3139" w:rsidRPr="002F26F5">
        <w:rPr>
          <w:rFonts w:ascii="Arial" w:eastAsia="Arial Unicode MS" w:hAnsi="Arial" w:cs="Arial"/>
          <w:color w:val="4F81BD" w:themeColor="accent1"/>
          <w:szCs w:val="26"/>
          <w:lang w:val="es-MX"/>
        </w:rPr>
        <w:t xml:space="preserve">, y consistió la petición del solicitante en lo siguiente: </w:t>
      </w:r>
    </w:p>
    <w:p w:rsidR="00ED4F64" w:rsidRPr="002F26F5" w:rsidRDefault="00ED4F64" w:rsidP="00B91518">
      <w:pPr>
        <w:pStyle w:val="Textoindependienteprimerasangra"/>
        <w:ind w:left="567" w:firstLine="0"/>
        <w:rPr>
          <w:rFonts w:ascii="Arial" w:eastAsia="Arial Unicode MS" w:hAnsi="Arial" w:cs="Arial"/>
          <w:color w:val="4F81BD" w:themeColor="accent1"/>
          <w:szCs w:val="26"/>
          <w:lang w:val="es-MX"/>
        </w:rPr>
      </w:pPr>
    </w:p>
    <w:p w:rsidR="001C0785" w:rsidRPr="002F26F5" w:rsidRDefault="001C0785" w:rsidP="0044644D">
      <w:pPr>
        <w:pStyle w:val="Textoindependienteprimerasangra"/>
        <w:spacing w:line="240" w:lineRule="auto"/>
        <w:ind w:left="708" w:firstLine="708"/>
        <w:rPr>
          <w:rFonts w:ascii="Arial" w:eastAsia="Arial Unicode MS" w:hAnsi="Arial" w:cs="Arial"/>
          <w:i/>
          <w:color w:val="4F81BD" w:themeColor="accent1"/>
          <w:sz w:val="22"/>
          <w:szCs w:val="22"/>
          <w:lang w:val="es-MX"/>
        </w:rPr>
      </w:pPr>
      <w:r w:rsidRPr="002F26F5">
        <w:rPr>
          <w:rFonts w:ascii="Arial" w:eastAsia="Arial Unicode MS" w:hAnsi="Arial" w:cs="Arial"/>
          <w:i/>
          <w:color w:val="4F81BD" w:themeColor="accent1"/>
          <w:sz w:val="22"/>
          <w:szCs w:val="22"/>
          <w:lang w:val="es-MX"/>
        </w:rPr>
        <w:t>“…</w:t>
      </w:r>
      <w:r w:rsidR="00532A42" w:rsidRPr="002F26F5">
        <w:rPr>
          <w:rFonts w:ascii="Arial" w:eastAsia="Arial Unicode MS" w:hAnsi="Arial" w:cs="Arial"/>
          <w:i/>
          <w:color w:val="4F81BD" w:themeColor="accent1"/>
          <w:sz w:val="22"/>
          <w:szCs w:val="22"/>
          <w:lang w:val="es-MX"/>
        </w:rPr>
        <w:t>C</w:t>
      </w:r>
      <w:r w:rsidR="00950714" w:rsidRPr="002F26F5">
        <w:rPr>
          <w:rFonts w:ascii="Arial" w:eastAsia="Arial Unicode MS" w:hAnsi="Arial" w:cs="Arial"/>
          <w:i/>
          <w:color w:val="4F81BD" w:themeColor="accent1"/>
          <w:sz w:val="22"/>
          <w:szCs w:val="22"/>
          <w:lang w:val="es-MX"/>
        </w:rPr>
        <w:t>o</w:t>
      </w:r>
      <w:r w:rsidR="00532A42" w:rsidRPr="002F26F5">
        <w:rPr>
          <w:rFonts w:ascii="Arial" w:eastAsia="Arial Unicode MS" w:hAnsi="Arial" w:cs="Arial"/>
          <w:i/>
          <w:color w:val="4F81BD" w:themeColor="accent1"/>
          <w:sz w:val="22"/>
          <w:szCs w:val="22"/>
          <w:lang w:val="es-MX"/>
        </w:rPr>
        <w:t>n</w:t>
      </w:r>
      <w:r w:rsidR="00950714" w:rsidRPr="002F26F5">
        <w:rPr>
          <w:rFonts w:ascii="Arial" w:eastAsia="Arial Unicode MS" w:hAnsi="Arial" w:cs="Arial"/>
          <w:i/>
          <w:color w:val="4F81BD" w:themeColor="accent1"/>
          <w:sz w:val="22"/>
          <w:szCs w:val="22"/>
          <w:lang w:val="es-MX"/>
        </w:rPr>
        <w:t>venio suscrito entre dos particulares ante la oficina de enlace de la Procuraduría Federal del Consumidor (PROFECO), adscrita al referido Ayuntamiento, el cual fungió como conciliador de un problema entre proveedor y consumidor</w:t>
      </w:r>
      <w:r w:rsidR="005F748A" w:rsidRPr="002F26F5">
        <w:rPr>
          <w:rFonts w:ascii="Arial" w:eastAsia="Arial Unicode MS" w:hAnsi="Arial" w:cs="Arial"/>
          <w:i/>
          <w:color w:val="4F81BD" w:themeColor="accent1"/>
          <w:sz w:val="22"/>
          <w:szCs w:val="22"/>
          <w:lang w:val="es-MX"/>
        </w:rPr>
        <w:t>..</w:t>
      </w:r>
      <w:r w:rsidR="00DB05ED" w:rsidRPr="002F26F5">
        <w:rPr>
          <w:rFonts w:ascii="Arial" w:eastAsia="Arial Unicode MS" w:hAnsi="Arial" w:cs="Arial"/>
          <w:i/>
          <w:color w:val="4F81BD" w:themeColor="accent1"/>
          <w:sz w:val="22"/>
          <w:szCs w:val="22"/>
          <w:lang w:val="es-MX"/>
        </w:rPr>
        <w:t>.</w:t>
      </w:r>
      <w:r w:rsidR="005F748A" w:rsidRPr="002F26F5">
        <w:rPr>
          <w:rFonts w:ascii="Arial" w:eastAsia="Arial Unicode MS" w:hAnsi="Arial" w:cs="Arial"/>
          <w:i/>
          <w:color w:val="4F81BD" w:themeColor="accent1"/>
          <w:sz w:val="22"/>
          <w:szCs w:val="22"/>
          <w:lang w:val="es-MX"/>
        </w:rPr>
        <w:t>”.</w:t>
      </w:r>
    </w:p>
    <w:p w:rsidR="005F748A" w:rsidRPr="002F26F5" w:rsidRDefault="005F748A" w:rsidP="001C0785">
      <w:pPr>
        <w:pStyle w:val="Textoindependienteprimerasangra"/>
        <w:spacing w:line="240" w:lineRule="auto"/>
        <w:ind w:left="567" w:firstLine="0"/>
        <w:rPr>
          <w:rFonts w:ascii="Arial" w:eastAsia="Arial Unicode MS" w:hAnsi="Arial" w:cs="Arial"/>
          <w:i/>
          <w:color w:val="4F81BD" w:themeColor="accent1"/>
          <w:sz w:val="22"/>
          <w:szCs w:val="22"/>
          <w:lang w:val="es-MX"/>
        </w:rPr>
      </w:pPr>
      <w:r w:rsidRPr="002F26F5">
        <w:rPr>
          <w:rFonts w:ascii="Arial" w:eastAsia="Arial Unicode MS" w:hAnsi="Arial" w:cs="Arial"/>
          <w:i/>
          <w:color w:val="4F81BD" w:themeColor="accent1"/>
          <w:sz w:val="22"/>
          <w:szCs w:val="22"/>
          <w:lang w:val="es-MX"/>
        </w:rPr>
        <w:t xml:space="preserve"> </w:t>
      </w:r>
    </w:p>
    <w:p w:rsidR="00CE3139" w:rsidRPr="002F26F5" w:rsidRDefault="00547C44" w:rsidP="00B84560">
      <w:pPr>
        <w:spacing w:after="200"/>
        <w:ind w:firstLine="708"/>
        <w:rPr>
          <w:rFonts w:ascii="Arial" w:hAnsi="Arial" w:cs="Arial"/>
          <w:color w:val="4F81BD" w:themeColor="accent1"/>
          <w:sz w:val="24"/>
        </w:rPr>
      </w:pPr>
      <w:r w:rsidRPr="002F26F5">
        <w:rPr>
          <w:rFonts w:ascii="Arial" w:eastAsia="Arial Unicode MS" w:hAnsi="Arial" w:cs="Arial"/>
          <w:b/>
          <w:color w:val="4F81BD" w:themeColor="accent1"/>
          <w:szCs w:val="26"/>
        </w:rPr>
        <w:t xml:space="preserve">SEGUNDO. </w:t>
      </w:r>
      <w:r w:rsidRPr="002F26F5">
        <w:rPr>
          <w:rFonts w:ascii="Arial" w:hAnsi="Arial" w:cs="Arial"/>
          <w:b/>
          <w:color w:val="4F81BD" w:themeColor="accent1"/>
          <w:szCs w:val="26"/>
        </w:rPr>
        <w:t xml:space="preserve">Respuesta del sujeto obligado. </w:t>
      </w:r>
      <w:r w:rsidR="000526E6" w:rsidRPr="002F26F5">
        <w:rPr>
          <w:rFonts w:ascii="Arial" w:hAnsi="Arial" w:cs="Arial"/>
          <w:color w:val="4F81BD" w:themeColor="accent1"/>
          <w:szCs w:val="26"/>
        </w:rPr>
        <w:t xml:space="preserve">El </w:t>
      </w:r>
      <w:r w:rsidR="00B103BD" w:rsidRPr="002F26F5">
        <w:rPr>
          <w:rFonts w:ascii="Arial" w:hAnsi="Arial" w:cs="Arial"/>
          <w:color w:val="4F81BD" w:themeColor="accent1"/>
          <w:szCs w:val="26"/>
        </w:rPr>
        <w:t>veinti</w:t>
      </w:r>
      <w:r w:rsidR="00532A42" w:rsidRPr="002F26F5">
        <w:rPr>
          <w:rFonts w:ascii="Arial" w:hAnsi="Arial" w:cs="Arial"/>
          <w:color w:val="4F81BD" w:themeColor="accent1"/>
          <w:szCs w:val="26"/>
        </w:rPr>
        <w:t xml:space="preserve">nueve de noviembre de dos mil diecisiete, </w:t>
      </w:r>
      <w:r w:rsidR="002866A6" w:rsidRPr="002F26F5">
        <w:rPr>
          <w:rFonts w:ascii="Arial" w:hAnsi="Arial" w:cs="Arial"/>
          <w:color w:val="4F81BD" w:themeColor="accent1"/>
          <w:szCs w:val="26"/>
        </w:rPr>
        <w:t xml:space="preserve">se notificó </w:t>
      </w:r>
      <w:r w:rsidR="00CE3139" w:rsidRPr="002F26F5">
        <w:rPr>
          <w:rFonts w:ascii="Arial" w:hAnsi="Arial" w:cs="Arial"/>
          <w:color w:val="4F81BD" w:themeColor="accent1"/>
          <w:szCs w:val="26"/>
        </w:rPr>
        <w:t>la respuesta</w:t>
      </w:r>
      <w:r w:rsidR="005F748A" w:rsidRPr="002F26F5">
        <w:rPr>
          <w:rFonts w:ascii="Arial" w:hAnsi="Arial" w:cs="Arial"/>
          <w:color w:val="4F81BD" w:themeColor="accent1"/>
          <w:szCs w:val="26"/>
        </w:rPr>
        <w:t xml:space="preserve"> a la solicitud </w:t>
      </w:r>
      <w:r w:rsidR="00532A42" w:rsidRPr="002F26F5">
        <w:rPr>
          <w:rFonts w:ascii="Arial" w:hAnsi="Arial" w:cs="Arial"/>
          <w:color w:val="4F81BD" w:themeColor="accent1"/>
          <w:szCs w:val="26"/>
        </w:rPr>
        <w:t>de información</w:t>
      </w:r>
      <w:r w:rsidR="005542B7" w:rsidRPr="002F26F5">
        <w:rPr>
          <w:rFonts w:ascii="Arial" w:hAnsi="Arial" w:cs="Arial"/>
          <w:color w:val="4F81BD" w:themeColor="accent1"/>
          <w:szCs w:val="26"/>
        </w:rPr>
        <w:t>, por la cual se hizo del conocimiento del solicitante el pronunciamiento emitido respecto a su petición, en los términos siguientes:</w:t>
      </w:r>
      <w:r w:rsidR="005542B7" w:rsidRPr="002F26F5">
        <w:rPr>
          <w:rFonts w:ascii="Arial" w:hAnsi="Arial" w:cs="Arial"/>
          <w:color w:val="4F81BD" w:themeColor="accent1"/>
          <w:sz w:val="24"/>
        </w:rPr>
        <w:t xml:space="preserve"> </w:t>
      </w:r>
    </w:p>
    <w:p w:rsidR="005542B7" w:rsidRPr="002F26F5" w:rsidRDefault="005542B7" w:rsidP="00A31753">
      <w:pPr>
        <w:spacing w:after="200" w:line="240" w:lineRule="auto"/>
        <w:ind w:firstLine="708"/>
        <w:rPr>
          <w:rFonts w:ascii="Arial" w:hAnsi="Arial" w:cs="Arial"/>
          <w:i/>
          <w:color w:val="4F81BD" w:themeColor="accent1"/>
          <w:sz w:val="22"/>
          <w:szCs w:val="22"/>
        </w:rPr>
      </w:pPr>
      <w:r w:rsidRPr="002F26F5">
        <w:rPr>
          <w:rFonts w:ascii="Arial" w:hAnsi="Arial" w:cs="Arial"/>
          <w:i/>
          <w:color w:val="4F81BD" w:themeColor="accent1"/>
          <w:sz w:val="22"/>
          <w:szCs w:val="22"/>
        </w:rPr>
        <w:lastRenderedPageBreak/>
        <w:t>“…</w:t>
      </w:r>
      <w:proofErr w:type="spellStart"/>
      <w:r w:rsidR="00532A42" w:rsidRPr="002F26F5">
        <w:rPr>
          <w:rFonts w:ascii="Arial" w:hAnsi="Arial" w:cs="Arial"/>
          <w:i/>
          <w:color w:val="4F81BD" w:themeColor="accent1"/>
          <w:sz w:val="22"/>
          <w:szCs w:val="22"/>
        </w:rPr>
        <w:t>Desé</w:t>
      </w:r>
      <w:proofErr w:type="spellEnd"/>
      <w:r w:rsidR="00532A42" w:rsidRPr="002F26F5">
        <w:rPr>
          <w:rFonts w:ascii="Arial" w:hAnsi="Arial" w:cs="Arial"/>
          <w:i/>
          <w:color w:val="4F81BD" w:themeColor="accent1"/>
          <w:sz w:val="22"/>
          <w:szCs w:val="22"/>
        </w:rPr>
        <w:t xml:space="preserve"> por recibido en esta Unidad de Transparencia el día 18 de los corrientes, escrito de la (…); visto y analizado lo que fue solicitado, DIGASELE que no ha lugar a proveer de conformidad toda vez que la información que necesita es de carácter confidencial de acuerdo a lo dispuesto por el numeral 138 de la Ley de Transparencia y Acceso a la Información Pública del Estado, en virtud de que la misma obran datos personales que aparecen en la información requerida coinciden con la promovente, con fundamento en el artículo 54 fracción II de la Ley de la Materia y en apego al principio de suplencia de la deficiencia, se le exhorta a la ciudadana para ejerza su derecho ARCO, específicamente el de Acceso, solicitando a esta Unidad la información que requiere, previa acreditación de un interés legítimo y jurídico, de acuerdo a lo dispuesto por los ordinales </w:t>
      </w:r>
      <w:r w:rsidR="008C1B33" w:rsidRPr="002F26F5">
        <w:rPr>
          <w:rFonts w:ascii="Arial" w:hAnsi="Arial" w:cs="Arial"/>
          <w:i/>
          <w:color w:val="4F81BD" w:themeColor="accent1"/>
          <w:sz w:val="22"/>
          <w:szCs w:val="22"/>
        </w:rPr>
        <w:t>62, 63, 69, 72, 73, 74, 75 y demás relativos de la Ley de Protección de Datos Personales en Posesión de sujetos Obligados…”</w:t>
      </w:r>
    </w:p>
    <w:p w:rsidR="00547C44" w:rsidRPr="002F26F5" w:rsidRDefault="005542B7" w:rsidP="00914E12">
      <w:pPr>
        <w:spacing w:after="200"/>
        <w:ind w:firstLine="708"/>
        <w:rPr>
          <w:rFonts w:ascii="Arial" w:eastAsia="Arial Unicode MS" w:hAnsi="Arial" w:cs="Arial"/>
          <w:color w:val="4F81BD" w:themeColor="accent1"/>
          <w:szCs w:val="26"/>
          <w:lang w:val="es-MX"/>
        </w:rPr>
      </w:pPr>
      <w:r w:rsidRPr="002F26F5">
        <w:rPr>
          <w:rFonts w:ascii="Arial" w:hAnsi="Arial" w:cs="Arial"/>
          <w:b/>
          <w:color w:val="4F81BD" w:themeColor="accent1"/>
          <w:szCs w:val="26"/>
        </w:rPr>
        <w:t>T</w:t>
      </w:r>
      <w:r w:rsidR="00547C44" w:rsidRPr="002F26F5">
        <w:rPr>
          <w:rFonts w:ascii="Arial" w:hAnsi="Arial" w:cs="Arial"/>
          <w:b/>
          <w:color w:val="4F81BD" w:themeColor="accent1"/>
          <w:szCs w:val="26"/>
        </w:rPr>
        <w:t xml:space="preserve">ERCERO. Interposición del recurso de revisión. </w:t>
      </w:r>
      <w:r w:rsidR="00AF29EF" w:rsidRPr="002F26F5">
        <w:rPr>
          <w:rFonts w:ascii="Arial" w:eastAsia="Arial Unicode MS" w:hAnsi="Arial" w:cs="Arial"/>
          <w:color w:val="4F81BD" w:themeColor="accent1"/>
          <w:szCs w:val="26"/>
          <w:lang w:val="es-MX"/>
        </w:rPr>
        <w:t xml:space="preserve">El </w:t>
      </w:r>
      <w:r w:rsidR="008C1B33" w:rsidRPr="002F26F5">
        <w:rPr>
          <w:rFonts w:ascii="Arial" w:eastAsia="Arial Unicode MS" w:hAnsi="Arial" w:cs="Arial"/>
          <w:color w:val="4F81BD" w:themeColor="accent1"/>
          <w:szCs w:val="26"/>
          <w:lang w:val="es-MX"/>
        </w:rPr>
        <w:t xml:space="preserve">doce de diciembre de dos mil diecisiete, se tuvo por recibida en la Unidad de Atención a Denuncias, la inconformidad planteada respecto de la respuesta otorgada a través de la solicitud de acceso del aquí inconforme, </w:t>
      </w:r>
      <w:r w:rsidR="00775462" w:rsidRPr="002F26F5">
        <w:rPr>
          <w:rFonts w:ascii="Arial" w:eastAsia="Arial Unicode MS" w:hAnsi="Arial" w:cs="Arial"/>
          <w:color w:val="4F81BD" w:themeColor="accent1"/>
          <w:szCs w:val="26"/>
          <w:lang w:val="es-MX"/>
        </w:rPr>
        <w:t xml:space="preserve">la cual </w:t>
      </w:r>
      <w:r w:rsidR="008C1B33" w:rsidRPr="002F26F5">
        <w:rPr>
          <w:rFonts w:ascii="Arial" w:eastAsia="Arial Unicode MS" w:hAnsi="Arial" w:cs="Arial"/>
          <w:color w:val="4F81BD" w:themeColor="accent1"/>
          <w:szCs w:val="26"/>
          <w:lang w:val="es-MX"/>
        </w:rPr>
        <w:t xml:space="preserve">fue remitida mediante proveído de quince de diciembre de dos mil dieciséis, siendo </w:t>
      </w:r>
      <w:r w:rsidR="00775462" w:rsidRPr="002F26F5">
        <w:rPr>
          <w:rFonts w:ascii="Arial" w:eastAsia="Arial Unicode MS" w:hAnsi="Arial" w:cs="Arial"/>
          <w:color w:val="4F81BD" w:themeColor="accent1"/>
          <w:szCs w:val="26"/>
          <w:lang w:val="es-MX"/>
        </w:rPr>
        <w:t>que</w:t>
      </w:r>
      <w:r w:rsidR="00547C44" w:rsidRPr="002F26F5">
        <w:rPr>
          <w:rFonts w:ascii="Arial" w:hAnsi="Arial" w:cs="Arial"/>
          <w:color w:val="4F81BD" w:themeColor="accent1"/>
          <w:szCs w:val="26"/>
        </w:rPr>
        <w:t xml:space="preserve"> este Órgano</w:t>
      </w:r>
      <w:r w:rsidR="00663908" w:rsidRPr="002F26F5">
        <w:rPr>
          <w:rFonts w:ascii="Arial" w:hAnsi="Arial" w:cs="Arial"/>
          <w:color w:val="4F81BD" w:themeColor="accent1"/>
          <w:szCs w:val="26"/>
        </w:rPr>
        <w:t xml:space="preserve"> Garante</w:t>
      </w:r>
      <w:r w:rsidR="00547C44" w:rsidRPr="002F26F5">
        <w:rPr>
          <w:rFonts w:ascii="Arial" w:hAnsi="Arial" w:cs="Arial"/>
          <w:color w:val="4F81BD" w:themeColor="accent1"/>
          <w:szCs w:val="26"/>
        </w:rPr>
        <w:t xml:space="preserve"> recibió el recurso de revisión interpuesto por el ahora recurrente contra l</w:t>
      </w:r>
      <w:r w:rsidR="00AE305F" w:rsidRPr="002F26F5">
        <w:rPr>
          <w:rFonts w:ascii="Arial" w:hAnsi="Arial" w:cs="Arial"/>
          <w:color w:val="4F81BD" w:themeColor="accent1"/>
          <w:szCs w:val="26"/>
        </w:rPr>
        <w:t>a respuesta emitida por parte d</w:t>
      </w:r>
      <w:r w:rsidR="00467BF1" w:rsidRPr="002F26F5">
        <w:rPr>
          <w:rFonts w:ascii="Arial" w:hAnsi="Arial" w:cs="Arial"/>
          <w:color w:val="4F81BD" w:themeColor="accent1"/>
          <w:szCs w:val="26"/>
        </w:rPr>
        <w:t>e</w:t>
      </w:r>
      <w:r w:rsidR="008C1B33" w:rsidRPr="002F26F5">
        <w:rPr>
          <w:rFonts w:ascii="Arial" w:hAnsi="Arial" w:cs="Arial"/>
          <w:color w:val="4F81BD" w:themeColor="accent1"/>
          <w:szCs w:val="26"/>
        </w:rPr>
        <w:t xml:space="preserve">l </w:t>
      </w:r>
      <w:r w:rsidR="008C1B33" w:rsidRPr="002F26F5">
        <w:rPr>
          <w:rFonts w:ascii="Arial" w:hAnsi="Arial" w:cs="Arial"/>
          <w:b/>
          <w:color w:val="4F81BD" w:themeColor="accent1"/>
          <w:szCs w:val="26"/>
        </w:rPr>
        <w:t>H. AYUNTAMIENTO DE RIOVERDE, S.L.P.</w:t>
      </w:r>
      <w:r w:rsidR="00547C44" w:rsidRPr="002F26F5">
        <w:rPr>
          <w:rFonts w:ascii="Arial" w:eastAsia="Arial Unicode MS" w:hAnsi="Arial" w:cs="Arial"/>
          <w:b/>
          <w:color w:val="4F81BD" w:themeColor="accent1"/>
          <w:szCs w:val="26"/>
          <w:lang w:val="es-MX"/>
        </w:rPr>
        <w:t>,</w:t>
      </w:r>
      <w:r w:rsidR="00663908" w:rsidRPr="002F26F5">
        <w:rPr>
          <w:rFonts w:ascii="Arial" w:eastAsia="Arial Unicode MS" w:hAnsi="Arial" w:cs="Arial"/>
          <w:b/>
          <w:color w:val="4F81BD" w:themeColor="accent1"/>
          <w:szCs w:val="26"/>
          <w:lang w:val="es-MX"/>
        </w:rPr>
        <w:t xml:space="preserve"> </w:t>
      </w:r>
      <w:r w:rsidR="00C9337E" w:rsidRPr="002F26F5">
        <w:rPr>
          <w:rFonts w:ascii="Arial" w:hAnsi="Arial" w:cs="Arial"/>
          <w:color w:val="4F81BD" w:themeColor="accent1"/>
          <w:szCs w:val="26"/>
        </w:rPr>
        <w:t>y señaló</w:t>
      </w:r>
      <w:r w:rsidR="00547C44" w:rsidRPr="002F26F5">
        <w:rPr>
          <w:rFonts w:ascii="Arial" w:hAnsi="Arial" w:cs="Arial"/>
          <w:color w:val="4F81BD" w:themeColor="accent1"/>
          <w:szCs w:val="26"/>
        </w:rPr>
        <w:t xml:space="preserve"> como </w:t>
      </w:r>
      <w:r w:rsidR="00834848" w:rsidRPr="002F26F5">
        <w:rPr>
          <w:rFonts w:ascii="Arial" w:hAnsi="Arial" w:cs="Arial"/>
          <w:color w:val="4F81BD" w:themeColor="accent1"/>
          <w:szCs w:val="26"/>
        </w:rPr>
        <w:t xml:space="preserve">motivos </w:t>
      </w:r>
      <w:r w:rsidR="00547C44" w:rsidRPr="002F26F5">
        <w:rPr>
          <w:rFonts w:ascii="Arial" w:hAnsi="Arial" w:cs="Arial"/>
          <w:color w:val="4F81BD" w:themeColor="accent1"/>
          <w:szCs w:val="26"/>
        </w:rPr>
        <w:t>de inconformidad</w:t>
      </w:r>
      <w:r w:rsidR="00775462" w:rsidRPr="002F26F5">
        <w:rPr>
          <w:rFonts w:ascii="Arial" w:hAnsi="Arial" w:cs="Arial"/>
          <w:color w:val="4F81BD" w:themeColor="accent1"/>
          <w:szCs w:val="26"/>
        </w:rPr>
        <w:t xml:space="preserve"> (foja 5)</w:t>
      </w:r>
      <w:r w:rsidR="00547C44" w:rsidRPr="002F26F5">
        <w:rPr>
          <w:rFonts w:ascii="Arial" w:hAnsi="Arial" w:cs="Arial"/>
          <w:color w:val="4F81BD" w:themeColor="accent1"/>
          <w:szCs w:val="26"/>
        </w:rPr>
        <w:t>:</w:t>
      </w:r>
    </w:p>
    <w:p w:rsidR="005542B7" w:rsidRPr="002F26F5" w:rsidRDefault="00775462" w:rsidP="00775462">
      <w:pPr>
        <w:pStyle w:val="Textoindependienteprimerasangra"/>
        <w:spacing w:before="240" w:line="240" w:lineRule="auto"/>
        <w:ind w:left="709" w:firstLine="708"/>
        <w:rPr>
          <w:rFonts w:ascii="Arial" w:hAnsi="Arial" w:cs="Arial"/>
          <w:i/>
          <w:noProof/>
          <w:color w:val="4F81BD" w:themeColor="accent1"/>
          <w:lang w:val="es-MX" w:eastAsia="es-MX"/>
        </w:rPr>
      </w:pPr>
      <w:r w:rsidRPr="002F26F5">
        <w:rPr>
          <w:rFonts w:ascii="Arial" w:hAnsi="Arial" w:cs="Arial"/>
          <w:i/>
          <w:noProof/>
          <w:color w:val="4F81BD" w:themeColor="accent1"/>
          <w:sz w:val="22"/>
          <w:szCs w:val="22"/>
          <w:lang w:val="es-MX" w:eastAsia="es-MX"/>
        </w:rPr>
        <w:t>”…Negativa de expedición de convenio suscrito por mi (…) ante el módulo de enlace de la profeco y conducef perteneciente al H. Ayuntamiento de Rioverde donde estoy debidamente legitimada para solicitar la copia de mi convenio misma que me fue negada mediante auto de veintinueve de noviembre de dos mil diecisiete dentro del expediente 182/2017, firmada por el titular de la unidad de transparencia de Rioverde C. Juan Esteban Sanchez López, situación que me causa perjuicio y que solicito su ayuda e intervención al ser información pública…”.</w:t>
      </w:r>
    </w:p>
    <w:p w:rsidR="00777B18" w:rsidRDefault="00547C44" w:rsidP="00777B18">
      <w:pPr>
        <w:spacing w:after="240"/>
        <w:rPr>
          <w:rFonts w:ascii="Arial" w:hAnsi="Arial" w:cs="Arial"/>
          <w:color w:val="4F81BD" w:themeColor="accent1"/>
          <w:sz w:val="24"/>
        </w:rPr>
      </w:pPr>
      <w:r w:rsidRPr="002F26F5">
        <w:rPr>
          <w:rFonts w:ascii="Arial" w:hAnsi="Arial" w:cs="Arial"/>
          <w:color w:val="4F81BD" w:themeColor="accent1"/>
          <w:sz w:val="24"/>
        </w:rPr>
        <w:tab/>
      </w:r>
    </w:p>
    <w:p w:rsidR="004602D7" w:rsidRPr="002F26F5" w:rsidRDefault="00547C44" w:rsidP="00777B18">
      <w:pPr>
        <w:spacing w:after="240"/>
        <w:ind w:firstLine="708"/>
        <w:rPr>
          <w:rFonts w:ascii="Arial" w:hAnsi="Arial" w:cs="Arial"/>
          <w:color w:val="4F81BD" w:themeColor="accent1"/>
          <w:szCs w:val="26"/>
        </w:rPr>
      </w:pPr>
      <w:r w:rsidRPr="002F26F5">
        <w:rPr>
          <w:rFonts w:ascii="Arial" w:hAnsi="Arial" w:cs="Arial"/>
          <w:b/>
          <w:color w:val="4F81BD" w:themeColor="accent1"/>
          <w:szCs w:val="26"/>
        </w:rPr>
        <w:t>CUARTO. Turno.</w:t>
      </w:r>
      <w:r w:rsidRPr="002F26F5">
        <w:rPr>
          <w:rFonts w:ascii="Arial" w:hAnsi="Arial" w:cs="Arial"/>
          <w:color w:val="4F81BD" w:themeColor="accent1"/>
          <w:szCs w:val="26"/>
        </w:rPr>
        <w:t xml:space="preserve"> De conformidad con el artículo 174, fracción I de la Ley de Transparencia y Acceso a la Información Pública del Estado, el recurso de revisión </w:t>
      </w:r>
      <w:r w:rsidRPr="002F26F5">
        <w:rPr>
          <w:rFonts w:ascii="Arial" w:hAnsi="Arial" w:cs="Arial"/>
          <w:b/>
          <w:color w:val="4F81BD" w:themeColor="accent1"/>
          <w:szCs w:val="26"/>
        </w:rPr>
        <w:t>R</w:t>
      </w:r>
      <w:r w:rsidR="00775462" w:rsidRPr="002F26F5">
        <w:rPr>
          <w:rFonts w:ascii="Arial" w:hAnsi="Arial" w:cs="Arial"/>
          <w:b/>
          <w:color w:val="4F81BD" w:themeColor="accent1"/>
          <w:szCs w:val="26"/>
        </w:rPr>
        <w:t>R-039</w:t>
      </w:r>
      <w:r w:rsidR="00412DE5" w:rsidRPr="002F26F5">
        <w:rPr>
          <w:rFonts w:ascii="Arial" w:hAnsi="Arial" w:cs="Arial"/>
          <w:b/>
          <w:color w:val="4F81BD" w:themeColor="accent1"/>
          <w:szCs w:val="26"/>
        </w:rPr>
        <w:t>/2018</w:t>
      </w:r>
      <w:r w:rsidRPr="002F26F5">
        <w:rPr>
          <w:rFonts w:ascii="Arial" w:hAnsi="Arial" w:cs="Arial"/>
          <w:b/>
          <w:color w:val="4F81BD" w:themeColor="accent1"/>
          <w:szCs w:val="26"/>
        </w:rPr>
        <w:t>-3</w:t>
      </w:r>
      <w:r w:rsidR="00EC02D9" w:rsidRPr="002F26F5">
        <w:rPr>
          <w:rFonts w:ascii="Arial" w:hAnsi="Arial" w:cs="Arial"/>
          <w:b/>
          <w:color w:val="4F81BD" w:themeColor="accent1"/>
          <w:szCs w:val="26"/>
        </w:rPr>
        <w:t>,</w:t>
      </w:r>
      <w:r w:rsidRPr="002F26F5">
        <w:rPr>
          <w:rFonts w:ascii="Arial" w:hAnsi="Arial" w:cs="Arial"/>
          <w:color w:val="4F81BD" w:themeColor="accent1"/>
          <w:szCs w:val="26"/>
        </w:rPr>
        <w:t xml:space="preserve"> fue turnado a la Comisionada Ponente, para que sustanciara el periodo de instrucción, y en su momento presentara al Pleno el proyecto de resolución correspondiente.</w:t>
      </w:r>
    </w:p>
    <w:p w:rsidR="00547C44" w:rsidRPr="002F26F5" w:rsidRDefault="00547C44" w:rsidP="00B91518">
      <w:pPr>
        <w:spacing w:after="240"/>
        <w:rPr>
          <w:rFonts w:ascii="Arial" w:hAnsi="Arial" w:cs="Arial"/>
          <w:color w:val="4F81BD" w:themeColor="accent1"/>
          <w:szCs w:val="26"/>
        </w:rPr>
      </w:pPr>
      <w:r w:rsidRPr="002F26F5">
        <w:rPr>
          <w:rFonts w:ascii="Arial" w:hAnsi="Arial" w:cs="Arial"/>
          <w:b/>
          <w:color w:val="4F81BD" w:themeColor="accent1"/>
          <w:szCs w:val="26"/>
        </w:rPr>
        <w:tab/>
        <w:t xml:space="preserve">QUINTO. Admisión. </w:t>
      </w:r>
      <w:r w:rsidRPr="002F26F5">
        <w:rPr>
          <w:rFonts w:ascii="Arial" w:hAnsi="Arial" w:cs="Arial"/>
          <w:color w:val="4F81BD" w:themeColor="accent1"/>
          <w:szCs w:val="26"/>
        </w:rPr>
        <w:t xml:space="preserve">El </w:t>
      </w:r>
      <w:r w:rsidR="00775462" w:rsidRPr="002F26F5">
        <w:rPr>
          <w:rFonts w:ascii="Arial" w:hAnsi="Arial" w:cs="Arial"/>
          <w:color w:val="4F81BD" w:themeColor="accent1"/>
          <w:szCs w:val="26"/>
        </w:rPr>
        <w:t>treinta y uno de enero</w:t>
      </w:r>
      <w:r w:rsidR="00412DE5" w:rsidRPr="002F26F5">
        <w:rPr>
          <w:rFonts w:ascii="Arial" w:hAnsi="Arial" w:cs="Arial"/>
          <w:color w:val="4F81BD" w:themeColor="accent1"/>
          <w:szCs w:val="26"/>
        </w:rPr>
        <w:t xml:space="preserve"> de dos mil dieciocho</w:t>
      </w:r>
      <w:r w:rsidRPr="002F26F5">
        <w:rPr>
          <w:rFonts w:ascii="Arial" w:hAnsi="Arial" w:cs="Arial"/>
          <w:color w:val="4F81BD" w:themeColor="accent1"/>
          <w:szCs w:val="26"/>
        </w:rPr>
        <w:t xml:space="preserve">, esta Comisión, con base en el artículo 174, fracción II de la Ley de Transparencia del Estado, admitió el presente medio de impugnación, a fin de integrar el expediente respectivo y ponerlo a disposición de las </w:t>
      </w:r>
      <w:r w:rsidRPr="002F26F5">
        <w:rPr>
          <w:rFonts w:ascii="Arial" w:hAnsi="Arial" w:cs="Arial"/>
          <w:color w:val="4F81BD" w:themeColor="accent1"/>
          <w:szCs w:val="26"/>
        </w:rPr>
        <w:lastRenderedPageBreak/>
        <w:t xml:space="preserve">partes para que en el plazo que reconoce la ley manifestaran y ofrecieran las pruebas que a su derecho correspondía. </w:t>
      </w:r>
    </w:p>
    <w:p w:rsidR="004602D7" w:rsidRPr="002F26F5" w:rsidRDefault="00547C44" w:rsidP="00B91518">
      <w:pPr>
        <w:spacing w:before="240" w:after="240"/>
        <w:rPr>
          <w:rFonts w:ascii="Arial" w:hAnsi="Arial" w:cs="Arial"/>
          <w:color w:val="4F81BD" w:themeColor="accent1"/>
          <w:szCs w:val="26"/>
        </w:rPr>
      </w:pPr>
      <w:r w:rsidRPr="002F26F5">
        <w:rPr>
          <w:rFonts w:ascii="Arial" w:hAnsi="Arial" w:cs="Arial"/>
          <w:b/>
          <w:color w:val="4F81BD" w:themeColor="accent1"/>
          <w:szCs w:val="26"/>
        </w:rPr>
        <w:tab/>
        <w:t xml:space="preserve">SEXTO. </w:t>
      </w:r>
      <w:r w:rsidR="00BD5377" w:rsidRPr="002F26F5">
        <w:rPr>
          <w:rFonts w:ascii="Arial" w:hAnsi="Arial" w:cs="Arial"/>
          <w:b/>
          <w:color w:val="4F81BD" w:themeColor="accent1"/>
          <w:szCs w:val="26"/>
        </w:rPr>
        <w:t>Manifestaciones de las partes</w:t>
      </w:r>
      <w:r w:rsidRPr="002F26F5">
        <w:rPr>
          <w:rFonts w:ascii="Arial" w:hAnsi="Arial" w:cs="Arial"/>
          <w:b/>
          <w:color w:val="4F81BD" w:themeColor="accent1"/>
          <w:szCs w:val="26"/>
        </w:rPr>
        <w:t xml:space="preserve">. </w:t>
      </w:r>
      <w:r w:rsidRPr="002F26F5">
        <w:rPr>
          <w:rFonts w:ascii="Arial" w:hAnsi="Arial" w:cs="Arial"/>
          <w:color w:val="4F81BD" w:themeColor="accent1"/>
          <w:szCs w:val="26"/>
        </w:rPr>
        <w:t xml:space="preserve">El </w:t>
      </w:r>
      <w:r w:rsidR="00A31753" w:rsidRPr="002F26F5">
        <w:rPr>
          <w:rFonts w:ascii="Arial" w:hAnsi="Arial" w:cs="Arial"/>
          <w:color w:val="4F81BD" w:themeColor="accent1"/>
          <w:szCs w:val="26"/>
        </w:rPr>
        <w:t>dos de marzo</w:t>
      </w:r>
      <w:r w:rsidR="00412DE5" w:rsidRPr="002F26F5">
        <w:rPr>
          <w:rFonts w:ascii="Arial" w:hAnsi="Arial" w:cs="Arial"/>
          <w:color w:val="4F81BD" w:themeColor="accent1"/>
          <w:szCs w:val="26"/>
        </w:rPr>
        <w:t xml:space="preserve"> de dos mil dieciocho</w:t>
      </w:r>
      <w:r w:rsidRPr="002F26F5">
        <w:rPr>
          <w:rFonts w:ascii="Arial" w:hAnsi="Arial" w:cs="Arial"/>
          <w:color w:val="4F81BD" w:themeColor="accent1"/>
          <w:szCs w:val="26"/>
        </w:rPr>
        <w:t>, se emitió un acuerdo po</w:t>
      </w:r>
      <w:r w:rsidR="00412DE5" w:rsidRPr="002F26F5">
        <w:rPr>
          <w:rFonts w:ascii="Arial" w:hAnsi="Arial" w:cs="Arial"/>
          <w:color w:val="4F81BD" w:themeColor="accent1"/>
          <w:szCs w:val="26"/>
        </w:rPr>
        <w:t>r el cual se tuvo</w:t>
      </w:r>
      <w:r w:rsidR="00C9337E" w:rsidRPr="002F26F5">
        <w:rPr>
          <w:rFonts w:ascii="Arial" w:hAnsi="Arial" w:cs="Arial"/>
          <w:color w:val="4F81BD" w:themeColor="accent1"/>
          <w:szCs w:val="26"/>
        </w:rPr>
        <w:t xml:space="preserve"> por recibido </w:t>
      </w:r>
      <w:r w:rsidR="00412DE5" w:rsidRPr="002F26F5">
        <w:rPr>
          <w:rFonts w:ascii="Arial" w:hAnsi="Arial" w:cs="Arial"/>
          <w:color w:val="4F81BD" w:themeColor="accent1"/>
          <w:szCs w:val="26"/>
        </w:rPr>
        <w:t xml:space="preserve">el </w:t>
      </w:r>
      <w:r w:rsidR="00C9337E" w:rsidRPr="002F26F5">
        <w:rPr>
          <w:rFonts w:ascii="Arial" w:hAnsi="Arial" w:cs="Arial"/>
          <w:color w:val="4F81BD" w:themeColor="accent1"/>
          <w:szCs w:val="26"/>
        </w:rPr>
        <w:t>oficio</w:t>
      </w:r>
      <w:r w:rsidR="00694838" w:rsidRPr="002F26F5">
        <w:rPr>
          <w:rFonts w:ascii="Arial" w:hAnsi="Arial" w:cs="Arial"/>
          <w:color w:val="4F81BD" w:themeColor="accent1"/>
          <w:szCs w:val="26"/>
        </w:rPr>
        <w:t xml:space="preserve"> </w:t>
      </w:r>
      <w:r w:rsidR="00775462" w:rsidRPr="002F26F5">
        <w:rPr>
          <w:rFonts w:ascii="Arial" w:hAnsi="Arial" w:cs="Arial"/>
          <w:color w:val="4F81BD" w:themeColor="accent1"/>
          <w:szCs w:val="26"/>
        </w:rPr>
        <w:t>sin número</w:t>
      </w:r>
      <w:r w:rsidR="007E1FDF" w:rsidRPr="002F26F5">
        <w:rPr>
          <w:rFonts w:ascii="Arial" w:hAnsi="Arial" w:cs="Arial"/>
          <w:color w:val="4F81BD" w:themeColor="accent1"/>
          <w:szCs w:val="26"/>
        </w:rPr>
        <w:t xml:space="preserve">, suscrito por </w:t>
      </w:r>
      <w:r w:rsidR="00775462" w:rsidRPr="002F26F5">
        <w:rPr>
          <w:rFonts w:ascii="Arial" w:hAnsi="Arial" w:cs="Arial"/>
          <w:color w:val="4F81BD" w:themeColor="accent1"/>
          <w:szCs w:val="26"/>
        </w:rPr>
        <w:t>el</w:t>
      </w:r>
      <w:r w:rsidR="007E1FDF" w:rsidRPr="002F26F5">
        <w:rPr>
          <w:rFonts w:ascii="Arial" w:hAnsi="Arial" w:cs="Arial"/>
          <w:color w:val="4F81BD" w:themeColor="accent1"/>
          <w:szCs w:val="26"/>
        </w:rPr>
        <w:t xml:space="preserve"> Titular de la Unidad de Transparencia de</w:t>
      </w:r>
      <w:r w:rsidR="00775462" w:rsidRPr="002F26F5">
        <w:rPr>
          <w:rFonts w:ascii="Arial" w:hAnsi="Arial" w:cs="Arial"/>
          <w:color w:val="4F81BD" w:themeColor="accent1"/>
          <w:szCs w:val="26"/>
        </w:rPr>
        <w:t>l H. Ayuntamiento de Rioverde</w:t>
      </w:r>
      <w:r w:rsidR="00A97B1F" w:rsidRPr="002F26F5">
        <w:rPr>
          <w:rFonts w:ascii="Arial" w:hAnsi="Arial" w:cs="Arial"/>
          <w:color w:val="4F81BD" w:themeColor="accent1"/>
          <w:szCs w:val="26"/>
        </w:rPr>
        <w:t xml:space="preserve">, </w:t>
      </w:r>
      <w:r w:rsidR="00412DE5" w:rsidRPr="002F26F5">
        <w:rPr>
          <w:rFonts w:ascii="Arial" w:hAnsi="Arial" w:cs="Arial"/>
          <w:color w:val="4F81BD" w:themeColor="accent1"/>
          <w:szCs w:val="26"/>
        </w:rPr>
        <w:t>el</w:t>
      </w:r>
      <w:r w:rsidR="00545919" w:rsidRPr="002F26F5">
        <w:rPr>
          <w:rFonts w:ascii="Arial" w:hAnsi="Arial" w:cs="Arial"/>
          <w:color w:val="4F81BD" w:themeColor="accent1"/>
          <w:szCs w:val="26"/>
        </w:rPr>
        <w:t xml:space="preserve"> cual</w:t>
      </w:r>
      <w:r w:rsidR="00694838" w:rsidRPr="002F26F5">
        <w:rPr>
          <w:rFonts w:ascii="Arial" w:hAnsi="Arial" w:cs="Arial"/>
          <w:color w:val="4F81BD" w:themeColor="accent1"/>
          <w:szCs w:val="26"/>
        </w:rPr>
        <w:t xml:space="preserve"> se tu</w:t>
      </w:r>
      <w:r w:rsidR="00412DE5" w:rsidRPr="002F26F5">
        <w:rPr>
          <w:rFonts w:ascii="Arial" w:hAnsi="Arial" w:cs="Arial"/>
          <w:color w:val="4F81BD" w:themeColor="accent1"/>
          <w:szCs w:val="26"/>
        </w:rPr>
        <w:t>v</w:t>
      </w:r>
      <w:r w:rsidR="00694838" w:rsidRPr="002F26F5">
        <w:rPr>
          <w:rFonts w:ascii="Arial" w:hAnsi="Arial" w:cs="Arial"/>
          <w:color w:val="4F81BD" w:themeColor="accent1"/>
          <w:szCs w:val="26"/>
        </w:rPr>
        <w:t>o</w:t>
      </w:r>
      <w:r w:rsidR="00545919" w:rsidRPr="002F26F5">
        <w:rPr>
          <w:rFonts w:ascii="Arial" w:hAnsi="Arial" w:cs="Arial"/>
          <w:color w:val="4F81BD" w:themeColor="accent1"/>
          <w:szCs w:val="26"/>
        </w:rPr>
        <w:t xml:space="preserve"> por recibido en </w:t>
      </w:r>
      <w:r w:rsidR="00467BF1" w:rsidRPr="002F26F5">
        <w:rPr>
          <w:rFonts w:ascii="Arial" w:hAnsi="Arial" w:cs="Arial"/>
          <w:color w:val="4F81BD" w:themeColor="accent1"/>
          <w:szCs w:val="26"/>
        </w:rPr>
        <w:t>tiempo</w:t>
      </w:r>
      <w:r w:rsidR="00EA4EC8" w:rsidRPr="002F26F5">
        <w:rPr>
          <w:rFonts w:ascii="Arial" w:hAnsi="Arial" w:cs="Arial"/>
          <w:color w:val="4F81BD" w:themeColor="accent1"/>
          <w:szCs w:val="26"/>
        </w:rPr>
        <w:t>,</w:t>
      </w:r>
      <w:r w:rsidR="00545919" w:rsidRPr="002F26F5">
        <w:rPr>
          <w:rFonts w:ascii="Arial" w:hAnsi="Arial" w:cs="Arial"/>
          <w:color w:val="4F81BD" w:themeColor="accent1"/>
          <w:szCs w:val="26"/>
        </w:rPr>
        <w:t xml:space="preserve"> acorde </w:t>
      </w:r>
      <w:r w:rsidR="00A31753" w:rsidRPr="002F26F5">
        <w:rPr>
          <w:rFonts w:ascii="Arial" w:hAnsi="Arial" w:cs="Arial"/>
          <w:color w:val="4F81BD" w:themeColor="accent1"/>
          <w:szCs w:val="26"/>
        </w:rPr>
        <w:t xml:space="preserve">al proveído </w:t>
      </w:r>
      <w:r w:rsidR="00596978" w:rsidRPr="002F26F5">
        <w:rPr>
          <w:rFonts w:ascii="Arial" w:hAnsi="Arial" w:cs="Arial"/>
          <w:color w:val="4F81BD" w:themeColor="accent1"/>
          <w:szCs w:val="26"/>
        </w:rPr>
        <w:t>que obra a</w:t>
      </w:r>
      <w:r w:rsidR="00A31753" w:rsidRPr="002F26F5">
        <w:rPr>
          <w:rFonts w:ascii="Arial" w:hAnsi="Arial" w:cs="Arial"/>
          <w:color w:val="4F81BD" w:themeColor="accent1"/>
          <w:szCs w:val="26"/>
        </w:rPr>
        <w:t xml:space="preserve"> foja 27</w:t>
      </w:r>
      <w:r w:rsidR="00545919" w:rsidRPr="002F26F5">
        <w:rPr>
          <w:rFonts w:ascii="Arial" w:hAnsi="Arial" w:cs="Arial"/>
          <w:color w:val="4F81BD" w:themeColor="accent1"/>
          <w:szCs w:val="26"/>
        </w:rPr>
        <w:t xml:space="preserve"> del presente sumario, por lo que el ente obligado realizó las manifes</w:t>
      </w:r>
      <w:r w:rsidR="00FA039E" w:rsidRPr="002F26F5">
        <w:rPr>
          <w:rFonts w:ascii="Arial" w:hAnsi="Arial" w:cs="Arial"/>
          <w:color w:val="4F81BD" w:themeColor="accent1"/>
          <w:szCs w:val="26"/>
        </w:rPr>
        <w:t>taciones que a su derecho estimó</w:t>
      </w:r>
      <w:r w:rsidR="00467BF1" w:rsidRPr="002F26F5">
        <w:rPr>
          <w:rFonts w:ascii="Arial" w:hAnsi="Arial" w:cs="Arial"/>
          <w:color w:val="4F81BD" w:themeColor="accent1"/>
          <w:szCs w:val="26"/>
        </w:rPr>
        <w:t xml:space="preserve"> conveniente</w:t>
      </w:r>
      <w:r w:rsidR="000050A2" w:rsidRPr="002F26F5">
        <w:rPr>
          <w:rFonts w:ascii="Arial" w:hAnsi="Arial" w:cs="Arial"/>
          <w:color w:val="4F81BD" w:themeColor="accent1"/>
          <w:szCs w:val="26"/>
        </w:rPr>
        <w:t>.</w:t>
      </w:r>
    </w:p>
    <w:p w:rsidR="00547C44" w:rsidRPr="002F26F5" w:rsidRDefault="00547C44" w:rsidP="00B91518">
      <w:pPr>
        <w:rPr>
          <w:rFonts w:ascii="Arial" w:hAnsi="Arial" w:cs="Arial"/>
          <w:color w:val="4F81BD" w:themeColor="accent1"/>
          <w:szCs w:val="26"/>
        </w:rPr>
      </w:pPr>
      <w:r w:rsidRPr="002F26F5">
        <w:rPr>
          <w:rFonts w:ascii="Arial" w:hAnsi="Arial" w:cs="Arial"/>
          <w:color w:val="4F81BD" w:themeColor="accent1"/>
          <w:szCs w:val="26"/>
        </w:rPr>
        <w:tab/>
        <w:t xml:space="preserve">Por lo que toca al </w:t>
      </w:r>
      <w:r w:rsidR="00545919" w:rsidRPr="002F26F5">
        <w:rPr>
          <w:rFonts w:ascii="Arial" w:hAnsi="Arial" w:cs="Arial"/>
          <w:color w:val="4F81BD" w:themeColor="accent1"/>
          <w:szCs w:val="26"/>
        </w:rPr>
        <w:t>inconforme</w:t>
      </w:r>
      <w:r w:rsidRPr="002F26F5">
        <w:rPr>
          <w:rFonts w:ascii="Arial" w:hAnsi="Arial" w:cs="Arial"/>
          <w:color w:val="4F81BD" w:themeColor="accent1"/>
          <w:szCs w:val="26"/>
        </w:rPr>
        <w:t>, éste no hizo uso de su derecho contenido en el artículo 174, fracción III de la Ley de Transparencia del Estado.</w:t>
      </w:r>
    </w:p>
    <w:p w:rsidR="005C273C" w:rsidRPr="002F26F5" w:rsidRDefault="00547C44" w:rsidP="00B91518">
      <w:pPr>
        <w:spacing w:before="240"/>
        <w:rPr>
          <w:rFonts w:ascii="Arial" w:hAnsi="Arial" w:cs="Arial"/>
          <w:color w:val="4F81BD" w:themeColor="accent1"/>
          <w:szCs w:val="26"/>
        </w:rPr>
      </w:pPr>
      <w:r w:rsidRPr="002F26F5">
        <w:rPr>
          <w:rFonts w:ascii="Arial" w:hAnsi="Arial" w:cs="Arial"/>
          <w:color w:val="4F81BD" w:themeColor="accent1"/>
          <w:szCs w:val="26"/>
        </w:rPr>
        <w:tab/>
      </w:r>
      <w:r w:rsidRPr="002F26F5">
        <w:rPr>
          <w:rFonts w:ascii="Arial" w:hAnsi="Arial" w:cs="Arial"/>
          <w:b/>
          <w:color w:val="4F81BD" w:themeColor="accent1"/>
          <w:szCs w:val="26"/>
        </w:rPr>
        <w:t xml:space="preserve">SEPTIMO. Cierre de Instrucción. </w:t>
      </w:r>
      <w:r w:rsidRPr="002F26F5">
        <w:rPr>
          <w:rFonts w:ascii="Arial" w:hAnsi="Arial" w:cs="Arial"/>
          <w:color w:val="4F81BD" w:themeColor="accent1"/>
          <w:szCs w:val="26"/>
        </w:rPr>
        <w:t xml:space="preserve">El </w:t>
      </w:r>
      <w:r w:rsidR="00A31753" w:rsidRPr="002F26F5">
        <w:rPr>
          <w:rFonts w:ascii="Arial" w:hAnsi="Arial" w:cs="Arial"/>
          <w:color w:val="4F81BD" w:themeColor="accent1"/>
          <w:szCs w:val="26"/>
        </w:rPr>
        <w:t xml:space="preserve">veintiocho de febrero </w:t>
      </w:r>
      <w:r w:rsidR="00412DE5" w:rsidRPr="002F26F5">
        <w:rPr>
          <w:rFonts w:ascii="Arial" w:hAnsi="Arial" w:cs="Arial"/>
          <w:color w:val="4F81BD" w:themeColor="accent1"/>
          <w:szCs w:val="26"/>
        </w:rPr>
        <w:t>de dos mil dieciocho</w:t>
      </w:r>
      <w:r w:rsidRPr="002F26F5">
        <w:rPr>
          <w:rFonts w:ascii="Arial" w:hAnsi="Arial" w:cs="Arial"/>
          <w:color w:val="4F81BD" w:themeColor="accent1"/>
          <w:szCs w:val="26"/>
        </w:rPr>
        <w:t>, se decretó el Cierre de Instrucción del expediente formado con motivo del presente recurso de revisión, a fin de que la ponente presentara el proyecto de resolución correspondiente.</w:t>
      </w:r>
    </w:p>
    <w:p w:rsidR="004602D7" w:rsidRPr="002F26F5" w:rsidRDefault="00547C44" w:rsidP="00B91518">
      <w:pPr>
        <w:spacing w:before="240"/>
        <w:jc w:val="center"/>
        <w:outlineLvl w:val="0"/>
        <w:rPr>
          <w:rFonts w:ascii="Arial" w:hAnsi="Arial" w:cs="Arial"/>
          <w:b/>
          <w:color w:val="4F81BD" w:themeColor="accent1"/>
          <w:szCs w:val="26"/>
        </w:rPr>
      </w:pPr>
      <w:r w:rsidRPr="002F26F5">
        <w:rPr>
          <w:rFonts w:ascii="Arial" w:hAnsi="Arial" w:cs="Arial"/>
          <w:b/>
          <w:color w:val="4F81BD" w:themeColor="accent1"/>
          <w:szCs w:val="26"/>
        </w:rPr>
        <w:t>C O N S I D E R A N D O</w:t>
      </w:r>
    </w:p>
    <w:p w:rsidR="00462354" w:rsidRPr="002F26F5" w:rsidRDefault="00547C44" w:rsidP="00B91518">
      <w:pPr>
        <w:pStyle w:val="Textoindependienteprimerasangra"/>
        <w:spacing w:after="0"/>
        <w:ind w:firstLine="900"/>
        <w:rPr>
          <w:rFonts w:ascii="Arial" w:hAnsi="Arial" w:cs="Arial"/>
          <w:color w:val="4F81BD" w:themeColor="accent1"/>
          <w:szCs w:val="26"/>
        </w:rPr>
      </w:pPr>
      <w:r w:rsidRPr="002F26F5">
        <w:rPr>
          <w:rFonts w:ascii="Arial" w:eastAsia="Arial Unicode MS" w:hAnsi="Arial" w:cs="Arial"/>
          <w:b/>
          <w:color w:val="4F81BD" w:themeColor="accent1"/>
          <w:szCs w:val="26"/>
        </w:rPr>
        <w:t>PRIMERO. Competencia.</w:t>
      </w:r>
      <w:r w:rsidRPr="002F26F5">
        <w:rPr>
          <w:rFonts w:ascii="Arial" w:eastAsia="Arial Unicode MS" w:hAnsi="Arial" w:cs="Arial"/>
          <w:color w:val="4F81BD" w:themeColor="accent1"/>
          <w:szCs w:val="26"/>
        </w:rPr>
        <w:t xml:space="preserve"> El Pleno de esta Comisión Estatal de Garantía de Acceso a la Información Pública es competente para resolver el presente recurso de revisión de conformidad c</w:t>
      </w:r>
      <w:r w:rsidR="00A60313" w:rsidRPr="002F26F5">
        <w:rPr>
          <w:rFonts w:ascii="Arial" w:eastAsia="Arial Unicode MS" w:hAnsi="Arial" w:cs="Arial"/>
          <w:color w:val="4F81BD" w:themeColor="accent1"/>
          <w:szCs w:val="26"/>
        </w:rPr>
        <w:t>on los artículos 6°, apartado A</w:t>
      </w:r>
      <w:r w:rsidRPr="002F26F5">
        <w:rPr>
          <w:rFonts w:ascii="Arial" w:eastAsia="Arial Unicode MS" w:hAnsi="Arial" w:cs="Arial"/>
          <w:color w:val="4F81BD" w:themeColor="accent1"/>
          <w:szCs w:val="26"/>
        </w:rPr>
        <w:t>, fracción IV de la Constitución Política de los Estados Unidos Mexicanos; 17, fracción III, párrafo tercero de la Constitución Política del Estado Libre y Soberano de San Luis Potosí; 37, 42, fracciones I y II, 142 y 151 de la Ley General de Transparencia y Acceso a la Información Pública; 27, 34, fracciones I y II, 166 y 175 de la Ley de Transparencia y Acceso a la Información Públic</w:t>
      </w:r>
      <w:r w:rsidR="00462354" w:rsidRPr="002F26F5">
        <w:rPr>
          <w:rFonts w:ascii="Arial" w:eastAsia="Arial Unicode MS" w:hAnsi="Arial" w:cs="Arial"/>
          <w:color w:val="4F81BD" w:themeColor="accent1"/>
          <w:szCs w:val="26"/>
        </w:rPr>
        <w:t>a del Estado de San Luis Potosí; así como de los artículos 1°, 2°, 9°, 12, fracciones XI y XXV del Reglamento Interior de la Comisión Estatal de Garantía de Acceso a la Información Pública.</w:t>
      </w:r>
    </w:p>
    <w:p w:rsidR="00EE226A" w:rsidRPr="002F26F5" w:rsidRDefault="0072714A" w:rsidP="00B91518">
      <w:pPr>
        <w:pStyle w:val="Textoindependienteprimerasangra"/>
        <w:spacing w:before="240"/>
        <w:ind w:firstLine="900"/>
        <w:rPr>
          <w:rFonts w:ascii="Arial" w:eastAsia="Arial Unicode MS" w:hAnsi="Arial" w:cs="Arial"/>
          <w:color w:val="4F81BD" w:themeColor="accent1"/>
          <w:szCs w:val="26"/>
        </w:rPr>
      </w:pPr>
      <w:r w:rsidRPr="002F26F5">
        <w:rPr>
          <w:rFonts w:ascii="Arial" w:eastAsia="Arial Unicode MS" w:hAnsi="Arial" w:cs="Arial"/>
          <w:b/>
          <w:color w:val="4F81BD" w:themeColor="accent1"/>
          <w:szCs w:val="26"/>
        </w:rPr>
        <w:t xml:space="preserve">SEGUNDO. Procedibilidad y Oportunidad. </w:t>
      </w:r>
      <w:r w:rsidRPr="002F26F5">
        <w:rPr>
          <w:rFonts w:ascii="Arial" w:eastAsia="Arial Unicode MS" w:hAnsi="Arial" w:cs="Arial"/>
          <w:color w:val="4F81BD" w:themeColor="accent1"/>
          <w:szCs w:val="26"/>
        </w:rPr>
        <w:t xml:space="preserve">Previo al estudio de fondo del asunto, se procede a analizar los requisitos de oportunidad y </w:t>
      </w:r>
      <w:proofErr w:type="spellStart"/>
      <w:r w:rsidRPr="002F26F5">
        <w:rPr>
          <w:rFonts w:ascii="Arial" w:eastAsia="Arial Unicode MS" w:hAnsi="Arial" w:cs="Arial"/>
          <w:color w:val="4F81BD" w:themeColor="accent1"/>
          <w:szCs w:val="26"/>
        </w:rPr>
        <w:lastRenderedPageBreak/>
        <w:t>procedibilidad</w:t>
      </w:r>
      <w:proofErr w:type="spellEnd"/>
      <w:r w:rsidRPr="002F26F5">
        <w:rPr>
          <w:rFonts w:ascii="Arial" w:eastAsia="Arial Unicode MS" w:hAnsi="Arial" w:cs="Arial"/>
          <w:color w:val="4F81BD" w:themeColor="accent1"/>
          <w:szCs w:val="26"/>
        </w:rPr>
        <w:t xml:space="preserve"> que debe reunir el presente medio de impugnación, los cuales están previstos en los artículos 166 y 168 de la Ley de Transparencia y Acceso a la Información Pública del Estado de San Luis Potosí.</w:t>
      </w:r>
    </w:p>
    <w:p w:rsidR="00EA67BA" w:rsidRPr="002F26F5" w:rsidRDefault="00EA67BA" w:rsidP="00B91518">
      <w:pPr>
        <w:pStyle w:val="Textoindependienteprimerasangra"/>
        <w:spacing w:before="240"/>
        <w:ind w:firstLine="900"/>
        <w:rPr>
          <w:rFonts w:ascii="Arial" w:eastAsia="Arial Unicode MS" w:hAnsi="Arial" w:cs="Arial"/>
          <w:color w:val="4F81BD" w:themeColor="accent1"/>
          <w:szCs w:val="26"/>
        </w:rPr>
      </w:pPr>
      <w:r w:rsidRPr="002F26F5">
        <w:rPr>
          <w:rFonts w:ascii="Arial" w:eastAsia="Arial Unicode MS" w:hAnsi="Arial" w:cs="Arial"/>
          <w:color w:val="4F81BD" w:themeColor="accent1"/>
          <w:szCs w:val="26"/>
        </w:rPr>
        <w:t xml:space="preserve">El recurso de revisión fue interpuesto dentro del plazo de quince días hábiles, previsto en el artículo 166 de la Ley de Transparencia y Acceso a la Información Pública del Estado; lo anterior se afirma, </w:t>
      </w:r>
      <w:r w:rsidR="00D21FF3" w:rsidRPr="002F26F5">
        <w:rPr>
          <w:rFonts w:ascii="Arial" w:eastAsia="Arial Unicode MS" w:hAnsi="Arial" w:cs="Arial"/>
          <w:color w:val="4F81BD" w:themeColor="accent1"/>
          <w:szCs w:val="26"/>
        </w:rPr>
        <w:t xml:space="preserve">ya que </w:t>
      </w:r>
      <w:r w:rsidRPr="002F26F5">
        <w:rPr>
          <w:rFonts w:ascii="Arial" w:eastAsia="Arial Unicode MS" w:hAnsi="Arial" w:cs="Arial"/>
          <w:color w:val="4F81BD" w:themeColor="accent1"/>
          <w:szCs w:val="26"/>
        </w:rPr>
        <w:t xml:space="preserve">el ente obligado notificó la contestación a la solicitud de información, el </w:t>
      </w:r>
      <w:r w:rsidR="00A31753" w:rsidRPr="002F26F5">
        <w:rPr>
          <w:rFonts w:ascii="Arial" w:eastAsia="Arial Unicode MS" w:hAnsi="Arial" w:cs="Arial"/>
          <w:color w:val="4F81BD" w:themeColor="accent1"/>
          <w:szCs w:val="26"/>
        </w:rPr>
        <w:t xml:space="preserve">veintinueve de noviembre </w:t>
      </w:r>
      <w:r w:rsidR="00412DE5" w:rsidRPr="002F26F5">
        <w:rPr>
          <w:rFonts w:ascii="Arial" w:eastAsia="Arial Unicode MS" w:hAnsi="Arial" w:cs="Arial"/>
          <w:color w:val="4F81BD" w:themeColor="accent1"/>
          <w:szCs w:val="26"/>
        </w:rPr>
        <w:t>de dos mil dieciocho</w:t>
      </w:r>
      <w:r w:rsidRPr="002F26F5">
        <w:rPr>
          <w:rFonts w:ascii="Arial" w:eastAsia="Arial Unicode MS" w:hAnsi="Arial" w:cs="Arial"/>
          <w:color w:val="4F81BD" w:themeColor="accent1"/>
          <w:szCs w:val="26"/>
        </w:rPr>
        <w:t xml:space="preserve">, </w:t>
      </w:r>
      <w:r w:rsidR="00D21FF3" w:rsidRPr="002F26F5">
        <w:rPr>
          <w:rFonts w:ascii="Arial" w:eastAsia="Arial Unicode MS" w:hAnsi="Arial" w:cs="Arial"/>
          <w:color w:val="4F81BD" w:themeColor="accent1"/>
          <w:szCs w:val="26"/>
        </w:rPr>
        <w:t xml:space="preserve">por lo que el plazo para que el recurrente interpusiera el presente medio de defensa, </w:t>
      </w:r>
      <w:r w:rsidRPr="002F26F5">
        <w:rPr>
          <w:rFonts w:ascii="Arial" w:eastAsia="Arial Unicode MS" w:hAnsi="Arial" w:cs="Arial"/>
          <w:color w:val="4F81BD" w:themeColor="accent1"/>
          <w:szCs w:val="26"/>
        </w:rPr>
        <w:t xml:space="preserve">fenecía el </w:t>
      </w:r>
      <w:r w:rsidR="00A31753" w:rsidRPr="002F26F5">
        <w:rPr>
          <w:rFonts w:ascii="Arial" w:eastAsia="Arial Unicode MS" w:hAnsi="Arial" w:cs="Arial"/>
          <w:color w:val="4F81BD" w:themeColor="accent1"/>
          <w:szCs w:val="26"/>
        </w:rPr>
        <w:t xml:space="preserve">quince de enero de </w:t>
      </w:r>
      <w:r w:rsidR="00BE6EB8" w:rsidRPr="002F26F5">
        <w:rPr>
          <w:rFonts w:ascii="Arial" w:eastAsia="Arial Unicode MS" w:hAnsi="Arial" w:cs="Arial"/>
          <w:color w:val="4F81BD" w:themeColor="accent1"/>
          <w:szCs w:val="26"/>
        </w:rPr>
        <w:t>dos mil dieciocho</w:t>
      </w:r>
      <w:r w:rsidR="00D21FF3" w:rsidRPr="002F26F5">
        <w:rPr>
          <w:rFonts w:ascii="Arial" w:eastAsia="Arial Unicode MS" w:hAnsi="Arial" w:cs="Arial"/>
          <w:color w:val="4F81BD" w:themeColor="accent1"/>
          <w:szCs w:val="26"/>
        </w:rPr>
        <w:t xml:space="preserve">; dicho plazo comprendió los </w:t>
      </w:r>
      <w:r w:rsidR="00BE6EB8" w:rsidRPr="002F26F5">
        <w:rPr>
          <w:rFonts w:ascii="Arial" w:eastAsia="Arial Unicode MS" w:hAnsi="Arial" w:cs="Arial"/>
          <w:color w:val="4F81BD" w:themeColor="accent1"/>
          <w:szCs w:val="26"/>
        </w:rPr>
        <w:t>días</w:t>
      </w:r>
      <w:r w:rsidR="00A31753" w:rsidRPr="002F26F5">
        <w:rPr>
          <w:rFonts w:ascii="Arial" w:eastAsia="Arial Unicode MS" w:hAnsi="Arial" w:cs="Arial"/>
          <w:color w:val="4F81BD" w:themeColor="accent1"/>
          <w:szCs w:val="26"/>
        </w:rPr>
        <w:t xml:space="preserve"> treinta de noviembre; primero, cuatro, cinco, seis, siete, ocho, once, doce, trece, catorce y quince de diciembre de dos mil dieciocho; </w:t>
      </w:r>
      <w:r w:rsidR="00ED5BFE" w:rsidRPr="002F26F5">
        <w:rPr>
          <w:rFonts w:ascii="Arial" w:eastAsia="Arial Unicode MS" w:hAnsi="Arial" w:cs="Arial"/>
          <w:color w:val="4F81BD" w:themeColor="accent1"/>
          <w:szCs w:val="26"/>
        </w:rPr>
        <w:t>cuatro, cinco y ocho de enero de dos mil dieciocho</w:t>
      </w:r>
      <w:r w:rsidR="006658C4" w:rsidRPr="002F26F5">
        <w:rPr>
          <w:rFonts w:ascii="Arial" w:eastAsia="Arial Unicode MS" w:hAnsi="Arial" w:cs="Arial"/>
          <w:color w:val="4F81BD" w:themeColor="accent1"/>
          <w:szCs w:val="26"/>
        </w:rPr>
        <w:t>; sin que fueran hábiles los sábados y domingos</w:t>
      </w:r>
      <w:r w:rsidR="00ED5BFE" w:rsidRPr="002F26F5">
        <w:rPr>
          <w:rFonts w:ascii="Arial" w:eastAsia="Arial Unicode MS" w:hAnsi="Arial" w:cs="Arial"/>
          <w:color w:val="4F81BD" w:themeColor="accent1"/>
          <w:szCs w:val="26"/>
        </w:rPr>
        <w:t>, así como el periodo vacacional comprendido del dieciocho de diciembre de dos mil diecisiete a cuatro de enero de dos mil dieciocho</w:t>
      </w:r>
      <w:r w:rsidR="006658C4" w:rsidRPr="002F26F5">
        <w:rPr>
          <w:rFonts w:ascii="Arial" w:eastAsia="Arial Unicode MS" w:hAnsi="Arial" w:cs="Arial"/>
          <w:color w:val="4F81BD" w:themeColor="accent1"/>
          <w:szCs w:val="26"/>
        </w:rPr>
        <w:t xml:space="preserve">; </w:t>
      </w:r>
      <w:r w:rsidR="00D21FF3" w:rsidRPr="002F26F5">
        <w:rPr>
          <w:rFonts w:ascii="Arial" w:eastAsia="Arial Unicode MS" w:hAnsi="Arial" w:cs="Arial"/>
          <w:color w:val="4F81BD" w:themeColor="accent1"/>
          <w:szCs w:val="26"/>
        </w:rPr>
        <w:t xml:space="preserve">ello </w:t>
      </w:r>
      <w:r w:rsidR="006658C4" w:rsidRPr="002F26F5">
        <w:rPr>
          <w:rFonts w:ascii="Arial" w:eastAsia="Arial Unicode MS" w:hAnsi="Arial" w:cs="Arial"/>
          <w:color w:val="4F81BD" w:themeColor="accent1"/>
          <w:szCs w:val="26"/>
        </w:rPr>
        <w:t xml:space="preserve">así </w:t>
      </w:r>
      <w:r w:rsidR="00D21FF3" w:rsidRPr="002F26F5">
        <w:rPr>
          <w:rFonts w:ascii="Arial" w:eastAsia="Arial Unicode MS" w:hAnsi="Arial" w:cs="Arial"/>
          <w:color w:val="4F81BD" w:themeColor="accent1"/>
          <w:szCs w:val="26"/>
        </w:rPr>
        <w:t xml:space="preserve">de conformidad con el calendario de labores de esta Comisión; </w:t>
      </w:r>
      <w:r w:rsidRPr="002F26F5">
        <w:rPr>
          <w:rFonts w:ascii="Arial" w:eastAsia="Arial Unicode MS" w:hAnsi="Arial" w:cs="Arial"/>
          <w:color w:val="4F81BD" w:themeColor="accent1"/>
          <w:szCs w:val="26"/>
        </w:rPr>
        <w:t xml:space="preserve">por lo que al interponer el presente medio de impugnación el </w:t>
      </w:r>
      <w:r w:rsidR="00ED5BFE" w:rsidRPr="002F26F5">
        <w:rPr>
          <w:rFonts w:ascii="Arial" w:eastAsia="Arial Unicode MS" w:hAnsi="Arial" w:cs="Arial"/>
          <w:color w:val="4F81BD" w:themeColor="accent1"/>
          <w:szCs w:val="26"/>
        </w:rPr>
        <w:t>doce</w:t>
      </w:r>
      <w:r w:rsidR="006658C4" w:rsidRPr="002F26F5">
        <w:rPr>
          <w:rFonts w:ascii="Arial" w:eastAsia="Arial Unicode MS" w:hAnsi="Arial" w:cs="Arial"/>
          <w:color w:val="4F81BD" w:themeColor="accent1"/>
          <w:szCs w:val="26"/>
        </w:rPr>
        <w:t xml:space="preserve"> de </w:t>
      </w:r>
      <w:r w:rsidR="00ED5BFE" w:rsidRPr="002F26F5">
        <w:rPr>
          <w:rFonts w:ascii="Arial" w:eastAsia="Arial Unicode MS" w:hAnsi="Arial" w:cs="Arial"/>
          <w:color w:val="4F81BD" w:themeColor="accent1"/>
          <w:szCs w:val="26"/>
        </w:rPr>
        <w:t>diciembre</w:t>
      </w:r>
      <w:r w:rsidR="00EE226A" w:rsidRPr="002F26F5">
        <w:rPr>
          <w:rFonts w:ascii="Arial" w:eastAsia="Arial Unicode MS" w:hAnsi="Arial" w:cs="Arial"/>
          <w:color w:val="4F81BD" w:themeColor="accent1"/>
          <w:szCs w:val="26"/>
        </w:rPr>
        <w:t xml:space="preserve"> </w:t>
      </w:r>
      <w:r w:rsidRPr="002F26F5">
        <w:rPr>
          <w:rFonts w:ascii="Arial" w:eastAsia="Arial Unicode MS" w:hAnsi="Arial" w:cs="Arial"/>
          <w:color w:val="4F81BD" w:themeColor="accent1"/>
          <w:szCs w:val="26"/>
        </w:rPr>
        <w:t>de</w:t>
      </w:r>
      <w:r w:rsidR="00ED5BFE" w:rsidRPr="002F26F5">
        <w:rPr>
          <w:rFonts w:ascii="Arial" w:eastAsia="Arial Unicode MS" w:hAnsi="Arial" w:cs="Arial"/>
          <w:color w:val="4F81BD" w:themeColor="accent1"/>
          <w:szCs w:val="26"/>
        </w:rPr>
        <w:t xml:space="preserve"> dos mil dieciséis,</w:t>
      </w:r>
      <w:r w:rsidRPr="002F26F5">
        <w:rPr>
          <w:rFonts w:ascii="Arial" w:eastAsia="Arial Unicode MS" w:hAnsi="Arial" w:cs="Arial"/>
          <w:color w:val="4F81BD" w:themeColor="accent1"/>
          <w:szCs w:val="26"/>
        </w:rPr>
        <w:t xml:space="preserve"> se advierte que se presentó dentro del plazo reconocido por el numeral</w:t>
      </w:r>
      <w:r w:rsidRPr="002F26F5">
        <w:rPr>
          <w:rFonts w:ascii="Arial" w:hAnsi="Arial" w:cs="Arial"/>
          <w:color w:val="4F81BD" w:themeColor="accent1"/>
          <w:szCs w:val="26"/>
          <w:lang w:val="es-MX"/>
        </w:rPr>
        <w:t xml:space="preserve"> </w:t>
      </w:r>
      <w:r w:rsidR="00EE226A" w:rsidRPr="002F26F5">
        <w:rPr>
          <w:rFonts w:ascii="Arial" w:hAnsi="Arial" w:cs="Arial"/>
          <w:color w:val="4F81BD" w:themeColor="accent1"/>
          <w:szCs w:val="26"/>
          <w:lang w:val="es-MX"/>
        </w:rPr>
        <w:t>aludido</w:t>
      </w:r>
      <w:r w:rsidRPr="002F26F5">
        <w:rPr>
          <w:rFonts w:ascii="Arial" w:hAnsi="Arial" w:cs="Arial"/>
          <w:color w:val="4F81BD" w:themeColor="accent1"/>
          <w:szCs w:val="26"/>
          <w:lang w:val="es-MX"/>
        </w:rPr>
        <w:t>, por lo que se concluye que se encuentra dentro de los márgenes temporales previstos en el citado precepto legal.</w:t>
      </w:r>
    </w:p>
    <w:p w:rsidR="0072714A" w:rsidRPr="002F26F5" w:rsidRDefault="0072714A" w:rsidP="00B91518">
      <w:pPr>
        <w:pStyle w:val="Textoindependienteprimerasangra"/>
        <w:spacing w:before="240"/>
        <w:ind w:firstLine="900"/>
        <w:rPr>
          <w:rFonts w:ascii="Arial" w:hAnsi="Arial" w:cs="Arial"/>
          <w:color w:val="4F81BD" w:themeColor="accent1"/>
          <w:szCs w:val="26"/>
          <w:lang w:val="es-MX"/>
        </w:rPr>
      </w:pPr>
      <w:r w:rsidRPr="002F26F5">
        <w:rPr>
          <w:rFonts w:ascii="Arial" w:hAnsi="Arial" w:cs="Arial"/>
          <w:color w:val="4F81BD" w:themeColor="accent1"/>
          <w:szCs w:val="26"/>
          <w:lang w:val="es-MX"/>
        </w:rPr>
        <w:t>Asimismo, tras la revisión del escrito de interposición, se concluye que se acreditan de manera satisfactoria los extremos a que alude el artículo 168 de la Ley de Transparencia y Acceso a la Información Pública del Estado de San Luis Potosí.</w:t>
      </w:r>
    </w:p>
    <w:p w:rsidR="006658C4" w:rsidRPr="002F26F5" w:rsidRDefault="006658C4" w:rsidP="006658C4">
      <w:pPr>
        <w:pStyle w:val="Textoindependienteprimerasangra"/>
        <w:spacing w:before="240"/>
        <w:ind w:firstLine="900"/>
        <w:rPr>
          <w:rFonts w:ascii="Arial" w:hAnsi="Arial" w:cs="Arial"/>
          <w:color w:val="4F81BD" w:themeColor="accent1"/>
          <w:szCs w:val="26"/>
          <w:lang w:val="es-MX"/>
        </w:rPr>
      </w:pPr>
      <w:r w:rsidRPr="002F26F5">
        <w:rPr>
          <w:rFonts w:ascii="Arial" w:hAnsi="Arial" w:cs="Arial"/>
          <w:b/>
          <w:color w:val="4F81BD" w:themeColor="accent1"/>
          <w:szCs w:val="26"/>
          <w:lang w:val="es-MX"/>
        </w:rPr>
        <w:t>TERCERO. Estudio y resolución del asunto.</w:t>
      </w:r>
      <w:r w:rsidRPr="002F26F5">
        <w:rPr>
          <w:rFonts w:ascii="Arial" w:hAnsi="Arial" w:cs="Arial"/>
          <w:color w:val="4F81BD" w:themeColor="accent1"/>
          <w:szCs w:val="26"/>
          <w:lang w:val="es-MX"/>
        </w:rPr>
        <w:t xml:space="preserve"> Esta Comisión procede, con fundamento en el artículo 144, fracción VI, de la Ley General de Transparencia y Acceso a la Información Pública, al estudio de la inconformidad planteada por el hoy recurrente, la cual encuadra en la hipótesis contenida en la fracción IV de la Ley de Transparencia y </w:t>
      </w:r>
      <w:r w:rsidRPr="002F26F5">
        <w:rPr>
          <w:rFonts w:ascii="Arial" w:hAnsi="Arial" w:cs="Arial"/>
          <w:color w:val="4F81BD" w:themeColor="accent1"/>
          <w:szCs w:val="26"/>
          <w:lang w:val="es-MX"/>
        </w:rPr>
        <w:lastRenderedPageBreak/>
        <w:t xml:space="preserve">Acceso a la Información Pública, es decir la entrega de la información resultó incompleta. </w:t>
      </w:r>
    </w:p>
    <w:p w:rsidR="007D6483" w:rsidRPr="002F26F5" w:rsidRDefault="007D6483" w:rsidP="007D6483">
      <w:pPr>
        <w:pStyle w:val="Textoindependienteprimerasangra"/>
        <w:spacing w:before="240"/>
        <w:ind w:firstLine="900"/>
        <w:rPr>
          <w:rFonts w:ascii="Arial" w:hAnsi="Arial" w:cs="Arial"/>
          <w:color w:val="4F81BD" w:themeColor="accent1"/>
          <w:szCs w:val="26"/>
          <w:lang w:val="es-MX"/>
        </w:rPr>
      </w:pPr>
      <w:r w:rsidRPr="002F26F5">
        <w:rPr>
          <w:rFonts w:ascii="Arial" w:hAnsi="Arial" w:cs="Arial"/>
          <w:color w:val="4F81BD" w:themeColor="accent1"/>
          <w:szCs w:val="26"/>
          <w:lang w:val="es-MX"/>
        </w:rPr>
        <w:t>Por ello y con la finalidad de patentizar el anotado calificativo, se procede a examinar los motivos de queja señalados por el aquí inconforme, en un orden distinto al propuesto por el recurrente, sin cambiar los hechos que dieron origen a la interposición del presente recurso; sirve de apoyo a lo anterior -por analogía- la tesis de jurisprudencia (IV Región</w:t>
      </w:r>
      <w:proofErr w:type="gramStart"/>
      <w:r w:rsidRPr="002F26F5">
        <w:rPr>
          <w:rFonts w:ascii="Arial" w:hAnsi="Arial" w:cs="Arial"/>
          <w:color w:val="4F81BD" w:themeColor="accent1"/>
          <w:szCs w:val="26"/>
          <w:lang w:val="es-MX"/>
        </w:rPr>
        <w:t>)2o</w:t>
      </w:r>
      <w:proofErr w:type="gramEnd"/>
      <w:r w:rsidRPr="002F26F5">
        <w:rPr>
          <w:rFonts w:ascii="Arial" w:hAnsi="Arial" w:cs="Arial"/>
          <w:color w:val="4F81BD" w:themeColor="accent1"/>
          <w:szCs w:val="26"/>
          <w:lang w:val="es-MX"/>
        </w:rPr>
        <w:t>. J/5 (10a.)</w:t>
      </w:r>
      <w:r w:rsidRPr="002F26F5">
        <w:rPr>
          <w:rFonts w:ascii="Arial" w:hAnsi="Arial" w:cs="Arial"/>
          <w:color w:val="4F81BD" w:themeColor="accent1"/>
          <w:szCs w:val="26"/>
        </w:rPr>
        <w:t xml:space="preserve">, emitida por el Segundo Tribunal Colegiado de Circuito del Centro Auxiliar de la Cuarta Región, que señala: </w:t>
      </w:r>
    </w:p>
    <w:p w:rsidR="007D6483" w:rsidRPr="002F26F5" w:rsidRDefault="007D6483" w:rsidP="007D6483">
      <w:pPr>
        <w:spacing w:line="240" w:lineRule="auto"/>
        <w:ind w:firstLine="708"/>
        <w:rPr>
          <w:rFonts w:ascii="Arial" w:hAnsi="Arial" w:cs="Arial"/>
          <w:i/>
          <w:color w:val="4F81BD" w:themeColor="accent1"/>
          <w:sz w:val="22"/>
          <w:szCs w:val="22"/>
          <w:lang w:val="es-MX"/>
        </w:rPr>
      </w:pPr>
      <w:r w:rsidRPr="002F26F5">
        <w:rPr>
          <w:rFonts w:ascii="Arial" w:hAnsi="Arial" w:cs="Arial"/>
          <w:b/>
          <w:i/>
          <w:color w:val="4F81BD" w:themeColor="accent1"/>
          <w:sz w:val="22"/>
          <w:szCs w:val="22"/>
          <w:lang w:val="es-MX"/>
        </w:rPr>
        <w:t xml:space="preserve">“CONCEPTOS DE VIOLACIÓN O AGRAVIOS. PROCEDE SU ANÁLISIS DE MANERA INDIVIDUAL, CONJUNTA O POR GRUPOS Y EN EL ORDEN PROPUESTO O EN UNO DIVERSO. </w:t>
      </w:r>
      <w:r w:rsidRPr="002F26F5">
        <w:rPr>
          <w:rFonts w:ascii="Arial" w:hAnsi="Arial" w:cs="Arial"/>
          <w:i/>
          <w:color w:val="4F81BD" w:themeColor="accent1"/>
          <w:sz w:val="22"/>
          <w:szCs w:val="22"/>
          <w:lang w:val="es-MX"/>
        </w:rPr>
        <w:t>El artículo 76 de la Ley de Amparo, publicada en el Diario Oficial de la Federación el 2 de abril de 2013, en vigor al día siguiente, previene que el órgano jurisdiccional que conozca del amparo podrá examinar en su conjunto los conceptos de violación o los agravios, así como los demás razonamientos de las partes, a fin de resolver la cuestión efectivamente planteada, empero, no impone la obligación a dicho órgano de seguir el orden propuesto por el quejoso o recurrente, sino que la única condición que establece el referido precepto es que no se cambien los hechos de la demanda. Por tanto, el estudio correspondiente puede hacerse de manera individual, conjunta o por grupos, en el propio orden de su exposición o en uno diverso.”</w:t>
      </w:r>
    </w:p>
    <w:p w:rsidR="00306F3A" w:rsidRPr="002F26F5" w:rsidRDefault="00306F3A" w:rsidP="00306F3A">
      <w:pPr>
        <w:ind w:firstLine="708"/>
        <w:rPr>
          <w:rFonts w:ascii="Arial" w:hAnsi="Arial" w:cs="Arial"/>
          <w:color w:val="4F81BD" w:themeColor="accent1"/>
          <w:szCs w:val="26"/>
        </w:rPr>
      </w:pPr>
    </w:p>
    <w:p w:rsidR="001C3394" w:rsidRPr="002F26F5" w:rsidRDefault="00306F3A" w:rsidP="001C3394">
      <w:pPr>
        <w:ind w:firstLine="708"/>
        <w:rPr>
          <w:rFonts w:ascii="Arial" w:hAnsi="Arial" w:cs="Arial"/>
          <w:color w:val="4F81BD" w:themeColor="accent1"/>
          <w:szCs w:val="26"/>
        </w:rPr>
      </w:pPr>
      <w:r w:rsidRPr="002F26F5">
        <w:rPr>
          <w:rFonts w:ascii="Arial" w:hAnsi="Arial" w:cs="Arial"/>
          <w:color w:val="4F81BD" w:themeColor="accent1"/>
          <w:szCs w:val="26"/>
        </w:rPr>
        <w:t xml:space="preserve">En consonancia a lo ya señalado, esta Comisión está facultada de manera implícita para integrar el contenido de los documentos y elementos técnicos que conforman el medio de impugnación del que se trata. Tal aseveración se justifica, ya que el Órgano </w:t>
      </w:r>
      <w:proofErr w:type="spellStart"/>
      <w:r w:rsidRPr="002F26F5">
        <w:rPr>
          <w:rFonts w:ascii="Arial" w:hAnsi="Arial" w:cs="Arial"/>
          <w:color w:val="4F81BD" w:themeColor="accent1"/>
          <w:szCs w:val="26"/>
        </w:rPr>
        <w:t>Resolutor</w:t>
      </w:r>
      <w:proofErr w:type="spellEnd"/>
      <w:r w:rsidRPr="002F26F5">
        <w:rPr>
          <w:rFonts w:ascii="Arial" w:hAnsi="Arial" w:cs="Arial"/>
          <w:color w:val="4F81BD" w:themeColor="accent1"/>
          <w:szCs w:val="26"/>
        </w:rPr>
        <w:t>, con base en el artículo 8°, fracciones II y VIII, de la Ley de Transparencia del Estado</w:t>
      </w:r>
      <w:r w:rsidR="000A2A7E" w:rsidRPr="002F26F5">
        <w:rPr>
          <w:rFonts w:ascii="Arial" w:hAnsi="Arial" w:cs="Arial"/>
          <w:color w:val="4F81BD" w:themeColor="accent1"/>
          <w:szCs w:val="26"/>
        </w:rPr>
        <w:t xml:space="preserve">. </w:t>
      </w:r>
      <w:r w:rsidR="001C3394" w:rsidRPr="002F26F5">
        <w:rPr>
          <w:rFonts w:ascii="Arial" w:hAnsi="Arial" w:cs="Arial"/>
          <w:color w:val="4F81BD" w:themeColor="accent1"/>
          <w:szCs w:val="26"/>
        </w:rPr>
        <w:t xml:space="preserve">Por tanto, al encontrarse involucrado el alcance del derecho humano de acceso a la información, debe atenderse al principio de mayor beneficio para las partes y, por ende, en términos del artículo 1o. de la Constitución Política de los Estados Unidos Mexicanos, reformado mediante decreto publicado en el Diario Oficial de la Federación el 10 de junio de 2011, conforme al cual todas las autoridades deben aplicar el principio interpretativo pro persona, esto es, realizar la interpretación que más favorezca a los derechos del aquí recurrente, para garantizar de manera efectiva el derecho de acceso a la información pública en </w:t>
      </w:r>
      <w:r w:rsidR="001C3394" w:rsidRPr="002F26F5">
        <w:rPr>
          <w:rFonts w:ascii="Arial" w:hAnsi="Arial" w:cs="Arial"/>
          <w:color w:val="4F81BD" w:themeColor="accent1"/>
          <w:szCs w:val="26"/>
        </w:rPr>
        <w:lastRenderedPageBreak/>
        <w:t>posesión del sujeto obligado en consonancia al principio de acceso a la justicia consagrado en el numeral 17 del Pacto Federal.</w:t>
      </w:r>
    </w:p>
    <w:p w:rsidR="00A959F6" w:rsidRPr="002F26F5" w:rsidRDefault="001C3394" w:rsidP="00ED5BFE">
      <w:pPr>
        <w:pStyle w:val="Textoindependienteprimerasangra"/>
        <w:spacing w:before="240"/>
        <w:ind w:firstLine="900"/>
        <w:rPr>
          <w:rFonts w:ascii="Arial" w:hAnsi="Arial" w:cs="Arial"/>
          <w:color w:val="4F81BD" w:themeColor="accent1"/>
          <w:szCs w:val="26"/>
        </w:rPr>
      </w:pPr>
      <w:r w:rsidRPr="002F26F5">
        <w:rPr>
          <w:rFonts w:ascii="Arial" w:hAnsi="Arial" w:cs="Arial"/>
          <w:color w:val="4F81BD" w:themeColor="accent1"/>
        </w:rPr>
        <w:t>Con base en lo expuesto,</w:t>
      </w:r>
      <w:r w:rsidR="000A2A7E" w:rsidRPr="002F26F5">
        <w:rPr>
          <w:rFonts w:ascii="Arial" w:hAnsi="Arial" w:cs="Arial"/>
          <w:color w:val="4F81BD" w:themeColor="accent1"/>
        </w:rPr>
        <w:t xml:space="preserve"> </w:t>
      </w:r>
      <w:r w:rsidRPr="002F26F5">
        <w:rPr>
          <w:rFonts w:ascii="Arial" w:hAnsi="Arial" w:cs="Arial"/>
          <w:color w:val="4F81BD" w:themeColor="accent1"/>
        </w:rPr>
        <w:t xml:space="preserve">en estudio de los </w:t>
      </w:r>
      <w:r w:rsidRPr="002F26F5">
        <w:rPr>
          <w:rFonts w:ascii="Arial" w:hAnsi="Arial" w:cs="Arial"/>
          <w:color w:val="4F81BD" w:themeColor="accent1"/>
          <w:szCs w:val="26"/>
        </w:rPr>
        <w:t xml:space="preserve">diversos documentos allegados al sumario, los cuales son tomados en consideración con la finalidad de que los datos </w:t>
      </w:r>
      <w:r w:rsidRPr="002F26F5">
        <w:rPr>
          <w:rFonts w:ascii="Arial" w:hAnsi="Arial" w:cs="Arial"/>
          <w:bCs/>
          <w:color w:val="4F81BD" w:themeColor="accent1"/>
          <w:szCs w:val="26"/>
        </w:rPr>
        <w:t xml:space="preserve">que emanen del escrito de interposición del recurso de revisión, sus anexos, los ocursos presentados por los que las partes en los cuales realizan manifestaciones conforme a su derecho e incluso la totalidad de la información del expediente formado con motivo de la interposición del presente medio de defensa, deriven preferentemente al pensamiento e intencionalidad de su autor, descartando las precisiones que generen oscuridad o confusión. </w:t>
      </w:r>
      <w:r w:rsidRPr="002F26F5">
        <w:rPr>
          <w:rFonts w:ascii="Arial" w:hAnsi="Arial" w:cs="Arial"/>
          <w:color w:val="4F81BD" w:themeColor="accent1"/>
          <w:szCs w:val="26"/>
        </w:rPr>
        <w:t>Esto es, atender a lo que quisieron decir las partes y no únicamente a lo que en apariencia se dijo, pues sólo de esta manera se logra congruencia entre lo pretendido y lo resuelto.</w:t>
      </w:r>
    </w:p>
    <w:p w:rsidR="002F26F5" w:rsidRPr="002F26F5" w:rsidRDefault="00A959F6" w:rsidP="002F26F5">
      <w:pPr>
        <w:spacing w:before="240"/>
        <w:ind w:firstLine="708"/>
        <w:rPr>
          <w:rFonts w:ascii="Arial" w:eastAsiaTheme="minorHAnsi" w:hAnsi="Arial" w:cs="Arial"/>
          <w:color w:val="4F81BD" w:themeColor="accent1"/>
          <w:szCs w:val="26"/>
          <w:lang w:val="es-MX" w:eastAsia="en-US"/>
        </w:rPr>
      </w:pPr>
      <w:r w:rsidRPr="002F26F5">
        <w:rPr>
          <w:rFonts w:ascii="Arial" w:hAnsi="Arial" w:cs="Arial"/>
          <w:color w:val="4F81BD" w:themeColor="accent1"/>
          <w:szCs w:val="26"/>
        </w:rPr>
        <w:t xml:space="preserve">El inconforme señala que </w:t>
      </w:r>
      <w:r w:rsidR="007F72C4" w:rsidRPr="002F26F5">
        <w:rPr>
          <w:rFonts w:ascii="Arial" w:hAnsi="Arial" w:cs="Arial"/>
          <w:color w:val="4F81BD" w:themeColor="accent1"/>
          <w:szCs w:val="26"/>
        </w:rPr>
        <w:t>a su consideración no se le dio la respuesta respecto de</w:t>
      </w:r>
      <w:r w:rsidR="00ED5BFE" w:rsidRPr="002F26F5">
        <w:rPr>
          <w:rFonts w:ascii="Arial" w:hAnsi="Arial" w:cs="Arial"/>
          <w:color w:val="4F81BD" w:themeColor="accent1"/>
          <w:szCs w:val="26"/>
        </w:rPr>
        <w:t>l convenio celebrado por la particular, en virtud de que debe de acreditar su legitimación respecto a</w:t>
      </w:r>
      <w:r w:rsidR="007F72C4" w:rsidRPr="002F26F5">
        <w:rPr>
          <w:rFonts w:ascii="Arial" w:hAnsi="Arial" w:cs="Arial"/>
          <w:color w:val="4F81BD" w:themeColor="accent1"/>
          <w:szCs w:val="26"/>
        </w:rPr>
        <w:t xml:space="preserve"> la información solicitada, ya que </w:t>
      </w:r>
      <w:r w:rsidR="00ED5BFE" w:rsidRPr="002F26F5">
        <w:rPr>
          <w:rFonts w:ascii="Arial" w:hAnsi="Arial" w:cs="Arial"/>
          <w:color w:val="4F81BD" w:themeColor="accent1"/>
          <w:szCs w:val="26"/>
        </w:rPr>
        <w:t>lo requerido es información pública.</w:t>
      </w:r>
      <w:r w:rsidR="00161FD5" w:rsidRPr="002F26F5">
        <w:rPr>
          <w:rFonts w:ascii="Arial" w:hAnsi="Arial" w:cs="Arial"/>
          <w:color w:val="4F81BD" w:themeColor="accent1"/>
          <w:szCs w:val="26"/>
        </w:rPr>
        <w:t xml:space="preserve"> </w:t>
      </w:r>
      <w:r w:rsidR="00B816B6" w:rsidRPr="002F26F5">
        <w:rPr>
          <w:rFonts w:ascii="Arial" w:hAnsi="Arial" w:cs="Arial"/>
          <w:color w:val="4F81BD" w:themeColor="accent1"/>
          <w:szCs w:val="26"/>
        </w:rPr>
        <w:t xml:space="preserve">Es </w:t>
      </w:r>
      <w:r w:rsidR="002F26F5" w:rsidRPr="002F26F5">
        <w:rPr>
          <w:rFonts w:ascii="Arial" w:hAnsi="Arial" w:cs="Arial"/>
          <w:color w:val="4F81BD" w:themeColor="accent1"/>
          <w:szCs w:val="26"/>
        </w:rPr>
        <w:t>infundado, p</w:t>
      </w:r>
      <w:proofErr w:type="spellStart"/>
      <w:r w:rsidR="002F26F5" w:rsidRPr="002F26F5">
        <w:rPr>
          <w:rFonts w:ascii="Arial" w:eastAsiaTheme="minorHAnsi" w:hAnsi="Arial" w:cs="Arial"/>
          <w:color w:val="4F81BD" w:themeColor="accent1"/>
          <w:szCs w:val="26"/>
          <w:lang w:val="es-MX" w:eastAsia="en-US"/>
        </w:rPr>
        <w:t>or</w:t>
      </w:r>
      <w:proofErr w:type="spellEnd"/>
      <w:r w:rsidR="002F26F5" w:rsidRPr="002F26F5">
        <w:rPr>
          <w:rFonts w:ascii="Arial" w:eastAsiaTheme="minorHAnsi" w:hAnsi="Arial" w:cs="Arial"/>
          <w:color w:val="4F81BD" w:themeColor="accent1"/>
          <w:szCs w:val="26"/>
          <w:lang w:val="es-MX" w:eastAsia="en-US"/>
        </w:rPr>
        <w:t xml:space="preserve"> ello, para efecto de denostar el anotado calificativo, es menester realizar las puntualizaciones siguientes: </w:t>
      </w:r>
    </w:p>
    <w:p w:rsidR="00F2255A" w:rsidRPr="002F26F5" w:rsidRDefault="00F2255A" w:rsidP="004904BA">
      <w:pPr>
        <w:autoSpaceDE w:val="0"/>
        <w:autoSpaceDN w:val="0"/>
        <w:adjustRightInd w:val="0"/>
        <w:spacing w:before="240"/>
        <w:ind w:firstLine="708"/>
        <w:rPr>
          <w:rFonts w:ascii="Arial" w:eastAsiaTheme="minorHAnsi" w:hAnsi="Arial" w:cs="Arial"/>
          <w:color w:val="4F81BD" w:themeColor="accent1"/>
          <w:szCs w:val="26"/>
          <w:lang w:val="es-MX" w:eastAsia="en-US"/>
        </w:rPr>
      </w:pPr>
      <w:r w:rsidRPr="002F26F5">
        <w:rPr>
          <w:rFonts w:ascii="Arial" w:eastAsiaTheme="minorHAnsi" w:hAnsi="Arial" w:cs="Arial"/>
          <w:color w:val="4F81BD" w:themeColor="accent1"/>
          <w:szCs w:val="26"/>
          <w:lang w:val="es-MX" w:eastAsia="en-US"/>
        </w:rPr>
        <w:t xml:space="preserve">El derecho de acceso a la información impone al Estado la obligación de suministrar al público la máxima cantidad de información en forma oficiosa, por lo menos en cuanto a: (a) la estructura, funciones, presupuesto de operación e inversión del Estado; (b) la información que se requiere para el ejercicio de otros derechos —por ejemplo, la que atañe a la satisfacción de los derechos sociales como los derechos a la pensión, a la salud o a la educación—; (c) la oferta de servicios, beneficios, subsidios o contratos de cualquier  tipo; y (d) el procedimiento para interponer quejas o consultas, si existiere. Dicha información debe ser completa, comprensible, con un lenguaje accesible y encontrarse actualizada. Asimismo, dado que sectores importantes de la población no </w:t>
      </w:r>
      <w:r w:rsidRPr="002F26F5">
        <w:rPr>
          <w:rFonts w:ascii="Arial" w:eastAsiaTheme="minorHAnsi" w:hAnsi="Arial" w:cs="Arial"/>
          <w:color w:val="4F81BD" w:themeColor="accent1"/>
          <w:szCs w:val="26"/>
          <w:lang w:val="es-MX" w:eastAsia="en-US"/>
        </w:rPr>
        <w:lastRenderedPageBreak/>
        <w:t>tienen acceso a las nuevas tecnologías y, sin embargo, muchos de sus derechos pueden depender de que conozcan la información sobre cómo hacerlos efectivos, el Estado debe encontrar formas eficaces para realizar la obligación de transparencia activa en tales circunstancias.</w:t>
      </w:r>
      <w:r w:rsidRPr="002F26F5">
        <w:rPr>
          <w:rStyle w:val="Refdenotaalpie"/>
          <w:rFonts w:ascii="Arial" w:eastAsiaTheme="minorHAnsi" w:hAnsi="Arial" w:cs="Arial"/>
          <w:color w:val="4F81BD" w:themeColor="accent1"/>
          <w:szCs w:val="26"/>
          <w:lang w:val="es-MX" w:eastAsia="en-US"/>
        </w:rPr>
        <w:footnoteReference w:id="1"/>
      </w:r>
    </w:p>
    <w:p w:rsidR="00F2255A" w:rsidRPr="002F26F5" w:rsidRDefault="00F2255A" w:rsidP="00F2255A">
      <w:pPr>
        <w:autoSpaceDE w:val="0"/>
        <w:autoSpaceDN w:val="0"/>
        <w:adjustRightInd w:val="0"/>
        <w:spacing w:before="240"/>
        <w:rPr>
          <w:rFonts w:ascii="Arial" w:eastAsiaTheme="minorHAnsi" w:hAnsi="Arial" w:cs="Arial"/>
          <w:color w:val="4F81BD" w:themeColor="accent1"/>
          <w:szCs w:val="26"/>
          <w:lang w:val="es-MX" w:eastAsia="en-US"/>
        </w:rPr>
      </w:pPr>
      <w:r w:rsidRPr="002F26F5">
        <w:rPr>
          <w:rFonts w:ascii="Arial" w:eastAsiaTheme="minorHAnsi" w:hAnsi="Arial" w:cs="Arial"/>
          <w:color w:val="4F81BD" w:themeColor="accent1"/>
          <w:szCs w:val="26"/>
          <w:lang w:val="es-MX" w:eastAsia="en-US"/>
        </w:rPr>
        <w:tab/>
        <w:t>En adición, los relatores para la libertad de expresión de la ONU, la OEA y la OSCE precisaron que, “las autoridades públicas deberán tener la obligación de publicar de forma dinámica, incluso en la ausencia de una solicitud, toda una gama de información de interés público”; y que “se establecerán sistemas para aumentar, con el tiempo, la cantidad de información sujeta a dicha rutina de divulgación.</w:t>
      </w:r>
      <w:r w:rsidRPr="002F26F5">
        <w:rPr>
          <w:rStyle w:val="Refdenotaalpie"/>
          <w:rFonts w:ascii="Arial" w:eastAsiaTheme="minorHAnsi" w:hAnsi="Arial" w:cs="Arial"/>
          <w:color w:val="4F81BD" w:themeColor="accent1"/>
          <w:szCs w:val="26"/>
          <w:lang w:val="es-MX" w:eastAsia="en-US"/>
        </w:rPr>
        <w:footnoteReference w:id="2"/>
      </w:r>
    </w:p>
    <w:p w:rsidR="00F2255A" w:rsidRPr="002F26F5" w:rsidRDefault="00F2255A" w:rsidP="00F2255A">
      <w:pPr>
        <w:autoSpaceDE w:val="0"/>
        <w:autoSpaceDN w:val="0"/>
        <w:adjustRightInd w:val="0"/>
        <w:spacing w:before="240"/>
        <w:rPr>
          <w:rFonts w:ascii="Arial" w:eastAsiaTheme="minorHAnsi" w:hAnsi="Arial" w:cs="Arial"/>
          <w:color w:val="4F81BD" w:themeColor="accent1"/>
          <w:szCs w:val="26"/>
          <w:lang w:val="es-MX" w:eastAsia="en-US"/>
        </w:rPr>
      </w:pPr>
      <w:r w:rsidRPr="002F26F5">
        <w:rPr>
          <w:rFonts w:ascii="Arial" w:eastAsiaTheme="minorHAnsi" w:hAnsi="Arial" w:cs="Arial"/>
          <w:color w:val="4F81BD" w:themeColor="accent1"/>
          <w:szCs w:val="26"/>
          <w:lang w:val="es-MX" w:eastAsia="en-US"/>
        </w:rPr>
        <w:tab/>
        <w:t xml:space="preserve">La transparencia activa consiste en que los sujetos obligados pongan a disposición del público, sin necesidad de que medie una </w:t>
      </w:r>
      <w:proofErr w:type="gramStart"/>
      <w:r w:rsidRPr="002F26F5">
        <w:rPr>
          <w:rFonts w:ascii="Arial" w:eastAsiaTheme="minorHAnsi" w:hAnsi="Arial" w:cs="Arial"/>
          <w:color w:val="4F81BD" w:themeColor="accent1"/>
          <w:szCs w:val="26"/>
          <w:lang w:val="es-MX" w:eastAsia="en-US"/>
        </w:rPr>
        <w:t>solicitado</w:t>
      </w:r>
      <w:proofErr w:type="gramEnd"/>
      <w:r w:rsidRPr="002F26F5">
        <w:rPr>
          <w:rFonts w:ascii="Arial" w:eastAsiaTheme="minorHAnsi" w:hAnsi="Arial" w:cs="Arial"/>
          <w:color w:val="4F81BD" w:themeColor="accent1"/>
          <w:szCs w:val="26"/>
          <w:lang w:val="es-MX" w:eastAsia="en-US"/>
        </w:rPr>
        <w:t xml:space="preserve">, aquella información que, por mandamiento normativo, sea de relevante, ya sea por su cercanía con la sociedad, la trascendencia en la rendición de cuentas o como un elemento que incentive la participación ciudadana en la vida democrática del país.  </w:t>
      </w:r>
    </w:p>
    <w:p w:rsidR="00F2255A" w:rsidRPr="002F26F5" w:rsidRDefault="00F2255A" w:rsidP="00F2255A">
      <w:pPr>
        <w:autoSpaceDE w:val="0"/>
        <w:autoSpaceDN w:val="0"/>
        <w:adjustRightInd w:val="0"/>
        <w:spacing w:before="240"/>
        <w:rPr>
          <w:rFonts w:ascii="Arial" w:eastAsiaTheme="minorHAnsi" w:hAnsi="Arial" w:cs="Arial"/>
          <w:color w:val="4F81BD" w:themeColor="accent1"/>
          <w:szCs w:val="26"/>
          <w:lang w:val="es-MX" w:eastAsia="en-US"/>
        </w:rPr>
      </w:pPr>
      <w:r w:rsidRPr="002F26F5">
        <w:rPr>
          <w:rFonts w:ascii="Arial" w:eastAsiaTheme="minorHAnsi" w:hAnsi="Arial" w:cs="Arial"/>
          <w:color w:val="4F81BD" w:themeColor="accent1"/>
          <w:szCs w:val="26"/>
          <w:lang w:val="es-MX" w:eastAsia="en-US"/>
        </w:rPr>
        <w:tab/>
        <w:t xml:space="preserve">El alcance de esta obligación también se precisa en la resolución del Comité Jurídico Interamericano sobre los “Principios sobre el Derecho de Acceso a la Información”, que establece que, “los órganos públicos deben difundir información sobre sus funciones y actividades—incluyendo su política, oportunidades de consultas, actividades que afectan al público, presupuestos, subsidios, beneficios y contratos—de forma rutinaria y proactiva, aún en la ausencia de una petición específica, y de manera que asegure que la información sea accesible y comprensible”368. En el mismo sentido, esta obligación incluye el deber de no interferir con el derecho de acceso a la información de todo tipo, el cual se extiende a la circulación de información que pueda o no contar </w:t>
      </w:r>
      <w:r w:rsidRPr="002F26F5">
        <w:rPr>
          <w:rFonts w:ascii="Arial" w:eastAsiaTheme="minorHAnsi" w:hAnsi="Arial" w:cs="Arial"/>
          <w:color w:val="4F81BD" w:themeColor="accent1"/>
          <w:szCs w:val="26"/>
          <w:lang w:val="es-MX" w:eastAsia="en-US"/>
        </w:rPr>
        <w:lastRenderedPageBreak/>
        <w:t>con el beneplácito personal de quienes representan en un momento dado a la autoridad estatal.</w:t>
      </w:r>
    </w:p>
    <w:p w:rsidR="00F2255A" w:rsidRPr="002F26F5" w:rsidRDefault="00F2255A" w:rsidP="00962D0D">
      <w:pPr>
        <w:spacing w:before="240"/>
        <w:ind w:firstLine="708"/>
        <w:rPr>
          <w:rFonts w:ascii="Arial" w:hAnsi="Arial" w:cs="Arial"/>
          <w:color w:val="4F81BD" w:themeColor="accent1"/>
          <w:szCs w:val="26"/>
        </w:rPr>
      </w:pPr>
      <w:r w:rsidRPr="002F26F5">
        <w:rPr>
          <w:rFonts w:ascii="Arial" w:hAnsi="Arial" w:cs="Arial"/>
          <w:color w:val="4F81BD" w:themeColor="accent1"/>
          <w:szCs w:val="26"/>
        </w:rPr>
        <w:t>En el caso concreto, se advierte que la aquí inconforme se duele de la circunstancia de que no le fue proporcionado el convenio celebrado entre dos particulares</w:t>
      </w:r>
      <w:r w:rsidR="006464A1" w:rsidRPr="002F26F5">
        <w:rPr>
          <w:rFonts w:ascii="Arial" w:hAnsi="Arial" w:cs="Arial"/>
          <w:color w:val="4F81BD" w:themeColor="accent1"/>
          <w:szCs w:val="26"/>
        </w:rPr>
        <w:t>, -dentro de los cuales ella figura como parte de dicho pacto-</w:t>
      </w:r>
      <w:r w:rsidRPr="002F26F5">
        <w:rPr>
          <w:rFonts w:ascii="Arial" w:hAnsi="Arial" w:cs="Arial"/>
          <w:color w:val="4F81BD" w:themeColor="accent1"/>
          <w:szCs w:val="26"/>
        </w:rPr>
        <w:t xml:space="preserve">, ante la oficina de enlace de la Procuraduría Federal del Consumidor (PROFECO), adscrita al H. Ayuntamiento de Rioverde. </w:t>
      </w:r>
    </w:p>
    <w:p w:rsidR="00EA7A91" w:rsidRPr="002F26F5" w:rsidRDefault="00F2255A" w:rsidP="00962D0D">
      <w:pPr>
        <w:spacing w:before="240"/>
        <w:ind w:firstLine="708"/>
        <w:rPr>
          <w:rFonts w:ascii="Arial" w:hAnsi="Arial" w:cs="Arial"/>
          <w:color w:val="4F81BD" w:themeColor="accent1"/>
          <w:szCs w:val="26"/>
        </w:rPr>
      </w:pPr>
      <w:r w:rsidRPr="002F26F5">
        <w:rPr>
          <w:rFonts w:ascii="Arial" w:hAnsi="Arial" w:cs="Arial"/>
          <w:color w:val="4F81BD" w:themeColor="accent1"/>
          <w:szCs w:val="26"/>
        </w:rPr>
        <w:t xml:space="preserve">Atento lo anterior, el Sujeto Obligado </w:t>
      </w:r>
      <w:r w:rsidR="006B2C56" w:rsidRPr="002F26F5">
        <w:rPr>
          <w:rFonts w:ascii="Arial" w:hAnsi="Arial" w:cs="Arial"/>
          <w:color w:val="4F81BD" w:themeColor="accent1"/>
          <w:szCs w:val="26"/>
        </w:rPr>
        <w:t xml:space="preserve">señaló en el proveído de veintinueve de noviembre de dos mil dieciséis, que no era posible entregar el documento; ello así por contener datos de carácter confidencial conforme lo establecido en el numeral 138 de la Ley de la Materia; no obstante lo anterior, la autoridad señaló que el documento solicitado contiene datos personales que coinciden con información confidencial de la promovente, por lo que se le exhortó a la promovente para que ejerciera </w:t>
      </w:r>
      <w:r w:rsidR="00EA7A91" w:rsidRPr="002F26F5">
        <w:rPr>
          <w:rFonts w:ascii="Arial" w:hAnsi="Arial" w:cs="Arial"/>
          <w:color w:val="4F81BD" w:themeColor="accent1"/>
          <w:szCs w:val="26"/>
        </w:rPr>
        <w:t xml:space="preserve">los derechos “ARCO”. </w:t>
      </w:r>
    </w:p>
    <w:p w:rsidR="00EA7A91" w:rsidRPr="002F26F5" w:rsidRDefault="00EA7A91" w:rsidP="00962D0D">
      <w:pPr>
        <w:spacing w:before="240"/>
        <w:ind w:firstLine="708"/>
        <w:rPr>
          <w:rFonts w:ascii="Arial" w:hAnsi="Arial" w:cs="Arial"/>
          <w:color w:val="4F81BD" w:themeColor="accent1"/>
          <w:szCs w:val="26"/>
        </w:rPr>
      </w:pPr>
      <w:r w:rsidRPr="002F26F5">
        <w:rPr>
          <w:rFonts w:ascii="Arial" w:hAnsi="Arial" w:cs="Arial"/>
          <w:color w:val="4F81BD" w:themeColor="accent1"/>
          <w:szCs w:val="26"/>
        </w:rPr>
        <w:t xml:space="preserve">Con base en lo anterior, es menester </w:t>
      </w:r>
      <w:r w:rsidR="00B16000" w:rsidRPr="002F26F5">
        <w:rPr>
          <w:rFonts w:ascii="Arial" w:hAnsi="Arial" w:cs="Arial"/>
          <w:color w:val="4F81BD" w:themeColor="accent1"/>
          <w:szCs w:val="26"/>
        </w:rPr>
        <w:t xml:space="preserve">precisar </w:t>
      </w:r>
      <w:r w:rsidRPr="002F26F5">
        <w:rPr>
          <w:rFonts w:ascii="Arial" w:hAnsi="Arial" w:cs="Arial"/>
          <w:color w:val="4F81BD" w:themeColor="accent1"/>
          <w:szCs w:val="26"/>
        </w:rPr>
        <w:t>citar el contenido del numeral 3º, fracciones IX, X</w:t>
      </w:r>
      <w:r w:rsidR="00601D05" w:rsidRPr="002F26F5">
        <w:rPr>
          <w:rFonts w:ascii="Arial" w:hAnsi="Arial" w:cs="Arial"/>
          <w:color w:val="4F81BD" w:themeColor="accent1"/>
          <w:szCs w:val="26"/>
        </w:rPr>
        <w:t xml:space="preserve"> y</w:t>
      </w:r>
      <w:r w:rsidRPr="002F26F5">
        <w:rPr>
          <w:rFonts w:ascii="Arial" w:hAnsi="Arial" w:cs="Arial"/>
          <w:color w:val="4F81BD" w:themeColor="accent1"/>
          <w:szCs w:val="26"/>
        </w:rPr>
        <w:t xml:space="preserve"> XI de la Ley General de Protección de Datos Personales en Posesión de Sujetos Obligados: </w:t>
      </w:r>
    </w:p>
    <w:p w:rsidR="00EA7A91" w:rsidRPr="002F26F5" w:rsidRDefault="00EA7A91" w:rsidP="00EA7A91">
      <w:pPr>
        <w:spacing w:before="240" w:line="240" w:lineRule="auto"/>
        <w:ind w:firstLine="708"/>
        <w:rPr>
          <w:rFonts w:ascii="Arial" w:hAnsi="Arial" w:cs="Arial"/>
          <w:i/>
          <w:color w:val="4F81BD" w:themeColor="accent1"/>
          <w:sz w:val="22"/>
          <w:szCs w:val="22"/>
        </w:rPr>
      </w:pPr>
      <w:r w:rsidRPr="002F26F5">
        <w:rPr>
          <w:rFonts w:ascii="Arial" w:hAnsi="Arial" w:cs="Arial"/>
          <w:b/>
          <w:i/>
          <w:color w:val="4F81BD" w:themeColor="accent1"/>
          <w:sz w:val="22"/>
          <w:szCs w:val="22"/>
        </w:rPr>
        <w:t>IX. Datos personales:</w:t>
      </w:r>
      <w:r w:rsidRPr="002F26F5">
        <w:rPr>
          <w:rFonts w:ascii="Arial" w:hAnsi="Arial" w:cs="Arial"/>
          <w:i/>
          <w:color w:val="4F81BD" w:themeColor="accent1"/>
          <w:sz w:val="22"/>
          <w:szCs w:val="22"/>
        </w:rPr>
        <w:t xml:space="preserve"> Cualquier información concerniente a una persona física identificada o identificable. Se considera que una persona es identificable cuando su identidad pueda determinarse directa o indirectamente a través de cualquier información; </w:t>
      </w:r>
    </w:p>
    <w:p w:rsidR="00EA7A91" w:rsidRPr="002F26F5" w:rsidRDefault="00EA7A91" w:rsidP="00EA7A91">
      <w:pPr>
        <w:spacing w:before="240" w:line="240" w:lineRule="auto"/>
        <w:ind w:firstLine="708"/>
        <w:rPr>
          <w:rFonts w:ascii="Arial" w:hAnsi="Arial" w:cs="Arial"/>
          <w:i/>
          <w:color w:val="4F81BD" w:themeColor="accent1"/>
          <w:sz w:val="22"/>
          <w:szCs w:val="22"/>
        </w:rPr>
      </w:pPr>
      <w:r w:rsidRPr="002F26F5">
        <w:rPr>
          <w:rFonts w:ascii="Arial" w:hAnsi="Arial" w:cs="Arial"/>
          <w:b/>
          <w:i/>
          <w:color w:val="4F81BD" w:themeColor="accent1"/>
          <w:sz w:val="22"/>
          <w:szCs w:val="22"/>
        </w:rPr>
        <w:t>X. Datos personales sensibles:</w:t>
      </w:r>
      <w:r w:rsidRPr="002F26F5">
        <w:rPr>
          <w:rFonts w:ascii="Arial" w:hAnsi="Arial" w:cs="Arial"/>
          <w:i/>
          <w:color w:val="4F81BD" w:themeColor="accent1"/>
          <w:sz w:val="22"/>
          <w:szCs w:val="22"/>
        </w:rPr>
        <w:t xml:space="preserve"> Aquellos que se refieran a la esfera más íntima de su titular, o cuya utilización indebida pueda dar origen a discriminación o conlleve un riesgo grave para éste. De manera enunciativa más no limitativa, se consideran sensibles los datos personales que puedan revelar aspectos como origen racial o étnico, estado de salud presente o futuro, información genética, creencias religiosas, filosóficas y morales, opiniones políticas y preferencia sexual; </w:t>
      </w:r>
    </w:p>
    <w:p w:rsidR="00EA7A91" w:rsidRPr="002F26F5" w:rsidRDefault="00EA7A91" w:rsidP="00EA7A91">
      <w:pPr>
        <w:spacing w:before="240" w:line="240" w:lineRule="auto"/>
        <w:ind w:firstLine="708"/>
        <w:rPr>
          <w:rFonts w:ascii="Arial" w:hAnsi="Arial" w:cs="Arial"/>
          <w:i/>
          <w:color w:val="4F81BD" w:themeColor="accent1"/>
          <w:sz w:val="22"/>
          <w:szCs w:val="22"/>
        </w:rPr>
      </w:pPr>
      <w:r w:rsidRPr="002F26F5">
        <w:rPr>
          <w:rFonts w:ascii="Arial" w:hAnsi="Arial" w:cs="Arial"/>
          <w:b/>
          <w:i/>
          <w:color w:val="4F81BD" w:themeColor="accent1"/>
          <w:sz w:val="22"/>
          <w:szCs w:val="22"/>
        </w:rPr>
        <w:t>XI. Derechos ARCO:</w:t>
      </w:r>
      <w:r w:rsidRPr="002F26F5">
        <w:rPr>
          <w:rFonts w:ascii="Arial" w:hAnsi="Arial" w:cs="Arial"/>
          <w:i/>
          <w:color w:val="4F81BD" w:themeColor="accent1"/>
          <w:sz w:val="22"/>
          <w:szCs w:val="22"/>
        </w:rPr>
        <w:t xml:space="preserve"> Los derechos de acceso, rectificación, cancelación y oposición al tratamiento de datos personales;</w:t>
      </w:r>
    </w:p>
    <w:p w:rsidR="006B2C56" w:rsidRPr="002F26F5" w:rsidRDefault="00EA7A91" w:rsidP="00601D05">
      <w:pPr>
        <w:spacing w:before="240"/>
        <w:ind w:firstLine="708"/>
        <w:rPr>
          <w:rFonts w:ascii="Arial" w:hAnsi="Arial" w:cs="Arial"/>
          <w:color w:val="4F81BD" w:themeColor="accent1"/>
          <w:szCs w:val="26"/>
        </w:rPr>
      </w:pPr>
      <w:r w:rsidRPr="002F26F5">
        <w:rPr>
          <w:rFonts w:ascii="Arial" w:hAnsi="Arial" w:cs="Arial"/>
          <w:color w:val="4F81BD" w:themeColor="accent1"/>
          <w:szCs w:val="26"/>
        </w:rPr>
        <w:t xml:space="preserve">De conformidad con los dispositivos legales transcritos, </w:t>
      </w:r>
      <w:r w:rsidR="00601D05" w:rsidRPr="002F26F5">
        <w:rPr>
          <w:rFonts w:ascii="Arial" w:hAnsi="Arial" w:cs="Arial"/>
          <w:color w:val="4F81BD" w:themeColor="accent1"/>
          <w:szCs w:val="26"/>
        </w:rPr>
        <w:t xml:space="preserve">se obtiene que un dato personal es aquella información que concierne a una persona física identificada o identificable, es decir que su identidad puede determinarse de manera directa a través de cualquier información, que </w:t>
      </w:r>
      <w:r w:rsidR="00601D05" w:rsidRPr="002F26F5">
        <w:rPr>
          <w:rFonts w:ascii="Arial" w:hAnsi="Arial" w:cs="Arial"/>
          <w:color w:val="4F81BD" w:themeColor="accent1"/>
          <w:szCs w:val="26"/>
        </w:rPr>
        <w:lastRenderedPageBreak/>
        <w:t xml:space="preserve">pueda revelar aspectos como origen racial o étnico, estado de salud presente o futuro, información genética, creencias religiosas, filosóficas y morales, opiniones políticas y preferencia sexual. </w:t>
      </w:r>
    </w:p>
    <w:p w:rsidR="00B16000" w:rsidRPr="002F26F5" w:rsidRDefault="004904BA" w:rsidP="00B16000">
      <w:pPr>
        <w:ind w:firstLine="708"/>
        <w:rPr>
          <w:rFonts w:ascii="Arial" w:hAnsi="Arial" w:cs="Arial"/>
          <w:color w:val="4F81BD" w:themeColor="accent1"/>
          <w:szCs w:val="26"/>
        </w:rPr>
      </w:pPr>
      <w:r w:rsidRPr="002F26F5">
        <w:rPr>
          <w:rFonts w:ascii="Arial" w:hAnsi="Arial" w:cs="Arial"/>
          <w:color w:val="4F81BD" w:themeColor="accent1"/>
          <w:szCs w:val="26"/>
        </w:rPr>
        <w:t xml:space="preserve">Para reforzar lo expuesto, es preciso señalar que en </w:t>
      </w:r>
      <w:r w:rsidR="00B16000" w:rsidRPr="002F26F5">
        <w:rPr>
          <w:rFonts w:ascii="Arial" w:hAnsi="Arial" w:cs="Arial"/>
          <w:color w:val="4F81BD" w:themeColor="accent1"/>
          <w:szCs w:val="26"/>
        </w:rPr>
        <w:t xml:space="preserve">el </w:t>
      </w:r>
      <w:r w:rsidR="00B16000" w:rsidRPr="002F26F5">
        <w:rPr>
          <w:rFonts w:ascii="Arial" w:hAnsi="Arial" w:cs="Arial"/>
          <w:b/>
          <w:color w:val="4F81BD" w:themeColor="accent1"/>
          <w:szCs w:val="26"/>
        </w:rPr>
        <w:t>amparo directo 6/2008</w:t>
      </w:r>
      <w:r w:rsidR="00B16000" w:rsidRPr="002F26F5">
        <w:rPr>
          <w:rFonts w:ascii="Arial" w:hAnsi="Arial" w:cs="Arial"/>
          <w:color w:val="4F81BD" w:themeColor="accent1"/>
          <w:szCs w:val="26"/>
        </w:rPr>
        <w:t>, el Tribunal Pleno de la Suprema Corte de Justicia de la Nación destacó por primera vez el valor superior de la dignidad humana como condición y base de los demás derechos humanos, incluidos los asociados con la personalidad, tales como el derecho a la intimidad, vida privada y propia imagen.</w:t>
      </w:r>
      <w:r w:rsidR="00B16000" w:rsidRPr="002F26F5">
        <w:rPr>
          <w:rFonts w:ascii="Arial" w:hAnsi="Arial" w:cs="Arial"/>
          <w:color w:val="4F81BD" w:themeColor="accent1"/>
          <w:szCs w:val="26"/>
          <w:vertAlign w:val="superscript"/>
        </w:rPr>
        <w:footnoteReference w:id="3"/>
      </w:r>
      <w:r w:rsidR="00B16000" w:rsidRPr="002F26F5">
        <w:rPr>
          <w:rFonts w:ascii="Arial" w:hAnsi="Arial" w:cs="Arial"/>
          <w:color w:val="4F81BD" w:themeColor="accent1"/>
          <w:szCs w:val="26"/>
        </w:rPr>
        <w:t xml:space="preserve"> </w:t>
      </w:r>
    </w:p>
    <w:p w:rsidR="00B16000" w:rsidRPr="002F26F5" w:rsidRDefault="00B16000" w:rsidP="00B16000">
      <w:pPr>
        <w:ind w:firstLine="708"/>
        <w:rPr>
          <w:rFonts w:ascii="Arial" w:hAnsi="Arial" w:cs="Arial"/>
          <w:color w:val="4F81BD" w:themeColor="accent1"/>
          <w:szCs w:val="26"/>
        </w:rPr>
      </w:pPr>
      <w:r w:rsidRPr="002F26F5">
        <w:rPr>
          <w:rFonts w:ascii="Arial" w:hAnsi="Arial" w:cs="Arial"/>
          <w:color w:val="4F81BD" w:themeColor="accent1"/>
          <w:szCs w:val="26"/>
        </w:rPr>
        <w:t xml:space="preserve">Sobre el </w:t>
      </w:r>
      <w:r w:rsidRPr="002F26F5">
        <w:rPr>
          <w:rFonts w:ascii="Arial" w:hAnsi="Arial" w:cs="Arial"/>
          <w:b/>
          <w:color w:val="4F81BD" w:themeColor="accent1"/>
          <w:szCs w:val="26"/>
        </w:rPr>
        <w:t>derecho a la intimidad y vida privada</w:t>
      </w:r>
      <w:r w:rsidRPr="002F26F5">
        <w:rPr>
          <w:rFonts w:ascii="Arial" w:hAnsi="Arial" w:cs="Arial"/>
          <w:color w:val="4F81BD" w:themeColor="accent1"/>
          <w:szCs w:val="26"/>
        </w:rPr>
        <w:t>, el Tribunal Pleno manifestó que se refiere a la prerrogativa de no ser conocidos por otros en ciertos aspectos de nuestra vida y que, por tanto, cada sujeto puede decidir revelar a terceras personas. Al respecto, se sostuvo que como todo derecho humano, no es absoluto y encuentra sus límites en los derechos de terceros, así como en el orden público y en el interés social. No obstante, se destacó que el riesgo de lesión de la intimidad tiene que ser razonable para proteger aquéllos, en tanto no puede exigirse al individuo que soporte, sin más, la publicidad de ciertos datos de su vida privada.</w:t>
      </w:r>
    </w:p>
    <w:p w:rsidR="00B16000" w:rsidRPr="002F26F5" w:rsidRDefault="00B16000" w:rsidP="004904BA">
      <w:pPr>
        <w:ind w:firstLine="708"/>
        <w:rPr>
          <w:rFonts w:ascii="Arial" w:hAnsi="Arial" w:cs="Arial"/>
          <w:color w:val="4F81BD" w:themeColor="accent1"/>
          <w:szCs w:val="26"/>
        </w:rPr>
      </w:pPr>
      <w:r w:rsidRPr="002F26F5">
        <w:rPr>
          <w:rFonts w:ascii="Arial" w:hAnsi="Arial" w:cs="Arial"/>
          <w:color w:val="4F81BD" w:themeColor="accent1"/>
          <w:szCs w:val="26"/>
        </w:rPr>
        <w:t xml:space="preserve">Respecto del </w:t>
      </w:r>
      <w:r w:rsidRPr="002F26F5">
        <w:rPr>
          <w:rFonts w:ascii="Arial" w:hAnsi="Arial" w:cs="Arial"/>
          <w:b/>
          <w:color w:val="4F81BD" w:themeColor="accent1"/>
          <w:szCs w:val="26"/>
        </w:rPr>
        <w:t>derecho a la propia imagen</w:t>
      </w:r>
      <w:r w:rsidRPr="002F26F5">
        <w:rPr>
          <w:rFonts w:ascii="Arial" w:hAnsi="Arial" w:cs="Arial"/>
          <w:color w:val="4F81BD" w:themeColor="accent1"/>
          <w:szCs w:val="26"/>
        </w:rPr>
        <w:t xml:space="preserve">, nuestro Máximo Tribunal refirió que implica la forma que uno conserva para mostrarse a los demás y que, como tal, gran parte de la doctrina lo ubica dentro del derecho a la intimidad, siendo ambos derechos personalísimos, vinculados estrechamente con la plena disponibilidad que tiene una persona sobre su vida y la decisión sobre la publicidad o información de datos relativos a su persona o familia, sus pensamientos o sentimientos. </w:t>
      </w:r>
    </w:p>
    <w:p w:rsidR="00B16000" w:rsidRPr="002F26F5" w:rsidRDefault="00B16000" w:rsidP="00B16000">
      <w:pPr>
        <w:ind w:firstLine="708"/>
        <w:rPr>
          <w:rFonts w:ascii="Arial" w:hAnsi="Arial" w:cs="Arial"/>
          <w:color w:val="4F81BD" w:themeColor="accent1"/>
          <w:szCs w:val="26"/>
          <w:vertAlign w:val="superscript"/>
        </w:rPr>
      </w:pPr>
      <w:r w:rsidRPr="002F26F5">
        <w:rPr>
          <w:rFonts w:ascii="Arial" w:hAnsi="Arial" w:cs="Arial"/>
          <w:color w:val="4F81BD" w:themeColor="accent1"/>
          <w:szCs w:val="26"/>
        </w:rPr>
        <w:t xml:space="preserve">Dentro de los derechos personalísimos, también está comprendido el </w:t>
      </w:r>
      <w:r w:rsidRPr="002F26F5">
        <w:rPr>
          <w:rFonts w:ascii="Arial" w:hAnsi="Arial" w:cs="Arial"/>
          <w:b/>
          <w:color w:val="4F81BD" w:themeColor="accent1"/>
          <w:szCs w:val="26"/>
        </w:rPr>
        <w:t>derecho a la identidad</w:t>
      </w:r>
      <w:r w:rsidRPr="002F26F5">
        <w:rPr>
          <w:rFonts w:ascii="Arial" w:hAnsi="Arial" w:cs="Arial"/>
          <w:color w:val="4F81BD" w:themeColor="accent1"/>
          <w:szCs w:val="26"/>
        </w:rPr>
        <w:t xml:space="preserve">, es decir, la persona con sus propios caracteres, físicos e internos y sus acciones, que lo individualizan ante la sociedad. Así, la identidad personal es el conjunto y resultado de todas aquellas características que permiten individualizar a una persona en la </w:t>
      </w:r>
      <w:r w:rsidRPr="002F26F5">
        <w:rPr>
          <w:rFonts w:ascii="Arial" w:hAnsi="Arial" w:cs="Arial"/>
          <w:color w:val="4F81BD" w:themeColor="accent1"/>
          <w:szCs w:val="26"/>
        </w:rPr>
        <w:lastRenderedPageBreak/>
        <w:t>sociedad, es todo aquello que hace ser “uno mismo” y no “otro” y se proyecta hacia el exterior, permitiendo a los demás conocer a esa persona y, de ahí, identificarla. En palabras de la Corte Interamericana de Derechos Humanos, se trata de todo aquello que pueda formar parte de una biografía, una “verdad personal”</w:t>
      </w:r>
      <w:r w:rsidRPr="002F26F5">
        <w:rPr>
          <w:rFonts w:ascii="Arial" w:hAnsi="Arial" w:cs="Arial"/>
          <w:color w:val="4F81BD" w:themeColor="accent1"/>
          <w:szCs w:val="26"/>
          <w:vertAlign w:val="superscript"/>
        </w:rPr>
        <w:t xml:space="preserve"> </w:t>
      </w:r>
      <w:r w:rsidRPr="002F26F5">
        <w:rPr>
          <w:rFonts w:ascii="Arial" w:hAnsi="Arial" w:cs="Arial"/>
          <w:color w:val="4F81BD" w:themeColor="accent1"/>
          <w:szCs w:val="26"/>
          <w:vertAlign w:val="superscript"/>
        </w:rPr>
        <w:footnoteReference w:id="4"/>
      </w:r>
    </w:p>
    <w:p w:rsidR="00B16000" w:rsidRPr="002F26F5" w:rsidRDefault="00B16000" w:rsidP="00B16000">
      <w:pPr>
        <w:ind w:firstLine="708"/>
        <w:rPr>
          <w:rFonts w:ascii="Arial" w:hAnsi="Arial" w:cs="Arial"/>
          <w:color w:val="4F81BD" w:themeColor="accent1"/>
          <w:szCs w:val="26"/>
        </w:rPr>
      </w:pPr>
      <w:r w:rsidRPr="002F26F5">
        <w:rPr>
          <w:rFonts w:ascii="Arial" w:hAnsi="Arial" w:cs="Arial"/>
          <w:color w:val="4F81BD" w:themeColor="accent1"/>
          <w:szCs w:val="26"/>
        </w:rPr>
        <w:t xml:space="preserve">Al resolver el </w:t>
      </w:r>
      <w:r w:rsidRPr="002F26F5">
        <w:rPr>
          <w:rFonts w:ascii="Arial" w:hAnsi="Arial" w:cs="Arial"/>
          <w:b/>
          <w:color w:val="4F81BD" w:themeColor="accent1"/>
          <w:szCs w:val="26"/>
        </w:rPr>
        <w:t>amparo directo en revisión 2424/2011</w:t>
      </w:r>
      <w:r w:rsidRPr="002F26F5">
        <w:rPr>
          <w:rFonts w:ascii="Arial" w:hAnsi="Arial" w:cs="Arial"/>
          <w:color w:val="4F81BD" w:themeColor="accent1"/>
          <w:szCs w:val="26"/>
        </w:rPr>
        <w:t xml:space="preserve"> el dieciocho de enero de dos mil doce,</w:t>
      </w:r>
      <w:r w:rsidRPr="002F26F5">
        <w:rPr>
          <w:rFonts w:ascii="Arial" w:hAnsi="Arial" w:cs="Arial"/>
          <w:color w:val="4F81BD" w:themeColor="accent1"/>
          <w:szCs w:val="26"/>
          <w:vertAlign w:val="superscript"/>
        </w:rPr>
        <w:footnoteReference w:id="5"/>
      </w:r>
      <w:r w:rsidRPr="002F26F5">
        <w:rPr>
          <w:rFonts w:ascii="Arial" w:hAnsi="Arial" w:cs="Arial"/>
          <w:color w:val="4F81BD" w:themeColor="accent1"/>
          <w:szCs w:val="26"/>
        </w:rPr>
        <w:t xml:space="preserve"> la Primera Sala de la Suprema Corte de Justicia de la Nación interpretó los artículos 29 de la Constitución mexicana</w:t>
      </w:r>
      <w:r w:rsidRPr="002F26F5">
        <w:rPr>
          <w:rFonts w:ascii="Arial" w:hAnsi="Arial" w:cs="Arial"/>
          <w:color w:val="4F81BD" w:themeColor="accent1"/>
          <w:szCs w:val="26"/>
          <w:vertAlign w:val="superscript"/>
        </w:rPr>
        <w:footnoteReference w:id="6"/>
      </w:r>
      <w:r w:rsidRPr="002F26F5">
        <w:rPr>
          <w:rFonts w:ascii="Arial" w:hAnsi="Arial" w:cs="Arial"/>
          <w:color w:val="4F81BD" w:themeColor="accent1"/>
          <w:szCs w:val="26"/>
        </w:rPr>
        <w:t xml:space="preserve"> y 18 de la Convención Americana sobre Derechos Humanos</w:t>
      </w:r>
      <w:r w:rsidRPr="002F26F5">
        <w:rPr>
          <w:rFonts w:ascii="Arial" w:hAnsi="Arial" w:cs="Arial"/>
          <w:color w:val="4F81BD" w:themeColor="accent1"/>
          <w:szCs w:val="26"/>
          <w:vertAlign w:val="superscript"/>
        </w:rPr>
        <w:footnoteReference w:id="7"/>
      </w:r>
      <w:r w:rsidRPr="002F26F5">
        <w:rPr>
          <w:rFonts w:ascii="Arial" w:hAnsi="Arial" w:cs="Arial"/>
          <w:color w:val="4F81BD" w:themeColor="accent1"/>
          <w:szCs w:val="26"/>
        </w:rPr>
        <w:t xml:space="preserve"> con el objeto de caracterizar el derecho al nombre y fijar un criterio jurisprudencial al respecto.</w:t>
      </w:r>
      <w:r w:rsidRPr="002F26F5">
        <w:rPr>
          <w:rFonts w:ascii="Arial" w:hAnsi="Arial" w:cs="Arial"/>
          <w:color w:val="4F81BD" w:themeColor="accent1"/>
          <w:szCs w:val="26"/>
          <w:vertAlign w:val="superscript"/>
        </w:rPr>
        <w:footnoteReference w:id="8"/>
      </w:r>
      <w:r w:rsidRPr="002F26F5">
        <w:rPr>
          <w:rFonts w:ascii="Arial" w:hAnsi="Arial" w:cs="Arial"/>
          <w:color w:val="4F81BD" w:themeColor="accent1"/>
          <w:szCs w:val="26"/>
        </w:rPr>
        <w:t xml:space="preserve"> En dicho precedente, la Primera Sala precisó </w:t>
      </w:r>
      <w:r w:rsidRPr="002F26F5">
        <w:rPr>
          <w:rFonts w:ascii="Arial" w:hAnsi="Arial" w:cs="Arial"/>
          <w:color w:val="4F81BD" w:themeColor="accent1"/>
          <w:szCs w:val="26"/>
        </w:rPr>
        <w:lastRenderedPageBreak/>
        <w:t xml:space="preserve">que este </w:t>
      </w:r>
      <w:r w:rsidRPr="002F26F5">
        <w:rPr>
          <w:rFonts w:ascii="Arial" w:hAnsi="Arial" w:cs="Arial"/>
          <w:b/>
          <w:color w:val="4F81BD" w:themeColor="accent1"/>
          <w:szCs w:val="26"/>
        </w:rPr>
        <w:t xml:space="preserve">derecho humano versa sobre el conjunto de signos que constituyen el elemento básico e indispensable para identificar a una persona: nombre propio y apellidos. </w:t>
      </w:r>
      <w:r w:rsidRPr="002F26F5">
        <w:rPr>
          <w:rFonts w:ascii="Arial" w:hAnsi="Arial" w:cs="Arial"/>
          <w:color w:val="4F81BD" w:themeColor="accent1"/>
          <w:szCs w:val="26"/>
        </w:rPr>
        <w:t xml:space="preserve">Además, destacó que su importancia radica en el hecho de ser </w:t>
      </w:r>
      <w:r w:rsidRPr="002F26F5">
        <w:rPr>
          <w:rFonts w:ascii="Arial" w:hAnsi="Arial" w:cs="Arial"/>
          <w:b/>
          <w:color w:val="4F81BD" w:themeColor="accent1"/>
          <w:szCs w:val="26"/>
        </w:rPr>
        <w:t>“</w:t>
      </w:r>
      <w:r w:rsidRPr="002F26F5">
        <w:rPr>
          <w:rFonts w:ascii="Arial" w:hAnsi="Arial" w:cs="Arial"/>
          <w:b/>
          <w:i/>
          <w:color w:val="4F81BD" w:themeColor="accent1"/>
          <w:szCs w:val="26"/>
        </w:rPr>
        <w:t>un componente importante de la identidad de las personas, ya que les dota de existencia legal y les permite el ejercicio de sus otros derechos</w:t>
      </w:r>
      <w:r w:rsidRPr="002F26F5">
        <w:rPr>
          <w:rFonts w:ascii="Arial" w:hAnsi="Arial" w:cs="Arial"/>
          <w:b/>
          <w:color w:val="4F81BD" w:themeColor="accent1"/>
          <w:szCs w:val="26"/>
        </w:rPr>
        <w:t>.”</w:t>
      </w:r>
      <w:r w:rsidRPr="002F26F5">
        <w:rPr>
          <w:rFonts w:ascii="Arial" w:hAnsi="Arial" w:cs="Arial"/>
          <w:color w:val="4F81BD" w:themeColor="accent1"/>
          <w:szCs w:val="26"/>
        </w:rPr>
        <w:t xml:space="preserve"> (Párrafo 52). Sostuvo también que el derecho al nombre tiene por finalidad “</w:t>
      </w:r>
      <w:r w:rsidRPr="002F26F5">
        <w:rPr>
          <w:rFonts w:ascii="Arial" w:hAnsi="Arial" w:cs="Arial"/>
          <w:i/>
          <w:color w:val="4F81BD" w:themeColor="accent1"/>
          <w:szCs w:val="26"/>
        </w:rPr>
        <w:t xml:space="preserve">fijar la identidad de una persona en las relaciones sociales y ante el Estado, de suerte que la hace distinguible en el entorno, es decir, es una derivación integral del derecho a la expresión de la individualidad, por cuanto es un signo distintivo del individuo ante los demás, con el cual se identifica y lo reconocen como distinto.” </w:t>
      </w:r>
      <w:r w:rsidRPr="002F26F5">
        <w:rPr>
          <w:rFonts w:ascii="Arial" w:hAnsi="Arial" w:cs="Arial"/>
          <w:color w:val="4F81BD" w:themeColor="accent1"/>
          <w:szCs w:val="26"/>
        </w:rPr>
        <w:t xml:space="preserve">(Párrafo 55). </w:t>
      </w:r>
    </w:p>
    <w:p w:rsidR="00B16000" w:rsidRPr="002F26F5" w:rsidRDefault="00B16000" w:rsidP="00B16000">
      <w:pPr>
        <w:ind w:firstLine="708"/>
        <w:rPr>
          <w:rFonts w:ascii="Arial" w:hAnsi="Arial" w:cs="Arial"/>
          <w:color w:val="4F81BD" w:themeColor="accent1"/>
          <w:szCs w:val="26"/>
        </w:rPr>
      </w:pPr>
      <w:r w:rsidRPr="002F26F5">
        <w:rPr>
          <w:rFonts w:ascii="Arial" w:hAnsi="Arial" w:cs="Arial"/>
          <w:color w:val="4F81BD" w:themeColor="accent1"/>
          <w:szCs w:val="26"/>
        </w:rPr>
        <w:t>Del referido precedente derivó el criterio emitido por el Pleno de la Suprema Corte de Justicia de la Nación, localizable en la página  653 del Semanario Judicial de la Federación y su Gaceta Libro V, Febrero de 2012, Tomo 1, Décima Época, del rubro y texto siguientes:</w:t>
      </w:r>
    </w:p>
    <w:p w:rsidR="00B16000" w:rsidRPr="002F26F5" w:rsidRDefault="00B16000" w:rsidP="00B16000">
      <w:pPr>
        <w:ind w:firstLine="708"/>
        <w:rPr>
          <w:rFonts w:ascii="Arial" w:hAnsi="Arial" w:cs="Arial"/>
          <w:color w:val="4F81BD" w:themeColor="accent1"/>
          <w:szCs w:val="26"/>
        </w:rPr>
      </w:pPr>
    </w:p>
    <w:p w:rsidR="00B16000" w:rsidRPr="002F26F5" w:rsidRDefault="00B16000" w:rsidP="00B16000">
      <w:pPr>
        <w:spacing w:line="240" w:lineRule="auto"/>
        <w:ind w:firstLine="709"/>
        <w:rPr>
          <w:rFonts w:ascii="Arial" w:hAnsi="Arial" w:cs="Arial"/>
          <w:i/>
          <w:color w:val="4F81BD" w:themeColor="accent1"/>
          <w:sz w:val="22"/>
          <w:szCs w:val="22"/>
        </w:rPr>
      </w:pPr>
      <w:r w:rsidRPr="002F26F5">
        <w:rPr>
          <w:rFonts w:ascii="Arial" w:hAnsi="Arial" w:cs="Arial"/>
          <w:b/>
          <w:i/>
          <w:color w:val="4F81BD" w:themeColor="accent1"/>
          <w:sz w:val="22"/>
          <w:szCs w:val="22"/>
        </w:rPr>
        <w:t xml:space="preserve">“DERECHO HUMANO AL NOMBRE. SU SENTIDO Y ALCANCE A PARTIR DE LA CONSTITUCIÓN POLÍTICA DE LOS ESTADOS UNIDOS MEXICANOS Y A LA LUZ DE LOS TRATADOS INTERNACIONALES. </w:t>
      </w:r>
      <w:r w:rsidRPr="002F26F5">
        <w:rPr>
          <w:rFonts w:ascii="Arial" w:hAnsi="Arial" w:cs="Arial"/>
          <w:i/>
          <w:color w:val="4F81BD" w:themeColor="accent1"/>
          <w:sz w:val="22"/>
          <w:szCs w:val="22"/>
        </w:rPr>
        <w:t xml:space="preserve">Conforme a las obligaciones establecidas en el artículo 1o. de la Constitución Política de los Estados Unidos Mexicanos, en relación con el numeral 29 del mismo ordenamiento, se advierte que el sentido y alcance del derecho humano al nombre, a partir de su propio contenido y a la luz de los compromisos internacionales contraídos por el Estado Mexicano en la materia, son el conjunto de signos que constituyen un elemento básico e indispensable de la identidad de cada persona sin el cual no puede ser reconocida por la sociedad; este derecho está integrado por el nombre propio y los apellidos; lo rige el principio de autonomía de la voluntad, pues debe elegirse libremente por la persona misma, los padres o tutores, según sea el momento del registro; y, por tanto, no puede existir algún tipo de restricción ilegal o ilegítima al derecho ni interferencia en la decisión; sin embargo, puede ser objeto de reglamentación estatal, siempre que ésta no lo prive de su contenido esencial; incluye dos dimensiones, la primera, relativa a tener un nombre y, la segunda, concerniente al ejercicio de modificar el dado originalmente por los padres al momento del registro, por lo que, una vez registrada la persona, debe garantizarse la posibilidad de preservar o modificar el nombre y apellido; y, es un derecho no </w:t>
      </w:r>
      <w:proofErr w:type="spellStart"/>
      <w:r w:rsidRPr="002F26F5">
        <w:rPr>
          <w:rFonts w:ascii="Arial" w:hAnsi="Arial" w:cs="Arial"/>
          <w:i/>
          <w:color w:val="4F81BD" w:themeColor="accent1"/>
          <w:sz w:val="22"/>
          <w:szCs w:val="22"/>
        </w:rPr>
        <w:t>suspendible</w:t>
      </w:r>
      <w:proofErr w:type="spellEnd"/>
      <w:r w:rsidRPr="002F26F5">
        <w:rPr>
          <w:rFonts w:ascii="Arial" w:hAnsi="Arial" w:cs="Arial"/>
          <w:i/>
          <w:color w:val="4F81BD" w:themeColor="accent1"/>
          <w:sz w:val="22"/>
          <w:szCs w:val="22"/>
        </w:rPr>
        <w:t xml:space="preserve">, incluso en tiempos de excepción. Así, la regulación para el ejercicio del derecho al nombre es constitucional y convencionalmente válida siempre </w:t>
      </w:r>
      <w:r w:rsidRPr="002F26F5">
        <w:rPr>
          <w:rFonts w:ascii="Arial" w:hAnsi="Arial" w:cs="Arial"/>
          <w:i/>
          <w:color w:val="4F81BD" w:themeColor="accent1"/>
          <w:sz w:val="22"/>
          <w:szCs w:val="22"/>
        </w:rPr>
        <w:lastRenderedPageBreak/>
        <w:t>que esté en ley bajo condiciones dignas y justas, y no para establecer límites que en su aplicación equivalgan en la realidad a cancelar su contenido esencial.”.</w:t>
      </w:r>
      <w:r w:rsidRPr="002F26F5">
        <w:rPr>
          <w:rFonts w:ascii="Arial" w:hAnsi="Arial" w:cs="Arial"/>
          <w:color w:val="4F81BD" w:themeColor="accent1"/>
          <w:sz w:val="22"/>
          <w:szCs w:val="22"/>
          <w:vertAlign w:val="superscript"/>
        </w:rPr>
        <w:footnoteReference w:id="9"/>
      </w:r>
    </w:p>
    <w:p w:rsidR="004904BA" w:rsidRPr="002F26F5" w:rsidRDefault="004904BA" w:rsidP="00B16000">
      <w:pPr>
        <w:ind w:firstLine="709"/>
        <w:rPr>
          <w:rFonts w:ascii="Arial" w:hAnsi="Arial" w:cs="Arial"/>
          <w:color w:val="4F81BD" w:themeColor="accent1"/>
          <w:szCs w:val="26"/>
        </w:rPr>
      </w:pPr>
    </w:p>
    <w:p w:rsidR="00B16000" w:rsidRPr="002F26F5" w:rsidRDefault="00B16000" w:rsidP="00B16000">
      <w:pPr>
        <w:ind w:firstLine="709"/>
        <w:rPr>
          <w:rFonts w:ascii="Arial" w:hAnsi="Arial" w:cs="Arial"/>
          <w:color w:val="4F81BD" w:themeColor="accent1"/>
          <w:szCs w:val="26"/>
        </w:rPr>
      </w:pPr>
      <w:r w:rsidRPr="002F26F5">
        <w:rPr>
          <w:rFonts w:ascii="Arial" w:hAnsi="Arial" w:cs="Arial"/>
          <w:color w:val="4F81BD" w:themeColor="accent1"/>
          <w:szCs w:val="26"/>
        </w:rPr>
        <w:t>En este orden de ideas, aun cuando no todos los derechos de la personalidad se enuncian, en forma expresa,</w:t>
      </w:r>
      <w:r w:rsidR="004904BA" w:rsidRPr="002F26F5">
        <w:rPr>
          <w:rFonts w:ascii="Arial" w:hAnsi="Arial" w:cs="Arial"/>
          <w:color w:val="4F81BD" w:themeColor="accent1"/>
          <w:szCs w:val="26"/>
        </w:rPr>
        <w:t xml:space="preserve"> en la Constitución Federal, sí </w:t>
      </w:r>
      <w:r w:rsidRPr="002F26F5">
        <w:rPr>
          <w:rFonts w:ascii="Arial" w:hAnsi="Arial" w:cs="Arial"/>
          <w:color w:val="4F81BD" w:themeColor="accent1"/>
          <w:szCs w:val="26"/>
        </w:rPr>
        <w:t xml:space="preserve">están implícitos en las disposiciones de diversos tratados internacionales y deben entenderse como derechos que derivan del reconocimiento al derecho a la </w:t>
      </w:r>
      <w:r w:rsidRPr="002F26F5">
        <w:rPr>
          <w:rFonts w:ascii="Arial" w:hAnsi="Arial" w:cs="Arial"/>
          <w:b/>
          <w:color w:val="4F81BD" w:themeColor="accent1"/>
          <w:szCs w:val="26"/>
        </w:rPr>
        <w:t>dignidad humana</w:t>
      </w:r>
      <w:r w:rsidRPr="002F26F5">
        <w:rPr>
          <w:rFonts w:ascii="Arial" w:hAnsi="Arial" w:cs="Arial"/>
          <w:color w:val="4F81BD" w:themeColor="accent1"/>
          <w:szCs w:val="26"/>
        </w:rPr>
        <w:t xml:space="preserve">. </w:t>
      </w:r>
    </w:p>
    <w:p w:rsidR="00B16000" w:rsidRPr="002F26F5" w:rsidRDefault="00B16000" w:rsidP="00B16000">
      <w:pPr>
        <w:ind w:firstLine="709"/>
        <w:rPr>
          <w:rFonts w:ascii="Arial" w:hAnsi="Arial" w:cs="Arial"/>
          <w:color w:val="4F81BD" w:themeColor="accent1"/>
          <w:szCs w:val="26"/>
        </w:rPr>
      </w:pPr>
      <w:r w:rsidRPr="002F26F5">
        <w:rPr>
          <w:rFonts w:ascii="Arial" w:hAnsi="Arial" w:cs="Arial"/>
          <w:color w:val="4F81BD" w:themeColor="accent1"/>
          <w:szCs w:val="26"/>
        </w:rPr>
        <w:t>Del referido precedente derivó el criterio emitido por el Pleno de la Suprema Corte de Justicia de la Nación, localizable en la página  8, del Semanario Judicial de la Federación y su Gaceta, Tomo XXX, Diciembre de 2009, Novena Época, del rubro y texto siguientes:</w:t>
      </w:r>
    </w:p>
    <w:p w:rsidR="00B16000" w:rsidRPr="002F26F5" w:rsidRDefault="00B16000" w:rsidP="00B16000">
      <w:pPr>
        <w:ind w:firstLine="709"/>
        <w:rPr>
          <w:rFonts w:ascii="Arial" w:hAnsi="Arial" w:cs="Arial"/>
          <w:color w:val="4F81BD" w:themeColor="accent1"/>
          <w:szCs w:val="26"/>
        </w:rPr>
      </w:pPr>
    </w:p>
    <w:p w:rsidR="00B16000" w:rsidRPr="002F26F5" w:rsidRDefault="00B16000" w:rsidP="004904BA">
      <w:pPr>
        <w:spacing w:line="240" w:lineRule="auto"/>
        <w:ind w:firstLine="709"/>
        <w:rPr>
          <w:rFonts w:ascii="Arial" w:hAnsi="Arial" w:cs="Arial"/>
          <w:color w:val="4F81BD" w:themeColor="accent1"/>
          <w:sz w:val="22"/>
          <w:szCs w:val="22"/>
        </w:rPr>
      </w:pPr>
      <w:r w:rsidRPr="002F26F5">
        <w:rPr>
          <w:rFonts w:ascii="Arial" w:hAnsi="Arial" w:cs="Arial"/>
          <w:b/>
          <w:i/>
          <w:color w:val="4F81BD" w:themeColor="accent1"/>
          <w:sz w:val="22"/>
          <w:szCs w:val="22"/>
        </w:rPr>
        <w:t xml:space="preserve">“DIGNIDAD HUMANA. EL ORDEN JURÍDICO MEXICANO LA RECONOCE COMO CONDICIÓN Y BASE DE LOS DEMÁS DERECHOS FUNDAMENTALES. </w:t>
      </w:r>
      <w:r w:rsidRPr="002F26F5">
        <w:rPr>
          <w:rFonts w:ascii="Arial" w:hAnsi="Arial" w:cs="Arial"/>
          <w:i/>
          <w:color w:val="4F81BD" w:themeColor="accent1"/>
          <w:sz w:val="22"/>
          <w:szCs w:val="22"/>
        </w:rPr>
        <w:t xml:space="preserve">El artículo 1o. de la Constitución Política de los Estados Unidos Mexicanos establece que todas las personas son iguales ante la ley, sin que pueda prevalecer discriminación alguna por razones étnicas o de nacionalidad, raza, sexo, religión o cualquier otra condición o circunstancia personal o social que atente contra la dignidad humana y que, junto con los instrumentos internacionales en materia de derechos humanos suscritos por México, reconocen el valor superior de la dignidad humana, es decir, que en el ser humano hay una dignidad que debe ser respetada en todo caso, constituyéndose como un derecho absolutamente fundamental, base y condición de todos los demás, el derecho a ser reconocido y a vivir en y con la dignidad de la persona humana, y del cual se desprenden todos los demás derechos, en cuanto son necesarios para que los individuos desarrollen integralmente su personalidad, dentro de los que se encuentran, entre otros, el derecho a la vida, a la integridad física y psíquica, al honor, a la privacidad, al nombre, a la propia imagen, al libre desarrollo de la personalidad, al estado civil y el propio derecho a la dignidad personal. Además, aun cuando estos derechos personalísimos no se enuncian expresamente en la </w:t>
      </w:r>
      <w:r w:rsidRPr="002F26F5">
        <w:rPr>
          <w:rFonts w:ascii="Arial" w:hAnsi="Arial" w:cs="Arial"/>
          <w:i/>
          <w:color w:val="4F81BD" w:themeColor="accent1"/>
          <w:sz w:val="22"/>
          <w:szCs w:val="22"/>
        </w:rPr>
        <w:lastRenderedPageBreak/>
        <w:t>Constitución General de la República, están implícitos en los tratados internacionales suscritos por México y, en todo caso, deben entenderse como derechos derivados del reconocimiento al derecho a la dignidad humana, pues sólo a través de su pleno respeto podrá hablarse de un ser humano en toda su dignidad.</w:t>
      </w:r>
      <w:r w:rsidRPr="002F26F5">
        <w:rPr>
          <w:rFonts w:ascii="Arial" w:hAnsi="Arial" w:cs="Arial"/>
          <w:color w:val="4F81BD" w:themeColor="accent1"/>
          <w:sz w:val="22"/>
          <w:szCs w:val="22"/>
        </w:rPr>
        <w:t>”.</w:t>
      </w:r>
      <w:r w:rsidRPr="002F26F5">
        <w:rPr>
          <w:rFonts w:ascii="Arial" w:hAnsi="Arial" w:cs="Arial"/>
          <w:b/>
          <w:color w:val="4F81BD" w:themeColor="accent1"/>
          <w:sz w:val="22"/>
          <w:szCs w:val="22"/>
          <w:vertAlign w:val="superscript"/>
        </w:rPr>
        <w:footnoteReference w:id="10"/>
      </w:r>
    </w:p>
    <w:p w:rsidR="00B16000" w:rsidRPr="002F26F5" w:rsidRDefault="00B16000" w:rsidP="00B16000">
      <w:pPr>
        <w:ind w:firstLine="709"/>
        <w:rPr>
          <w:rFonts w:ascii="Arial" w:hAnsi="Arial" w:cs="Arial"/>
          <w:color w:val="4F81BD" w:themeColor="accent1"/>
          <w:szCs w:val="26"/>
        </w:rPr>
      </w:pPr>
    </w:p>
    <w:p w:rsidR="00B16000" w:rsidRPr="002F26F5" w:rsidRDefault="00B16000" w:rsidP="00B16000">
      <w:pPr>
        <w:ind w:firstLine="709"/>
        <w:rPr>
          <w:rFonts w:ascii="Arial" w:hAnsi="Arial" w:cs="Arial"/>
          <w:color w:val="4F81BD" w:themeColor="accent1"/>
          <w:szCs w:val="26"/>
        </w:rPr>
      </w:pPr>
      <w:r w:rsidRPr="002F26F5">
        <w:rPr>
          <w:rFonts w:ascii="Arial" w:hAnsi="Arial" w:cs="Arial"/>
          <w:color w:val="4F81BD" w:themeColor="accent1"/>
          <w:szCs w:val="26"/>
        </w:rPr>
        <w:t>Ahora bien, en el caso que se analiza, como se destacó en el apartado de antecedentes de la presente resolución, el particular solicitó el convenio celebrado por el</w:t>
      </w:r>
      <w:r w:rsidR="00BB20FD" w:rsidRPr="002F26F5">
        <w:rPr>
          <w:rFonts w:ascii="Arial" w:hAnsi="Arial" w:cs="Arial"/>
          <w:color w:val="4F81BD" w:themeColor="accent1"/>
          <w:szCs w:val="26"/>
        </w:rPr>
        <w:t>la</w:t>
      </w:r>
      <w:r w:rsidR="006464A1" w:rsidRPr="002F26F5">
        <w:rPr>
          <w:rFonts w:ascii="Arial" w:hAnsi="Arial" w:cs="Arial"/>
          <w:color w:val="4F81BD" w:themeColor="accent1"/>
          <w:szCs w:val="26"/>
        </w:rPr>
        <w:t xml:space="preserve"> misma</w:t>
      </w:r>
      <w:r w:rsidRPr="002F26F5">
        <w:rPr>
          <w:rFonts w:ascii="Arial" w:hAnsi="Arial" w:cs="Arial"/>
          <w:color w:val="4F81BD" w:themeColor="accent1"/>
          <w:szCs w:val="26"/>
        </w:rPr>
        <w:t xml:space="preserve"> y por un tercero, ante la oficina adscrita al H. Ayuntamiento de Rioverde de la Procuraduría Federal del Consumidor. </w:t>
      </w:r>
    </w:p>
    <w:p w:rsidR="00B16000" w:rsidRPr="002F26F5" w:rsidRDefault="00C843A9" w:rsidP="00C843A9">
      <w:pPr>
        <w:rPr>
          <w:rFonts w:ascii="Arial" w:hAnsi="Arial" w:cs="Arial"/>
          <w:color w:val="4F81BD" w:themeColor="accent1"/>
          <w:szCs w:val="26"/>
        </w:rPr>
      </w:pPr>
      <w:r w:rsidRPr="002F26F5">
        <w:rPr>
          <w:rFonts w:ascii="Arial" w:hAnsi="Arial" w:cs="Arial"/>
          <w:color w:val="4F81BD" w:themeColor="accent1"/>
          <w:szCs w:val="26"/>
        </w:rPr>
        <w:tab/>
        <w:t xml:space="preserve">Del análisis de las manifestaciones vertidas por el sujeto obligado, se indicó que la intención de la peticionaria es acceder al documento de manera </w:t>
      </w:r>
      <w:r w:rsidR="00832C46" w:rsidRPr="002F26F5">
        <w:rPr>
          <w:rFonts w:ascii="Arial" w:hAnsi="Arial" w:cs="Arial"/>
          <w:color w:val="4F81BD" w:themeColor="accent1"/>
          <w:szCs w:val="26"/>
        </w:rPr>
        <w:t>íntegra</w:t>
      </w:r>
      <w:r w:rsidRPr="002F26F5">
        <w:rPr>
          <w:rFonts w:ascii="Arial" w:hAnsi="Arial" w:cs="Arial"/>
          <w:color w:val="4F81BD" w:themeColor="accent1"/>
          <w:szCs w:val="26"/>
        </w:rPr>
        <w:t>, por lo que al haber entregado dicho convenio en versión pública</w:t>
      </w:r>
      <w:r w:rsidR="00390039" w:rsidRPr="002F26F5">
        <w:rPr>
          <w:rFonts w:ascii="Arial" w:hAnsi="Arial" w:cs="Arial"/>
          <w:color w:val="4F81BD" w:themeColor="accent1"/>
          <w:szCs w:val="26"/>
        </w:rPr>
        <w:t xml:space="preserve">, </w:t>
      </w:r>
      <w:r w:rsidR="00832C46" w:rsidRPr="002F26F5">
        <w:rPr>
          <w:rFonts w:ascii="Arial" w:hAnsi="Arial" w:cs="Arial"/>
          <w:color w:val="4F81BD" w:themeColor="accent1"/>
          <w:szCs w:val="26"/>
        </w:rPr>
        <w:t>se omitieron los datos personales de ambos intervinientes, circunstancia que origino que se inconformara la quejosa de la presente causa.</w:t>
      </w:r>
    </w:p>
    <w:p w:rsidR="00832C46" w:rsidRPr="002F26F5" w:rsidRDefault="00832C46" w:rsidP="00C843A9">
      <w:pPr>
        <w:rPr>
          <w:rFonts w:ascii="Arial" w:hAnsi="Arial" w:cs="Arial"/>
          <w:color w:val="4F81BD" w:themeColor="accent1"/>
        </w:rPr>
      </w:pPr>
      <w:r w:rsidRPr="002F26F5">
        <w:rPr>
          <w:rFonts w:ascii="Arial" w:hAnsi="Arial" w:cs="Arial"/>
          <w:color w:val="4F81BD" w:themeColor="accent1"/>
          <w:szCs w:val="26"/>
        </w:rPr>
        <w:tab/>
        <w:t xml:space="preserve">En este orden de ideas que se tiene establecido, es de señalarse que conforme lo establece el numeral 3º, fracción </w:t>
      </w:r>
      <w:r w:rsidRPr="002F26F5">
        <w:rPr>
          <w:rFonts w:ascii="Arial" w:hAnsi="Arial" w:cs="Arial"/>
          <w:color w:val="4F81BD" w:themeColor="accent1"/>
        </w:rPr>
        <w:t>XII</w:t>
      </w:r>
      <w:r w:rsidR="005F43EB" w:rsidRPr="002F26F5">
        <w:rPr>
          <w:rFonts w:ascii="Arial" w:hAnsi="Arial" w:cs="Arial"/>
          <w:color w:val="4F81BD" w:themeColor="accent1"/>
        </w:rPr>
        <w:t xml:space="preserve">, </w:t>
      </w:r>
      <w:r w:rsidRPr="002F26F5">
        <w:rPr>
          <w:rFonts w:ascii="Arial" w:hAnsi="Arial" w:cs="Arial"/>
          <w:color w:val="4F81BD" w:themeColor="accent1"/>
        </w:rPr>
        <w:t xml:space="preserve">el derecho de acceso a la información pública es un derecho humano de las personas para acceder a la información pública en posesión de los sujetos obligados, en ese tenor, por información pública acorde a lo señalado por </w:t>
      </w:r>
      <w:r w:rsidR="002E64DE" w:rsidRPr="002F26F5">
        <w:rPr>
          <w:rFonts w:ascii="Arial" w:hAnsi="Arial" w:cs="Arial"/>
          <w:color w:val="4F81BD" w:themeColor="accent1"/>
        </w:rPr>
        <w:t xml:space="preserve">el segundo párrafo del </w:t>
      </w:r>
      <w:r w:rsidRPr="002F26F5">
        <w:rPr>
          <w:rFonts w:ascii="Arial" w:hAnsi="Arial" w:cs="Arial"/>
          <w:color w:val="4F81BD" w:themeColor="accent1"/>
        </w:rPr>
        <w:t>artículo 1º</w:t>
      </w:r>
      <w:r w:rsidR="002E64DE" w:rsidRPr="002F26F5">
        <w:rPr>
          <w:rFonts w:ascii="Arial" w:hAnsi="Arial" w:cs="Arial"/>
          <w:color w:val="4F81BD" w:themeColor="accent1"/>
        </w:rPr>
        <w:t xml:space="preserve"> de la Ley de la materia, debe de entenderse aquella que se encuentre en posesión de cualquier autoridad, entidad, órgano y organismo de los poderes, Legislativo; Ejecutivo; y </w:t>
      </w:r>
      <w:r w:rsidR="002E64DE" w:rsidRPr="002F26F5">
        <w:rPr>
          <w:rFonts w:ascii="Arial" w:hAnsi="Arial" w:cs="Arial"/>
          <w:color w:val="4F81BD" w:themeColor="accent1"/>
        </w:rPr>
        <w:lastRenderedPageBreak/>
        <w:t xml:space="preserve">Judicial; organismos autónomos; partidos políticos; fideicomisos y fondos públicos; así como de cualquier persona física, moral o sindicato </w:t>
      </w:r>
      <w:r w:rsidR="002E64DE" w:rsidRPr="002F26F5">
        <w:rPr>
          <w:rFonts w:ascii="Arial" w:hAnsi="Arial" w:cs="Arial"/>
          <w:b/>
          <w:i/>
          <w:color w:val="4F81BD" w:themeColor="accent1"/>
        </w:rPr>
        <w:t>que reciba y ejerza recursos públicos o realice actos de autoridad en el ámbito estatal y municipal.</w:t>
      </w:r>
      <w:r w:rsidR="002E64DE" w:rsidRPr="002F26F5">
        <w:rPr>
          <w:rFonts w:ascii="Arial" w:hAnsi="Arial" w:cs="Arial"/>
          <w:color w:val="4F81BD" w:themeColor="accent1"/>
        </w:rPr>
        <w:t xml:space="preserve">  </w:t>
      </w:r>
      <w:r w:rsidRPr="002F26F5">
        <w:rPr>
          <w:rFonts w:ascii="Arial" w:hAnsi="Arial" w:cs="Arial"/>
          <w:color w:val="4F81BD" w:themeColor="accent1"/>
        </w:rPr>
        <w:t xml:space="preserve"> </w:t>
      </w:r>
    </w:p>
    <w:p w:rsidR="00CC3CF7" w:rsidRPr="002F26F5" w:rsidRDefault="00CC3CF7" w:rsidP="00CC3CF7">
      <w:pPr>
        <w:spacing w:after="200"/>
        <w:ind w:firstLine="708"/>
        <w:rPr>
          <w:rFonts w:ascii="Arial" w:hAnsi="Arial" w:cs="Arial"/>
          <w:color w:val="4F81BD" w:themeColor="accent1"/>
          <w:szCs w:val="26"/>
        </w:rPr>
      </w:pPr>
      <w:r w:rsidRPr="002F26F5">
        <w:rPr>
          <w:rFonts w:ascii="Arial" w:hAnsi="Arial" w:cs="Arial"/>
          <w:color w:val="4F81BD" w:themeColor="accent1"/>
          <w:szCs w:val="26"/>
        </w:rPr>
        <w:t xml:space="preserve">La prescripción normativa que se invoca, claramente coloca a los sujetos obligados cuando por cualquier motivo y de cualquier modo reciban recursos públicos "para su ejercicio con ese carácter". </w:t>
      </w:r>
    </w:p>
    <w:p w:rsidR="00390039" w:rsidRPr="002F26F5" w:rsidRDefault="005F43EB" w:rsidP="005F43EB">
      <w:pPr>
        <w:spacing w:after="200"/>
        <w:ind w:firstLine="708"/>
        <w:rPr>
          <w:rFonts w:ascii="Arial" w:hAnsi="Arial" w:cs="Arial"/>
          <w:color w:val="4F81BD" w:themeColor="accent1"/>
          <w:szCs w:val="26"/>
          <w:lang w:val="es-MX" w:eastAsia="en-US"/>
        </w:rPr>
      </w:pPr>
      <w:r w:rsidRPr="002F26F5">
        <w:rPr>
          <w:rFonts w:ascii="Arial" w:hAnsi="Arial" w:cs="Arial"/>
          <w:color w:val="4F81BD" w:themeColor="accent1"/>
          <w:szCs w:val="26"/>
        </w:rPr>
        <w:t xml:space="preserve">No obstante lo </w:t>
      </w:r>
      <w:r w:rsidR="002F26F5" w:rsidRPr="002F26F5">
        <w:rPr>
          <w:rFonts w:ascii="Arial" w:hAnsi="Arial" w:cs="Arial"/>
          <w:color w:val="4F81BD" w:themeColor="accent1"/>
          <w:szCs w:val="26"/>
        </w:rPr>
        <w:t xml:space="preserve">anterior, </w:t>
      </w:r>
      <w:r w:rsidR="00CC3CF7" w:rsidRPr="002F26F5">
        <w:rPr>
          <w:rFonts w:ascii="Arial" w:hAnsi="Arial" w:cs="Arial"/>
          <w:color w:val="4F81BD" w:themeColor="accent1"/>
          <w:szCs w:val="26"/>
        </w:rPr>
        <w:t xml:space="preserve">el Estado se encuentra obligado a proporcionar la información que le sea solicitada a cualquier interesado, </w:t>
      </w:r>
      <w:r w:rsidRPr="002F26F5">
        <w:rPr>
          <w:rFonts w:ascii="Arial" w:hAnsi="Arial" w:cs="Arial"/>
          <w:color w:val="4F81BD" w:themeColor="accent1"/>
          <w:szCs w:val="26"/>
        </w:rPr>
        <w:t>bajo la premisa de que la documentación señalada no contenga información de carácter confidencial</w:t>
      </w:r>
      <w:r w:rsidR="00390039" w:rsidRPr="002F26F5">
        <w:rPr>
          <w:rFonts w:ascii="Arial" w:hAnsi="Arial" w:cs="Arial"/>
          <w:color w:val="4F81BD" w:themeColor="accent1"/>
          <w:szCs w:val="26"/>
        </w:rPr>
        <w:t xml:space="preserve">, ya que en el supuesto de contener datos personales, el sujeto obligado deberá observar lo previsto </w:t>
      </w:r>
      <w:r w:rsidR="00CC3CF7" w:rsidRPr="002F26F5">
        <w:rPr>
          <w:rFonts w:ascii="Arial" w:hAnsi="Arial" w:cs="Arial"/>
          <w:color w:val="4F81BD" w:themeColor="accent1"/>
          <w:szCs w:val="26"/>
        </w:rPr>
        <w:t xml:space="preserve">por la Ley de Transparencia y Acceso a la Información Pública del Estado, </w:t>
      </w:r>
      <w:r w:rsidR="00CC3CF7" w:rsidRPr="002F26F5">
        <w:rPr>
          <w:rFonts w:ascii="Arial" w:hAnsi="Arial" w:cs="Arial"/>
          <w:color w:val="4F81BD" w:themeColor="accent1"/>
          <w:szCs w:val="26"/>
          <w:lang w:val="es-MX" w:eastAsia="en-US"/>
        </w:rPr>
        <w:t xml:space="preserve">en sus preceptos 3°, frac. XI y XVII y 138, </w:t>
      </w:r>
      <w:r w:rsidR="00390039" w:rsidRPr="002F26F5">
        <w:rPr>
          <w:rFonts w:ascii="Arial" w:hAnsi="Arial" w:cs="Arial"/>
          <w:color w:val="4F81BD" w:themeColor="accent1"/>
          <w:szCs w:val="26"/>
          <w:lang w:val="es-MX" w:eastAsia="en-US"/>
        </w:rPr>
        <w:t xml:space="preserve">en correlación a la protección de los datos personales contenidos en lo peticionado. </w:t>
      </w:r>
    </w:p>
    <w:p w:rsidR="00390039" w:rsidRPr="002F26F5" w:rsidRDefault="00390039" w:rsidP="005F43EB">
      <w:pPr>
        <w:spacing w:after="200"/>
        <w:ind w:firstLine="708"/>
        <w:rPr>
          <w:rFonts w:ascii="Arial" w:hAnsi="Arial" w:cs="Arial"/>
          <w:color w:val="4F81BD" w:themeColor="accent1"/>
          <w:szCs w:val="26"/>
        </w:rPr>
      </w:pPr>
      <w:r w:rsidRPr="002F26F5">
        <w:rPr>
          <w:rFonts w:ascii="Arial" w:hAnsi="Arial" w:cs="Arial"/>
          <w:color w:val="4F81BD" w:themeColor="accent1"/>
          <w:szCs w:val="26"/>
          <w:lang w:val="es-MX" w:eastAsia="en-US"/>
        </w:rPr>
        <w:t xml:space="preserve">En el caso concreto, </w:t>
      </w:r>
      <w:r w:rsidR="00CC3CF7" w:rsidRPr="002F26F5">
        <w:rPr>
          <w:rFonts w:ascii="Arial" w:hAnsi="Arial" w:cs="Arial"/>
          <w:color w:val="4F81BD" w:themeColor="accent1"/>
          <w:szCs w:val="26"/>
          <w:lang w:val="es-MX" w:eastAsia="en-US"/>
        </w:rPr>
        <w:t>dada la naturaleza de la información, esta es s</w:t>
      </w:r>
      <w:proofErr w:type="spellStart"/>
      <w:r w:rsidR="00CC3CF7" w:rsidRPr="002F26F5">
        <w:rPr>
          <w:rFonts w:ascii="Arial" w:hAnsi="Arial" w:cs="Arial"/>
          <w:color w:val="4F81BD" w:themeColor="accent1"/>
          <w:szCs w:val="26"/>
        </w:rPr>
        <w:t>usceptible</w:t>
      </w:r>
      <w:proofErr w:type="spellEnd"/>
      <w:r w:rsidR="00CC3CF7" w:rsidRPr="002F26F5">
        <w:rPr>
          <w:rFonts w:ascii="Arial" w:hAnsi="Arial" w:cs="Arial"/>
          <w:color w:val="4F81BD" w:themeColor="accent1"/>
          <w:szCs w:val="26"/>
        </w:rPr>
        <w:t xml:space="preserve"> de ser tutelada por los derechos humanos a la privacidad, intimidad, honor y dignidad, que se encuentra en posesión del sujeto obligado y sobre la que no puede realizarse ningún acto o hecho, sin la autorización debida de los titulares o sus r</w:t>
      </w:r>
      <w:r w:rsidRPr="002F26F5">
        <w:rPr>
          <w:rFonts w:ascii="Arial" w:hAnsi="Arial" w:cs="Arial"/>
          <w:color w:val="4F81BD" w:themeColor="accent1"/>
          <w:szCs w:val="26"/>
        </w:rPr>
        <w:t>epresentantes legales.</w:t>
      </w:r>
    </w:p>
    <w:p w:rsidR="00390039" w:rsidRPr="002F26F5" w:rsidRDefault="00390039" w:rsidP="00390039">
      <w:pPr>
        <w:pStyle w:val="Textoindependienteprimerasangra"/>
        <w:ind w:firstLine="708"/>
        <w:rPr>
          <w:rFonts w:ascii="Arial" w:hAnsi="Arial" w:cs="Arial"/>
          <w:color w:val="4F81BD" w:themeColor="accent1"/>
          <w:szCs w:val="26"/>
        </w:rPr>
      </w:pPr>
      <w:r w:rsidRPr="002F26F5">
        <w:rPr>
          <w:rFonts w:ascii="Arial" w:hAnsi="Arial" w:cs="Arial"/>
          <w:color w:val="4F81BD" w:themeColor="accent1"/>
          <w:szCs w:val="26"/>
        </w:rPr>
        <w:t>Ahora bien, de la respuesta otorgada de manera primigenia y que por este medio se impugna, se advierte que la solicitante es una de las partes del convenio requerido, lo cual se invoca como hecho notorio en la presente resolución con fundamento en la tesis de jurisprudencia P</w:t>
      </w:r>
      <w:proofErr w:type="gramStart"/>
      <w:r w:rsidRPr="002F26F5">
        <w:rPr>
          <w:rFonts w:ascii="Arial" w:hAnsi="Arial" w:cs="Arial"/>
          <w:color w:val="4F81BD" w:themeColor="accent1"/>
          <w:szCs w:val="26"/>
        </w:rPr>
        <w:t>./</w:t>
      </w:r>
      <w:proofErr w:type="gramEnd"/>
      <w:r w:rsidRPr="002F26F5">
        <w:rPr>
          <w:rFonts w:ascii="Arial" w:hAnsi="Arial" w:cs="Arial"/>
          <w:color w:val="4F81BD" w:themeColor="accent1"/>
          <w:szCs w:val="26"/>
        </w:rPr>
        <w:t xml:space="preserve">J. 74/2006, emitida por el Pleno de la Suprema Corte de Justicia de la Nación, cuyo texto y rubro señalan: </w:t>
      </w:r>
    </w:p>
    <w:p w:rsidR="00390039" w:rsidRPr="002F26F5" w:rsidRDefault="00390039" w:rsidP="00777B18">
      <w:pPr>
        <w:pStyle w:val="Textoindependienteprimerasangra"/>
        <w:spacing w:after="0" w:line="240" w:lineRule="auto"/>
        <w:ind w:left="708" w:firstLine="709"/>
        <w:rPr>
          <w:rFonts w:ascii="Arial" w:hAnsi="Arial" w:cs="Arial"/>
          <w:i/>
          <w:color w:val="4F81BD" w:themeColor="accent1"/>
          <w:sz w:val="22"/>
          <w:szCs w:val="22"/>
        </w:rPr>
      </w:pPr>
      <w:r w:rsidRPr="002F26F5">
        <w:rPr>
          <w:rFonts w:ascii="Arial" w:hAnsi="Arial" w:cs="Arial"/>
          <w:b/>
          <w:i/>
          <w:color w:val="4F81BD" w:themeColor="accent1"/>
          <w:sz w:val="22"/>
          <w:szCs w:val="22"/>
        </w:rPr>
        <w:t>“HECHOS</w:t>
      </w:r>
      <w:r w:rsidRPr="002F26F5">
        <w:rPr>
          <w:rFonts w:ascii="Arial" w:hAnsi="Arial" w:cs="Arial"/>
          <w:i/>
          <w:color w:val="4F81BD" w:themeColor="accent1"/>
          <w:sz w:val="22"/>
          <w:szCs w:val="22"/>
        </w:rPr>
        <w:t xml:space="preserve"> </w:t>
      </w:r>
      <w:r w:rsidRPr="002F26F5">
        <w:rPr>
          <w:rFonts w:ascii="Arial" w:hAnsi="Arial" w:cs="Arial"/>
          <w:b/>
          <w:i/>
          <w:color w:val="4F81BD" w:themeColor="accent1"/>
          <w:sz w:val="22"/>
          <w:szCs w:val="22"/>
        </w:rPr>
        <w:t>NOTORIOS. CONCEPTOS GENERAL Y JURÍDICO</w:t>
      </w:r>
      <w:r w:rsidRPr="002F26F5">
        <w:rPr>
          <w:rFonts w:ascii="Arial" w:hAnsi="Arial" w:cs="Arial"/>
          <w:i/>
          <w:color w:val="4F81BD" w:themeColor="accent1"/>
          <w:sz w:val="22"/>
          <w:szCs w:val="22"/>
        </w:rPr>
        <w:t xml:space="preserve">. Conforme al artículo 88 del Código Federal de Procedimientos Civiles los tribunales pueden invocar hechos notorios aunque no hayan sido alegados ni probados por las partes. Por hechos notorios deben entenderse, en general, aquellos que por el conocimiento humano se consideran ciertos e indiscutibles, ya sea que pertenezcan a la historia, a la ciencia, a la naturaleza, a las vicisitudes de la vida pública actual o a circunstancias comúnmente conocidas en un determinado lugar, de modo que toda persona de ese medio esté en </w:t>
      </w:r>
      <w:r w:rsidRPr="002F26F5">
        <w:rPr>
          <w:rFonts w:ascii="Arial" w:hAnsi="Arial" w:cs="Arial"/>
          <w:i/>
          <w:color w:val="4F81BD" w:themeColor="accent1"/>
          <w:sz w:val="22"/>
          <w:szCs w:val="22"/>
        </w:rPr>
        <w:lastRenderedPageBreak/>
        <w:t>condiciones de saberlo; y desde el punto de vista jurídico, hecho notorio es cualquier acontecimiento de dominio público conocido por todos o casi todos los miembros de un círculo social en el momento en que va a pronunciarse la decisión judicial, respecto del cual no hay duda ni discusión; de manera que al ser notorio la ley exime de su prueba</w:t>
      </w:r>
      <w:r w:rsidRPr="002F26F5">
        <w:rPr>
          <w:rFonts w:ascii="Arial" w:hAnsi="Arial" w:cs="Arial"/>
          <w:i/>
          <w:color w:val="4F81BD" w:themeColor="accent1"/>
          <w:sz w:val="22"/>
          <w:szCs w:val="22"/>
          <w:u w:val="single"/>
        </w:rPr>
        <w:t>, por ser del conocimiento público en el medio social donde ocurrió o donde se tramita el procedimiento.</w:t>
      </w:r>
    </w:p>
    <w:p w:rsidR="00390039" w:rsidRPr="002F26F5" w:rsidRDefault="00390039" w:rsidP="00777B18">
      <w:pPr>
        <w:pStyle w:val="Textoindependienteprimerasangra"/>
        <w:spacing w:line="240" w:lineRule="auto"/>
        <w:ind w:firstLine="708"/>
        <w:rPr>
          <w:rFonts w:ascii="Arial" w:hAnsi="Arial" w:cs="Arial"/>
          <w:color w:val="4F81BD" w:themeColor="accent1"/>
          <w:szCs w:val="26"/>
        </w:rPr>
      </w:pPr>
    </w:p>
    <w:p w:rsidR="00CC3CF7" w:rsidRPr="002F26F5" w:rsidRDefault="00390039" w:rsidP="00390039">
      <w:pPr>
        <w:spacing w:after="200"/>
        <w:ind w:firstLine="708"/>
        <w:rPr>
          <w:rFonts w:ascii="Arial" w:hAnsi="Arial" w:cs="Arial"/>
          <w:color w:val="4F81BD" w:themeColor="accent1"/>
          <w:szCs w:val="26"/>
        </w:rPr>
      </w:pPr>
      <w:r w:rsidRPr="002F26F5">
        <w:rPr>
          <w:rFonts w:ascii="Arial" w:hAnsi="Arial" w:cs="Arial"/>
          <w:color w:val="4F81BD" w:themeColor="accent1"/>
          <w:szCs w:val="26"/>
        </w:rPr>
        <w:t xml:space="preserve">Con base a lo anterior, </w:t>
      </w:r>
      <w:r w:rsidR="00CC3CF7" w:rsidRPr="002F26F5">
        <w:rPr>
          <w:rFonts w:ascii="Arial" w:hAnsi="Arial" w:cs="Arial"/>
          <w:color w:val="4F81BD" w:themeColor="accent1"/>
          <w:szCs w:val="26"/>
        </w:rPr>
        <w:t xml:space="preserve">se concluye que el sujeto obligado, en el caso particular </w:t>
      </w:r>
      <w:r w:rsidRPr="002F26F5">
        <w:rPr>
          <w:rFonts w:ascii="Arial" w:hAnsi="Arial" w:cs="Arial"/>
          <w:color w:val="4F81BD" w:themeColor="accent1"/>
          <w:szCs w:val="26"/>
        </w:rPr>
        <w:t>el Ayuntamiento de Rioverde</w:t>
      </w:r>
      <w:r w:rsidR="00CC3CF7" w:rsidRPr="002F26F5">
        <w:rPr>
          <w:rFonts w:ascii="Arial" w:hAnsi="Arial" w:cs="Arial"/>
          <w:color w:val="4F81BD" w:themeColor="accent1"/>
          <w:szCs w:val="26"/>
        </w:rPr>
        <w:t>, tiene la obligación de garantizar el derecho de acceso a la información pública, sin más limitación que el respeto a la privacidad de los individuos, la cual sólo podrá ser reservada temporalmente por razones de interés público, en los términos que fije la ley, la que además definirá los conceptos relacionados con el derecho de acceso a la información pública, sobre la base de que el deber público respectivo se extiende a los tres Poderes del Estado, a los Ayuntamientos, entidades paraestatales y paramunicipales, organismos autónomos y, en general, a todos los entes públicos, cualquiera que sea su denominación o estructura, así como a los partidos políticos y a las personas privadas, físicas o morales que, por cualquier motivo y de cualquier modo, reciban recursos públicos para su ejercicio con ese carácter.</w:t>
      </w:r>
    </w:p>
    <w:p w:rsidR="00390039" w:rsidRPr="002F26F5" w:rsidRDefault="00390039" w:rsidP="000F539E">
      <w:pPr>
        <w:spacing w:after="200"/>
        <w:ind w:firstLine="708"/>
        <w:rPr>
          <w:rFonts w:ascii="Arial" w:hAnsi="Arial" w:cs="Arial"/>
          <w:color w:val="4F81BD" w:themeColor="accent1"/>
        </w:rPr>
      </w:pPr>
      <w:r w:rsidRPr="002F26F5">
        <w:rPr>
          <w:rFonts w:ascii="Arial" w:hAnsi="Arial" w:cs="Arial"/>
          <w:color w:val="4F81BD" w:themeColor="accent1"/>
          <w:szCs w:val="26"/>
        </w:rPr>
        <w:t>Por tanto, al contener la documentación peticionada datos personales</w:t>
      </w:r>
      <w:r w:rsidR="000F539E" w:rsidRPr="002F26F5">
        <w:rPr>
          <w:rFonts w:ascii="Arial" w:hAnsi="Arial" w:cs="Arial"/>
          <w:color w:val="4F81BD" w:themeColor="accent1"/>
          <w:szCs w:val="26"/>
        </w:rPr>
        <w:t xml:space="preserve"> que conciernen a un tercero, deberá atenderse lo dispuesto por los numerales 3º, fracción XXXVII y 125 de la Ley de Transparencia Local, es decir que c</w:t>
      </w:r>
      <w:r w:rsidR="000F539E" w:rsidRPr="002F26F5">
        <w:rPr>
          <w:rFonts w:ascii="Arial" w:hAnsi="Arial" w:cs="Arial"/>
          <w:color w:val="4F81BD" w:themeColor="accent1"/>
        </w:rPr>
        <w:t xml:space="preserve">uando un documento contenga partes o secciones reservadas o confidenciales, los sujetos obligados, para efectos de atender una solicitud de información, deberán elaborar una </w:t>
      </w:r>
      <w:r w:rsidR="000F539E" w:rsidRPr="002F26F5">
        <w:rPr>
          <w:rFonts w:ascii="Arial" w:hAnsi="Arial" w:cs="Arial"/>
          <w:color w:val="4F81BD" w:themeColor="accent1"/>
          <w:u w:val="single"/>
        </w:rPr>
        <w:t>Versión Pública</w:t>
      </w:r>
      <w:r w:rsidR="000F539E" w:rsidRPr="002F26F5">
        <w:rPr>
          <w:rFonts w:ascii="Arial" w:hAnsi="Arial" w:cs="Arial"/>
          <w:color w:val="4F81BD" w:themeColor="accent1"/>
        </w:rPr>
        <w:t xml:space="preserve"> en la que se testen las partes o secciones clasificadas, para efecto de dar </w:t>
      </w:r>
      <w:r w:rsidRPr="002F26F5">
        <w:rPr>
          <w:rFonts w:ascii="Arial" w:hAnsi="Arial" w:cs="Arial"/>
          <w:color w:val="4F81BD" w:themeColor="accent1"/>
        </w:rPr>
        <w:t xml:space="preserve">acceso a información, eliminando u omitiendo las partes o secciones clasificadas. </w:t>
      </w:r>
    </w:p>
    <w:p w:rsidR="00742834" w:rsidRPr="002F26F5" w:rsidRDefault="000F539E" w:rsidP="000150C9">
      <w:pPr>
        <w:ind w:firstLine="709"/>
        <w:rPr>
          <w:rFonts w:ascii="Arial" w:hAnsi="Arial" w:cs="Arial"/>
          <w:color w:val="4F81BD" w:themeColor="accent1"/>
          <w:szCs w:val="26"/>
          <w:lang w:val="es-ES_tradnl"/>
        </w:rPr>
      </w:pPr>
      <w:r w:rsidRPr="002F26F5">
        <w:rPr>
          <w:rFonts w:ascii="Arial" w:hAnsi="Arial" w:cs="Arial"/>
          <w:color w:val="4F81BD" w:themeColor="accent1"/>
          <w:szCs w:val="26"/>
          <w:lang w:val="es-MX"/>
        </w:rPr>
        <w:t xml:space="preserve">No obstante lo anterior, dada la circunstancia de que existe coincidencia en la información peticionada y la aquí inconforme, esta Comisión estima que en correlación a lo dispuesto por el numeral 49 de la Ley General de Protección de Datos Personales en Posesión de Sujetos </w:t>
      </w:r>
      <w:r w:rsidRPr="002F26F5">
        <w:rPr>
          <w:rFonts w:ascii="Arial" w:hAnsi="Arial" w:cs="Arial"/>
          <w:color w:val="4F81BD" w:themeColor="accent1"/>
          <w:szCs w:val="26"/>
          <w:lang w:val="es-MX"/>
        </w:rPr>
        <w:lastRenderedPageBreak/>
        <w:t xml:space="preserve">Obligados, al haber acreditado la identidad por parte de uno de los titulares de los datos personales que obran el </w:t>
      </w:r>
      <w:proofErr w:type="spellStart"/>
      <w:r w:rsidRPr="002F26F5">
        <w:rPr>
          <w:rFonts w:ascii="Arial" w:hAnsi="Arial" w:cs="Arial"/>
          <w:color w:val="4F81BD" w:themeColor="accent1"/>
          <w:szCs w:val="26"/>
          <w:lang w:val="es-MX"/>
        </w:rPr>
        <w:t>multireferido</w:t>
      </w:r>
      <w:proofErr w:type="spellEnd"/>
      <w:r w:rsidRPr="002F26F5">
        <w:rPr>
          <w:rFonts w:ascii="Arial" w:hAnsi="Arial" w:cs="Arial"/>
          <w:color w:val="4F81BD" w:themeColor="accent1"/>
          <w:szCs w:val="26"/>
          <w:lang w:val="es-MX"/>
        </w:rPr>
        <w:t xml:space="preserve"> convenio, esta Comisión estima conveniente modificar la respuesta otorgada por el sujeto obligado para efecto de que entregue una nueva versión pública del documento solicitado en el que no se omitan los datos que conciernen a la aquí inconforme y que por otra parte, se eliminen u omitan los datos referentes al tercero, </w:t>
      </w:r>
      <w:r w:rsidR="000150C9" w:rsidRPr="002F26F5">
        <w:rPr>
          <w:rFonts w:ascii="Arial" w:hAnsi="Arial" w:cs="Arial"/>
          <w:color w:val="4F81BD" w:themeColor="accent1"/>
          <w:szCs w:val="26"/>
          <w:lang w:val="es-ES_tradnl"/>
        </w:rPr>
        <w:t>es decir la persona con la que el aquí inconforme celebró dicho contrato.</w:t>
      </w:r>
    </w:p>
    <w:p w:rsidR="000150C9" w:rsidRPr="002F26F5" w:rsidRDefault="000150C9" w:rsidP="002F26F5">
      <w:pPr>
        <w:ind w:firstLine="708"/>
        <w:contextualSpacing/>
        <w:rPr>
          <w:rFonts w:ascii="Arial" w:hAnsi="Arial" w:cs="Arial"/>
          <w:color w:val="4F81BD" w:themeColor="accent1"/>
          <w:szCs w:val="26"/>
          <w:lang w:val="es-ES_tradnl"/>
        </w:rPr>
      </w:pPr>
      <w:r w:rsidRPr="002F26F5">
        <w:rPr>
          <w:rFonts w:ascii="Arial" w:hAnsi="Arial" w:cs="Arial"/>
          <w:color w:val="4F81BD" w:themeColor="accent1"/>
          <w:szCs w:val="26"/>
          <w:lang w:val="es-ES_tradnl"/>
        </w:rPr>
        <w:t>Ello es así, porque si bien es cierto que el documento solicitado contiene datos personales, no menos verdad resulta que la elaboración de una versión pública como lo que establece la Ley de Transparencia Local, protege la divulgación de la información respecto del tercero, titular de los datos personales, e igualmente se reconoce el derecho subjetivo tutelado a nivel constitucional a favor del solicitante de la información.</w:t>
      </w:r>
    </w:p>
    <w:p w:rsidR="006527C3" w:rsidRPr="002F26F5" w:rsidRDefault="004C217A" w:rsidP="002F26F5">
      <w:pPr>
        <w:ind w:firstLine="708"/>
        <w:contextualSpacing/>
        <w:rPr>
          <w:rFonts w:ascii="Arial" w:hAnsi="Arial" w:cs="Arial"/>
          <w:color w:val="4F81BD" w:themeColor="accent1"/>
          <w:szCs w:val="26"/>
        </w:rPr>
      </w:pPr>
      <w:r w:rsidRPr="002F26F5">
        <w:rPr>
          <w:rFonts w:ascii="Arial" w:hAnsi="Arial" w:cs="Arial"/>
          <w:color w:val="4F81BD" w:themeColor="accent1"/>
          <w:szCs w:val="26"/>
          <w:lang w:val="es-ES_tradnl"/>
        </w:rPr>
        <w:t xml:space="preserve">En ese contexto, respecto del convenio solicitado, se concluye que puede divulgarse, mediante la elaboración de la versión pública respectiva, pues el acceso a dicha resolución bajo ese mecanismo de protección, de ninguna manera genera </w:t>
      </w:r>
      <w:r w:rsidRPr="002F26F5">
        <w:rPr>
          <w:rFonts w:ascii="Arial" w:hAnsi="Arial" w:cs="Arial"/>
          <w:color w:val="4F81BD" w:themeColor="accent1"/>
          <w:szCs w:val="26"/>
        </w:rPr>
        <w:t xml:space="preserve">un menoscabo en la privacidad del tercero; además, la publicidad de lo peticionado no menoscaba el derecho a la intimidad, vida privada y propia imagen; mientras que por el contrario, si se advierte justificación o razonabilidad en la preservación de los derechos de terceros o del orden público, en tanto que la obtención de tal documento es un derecho del particular que puede servir para ejercer otros derechos fundamentales. </w:t>
      </w:r>
    </w:p>
    <w:p w:rsidR="006527C3" w:rsidRPr="002F26F5" w:rsidRDefault="006527C3" w:rsidP="002F26F5">
      <w:pPr>
        <w:ind w:firstLine="708"/>
        <w:contextualSpacing/>
        <w:rPr>
          <w:rFonts w:ascii="Arial" w:hAnsi="Arial" w:cs="Arial"/>
          <w:color w:val="4F81BD" w:themeColor="accent1"/>
          <w:szCs w:val="26"/>
        </w:rPr>
      </w:pPr>
      <w:r w:rsidRPr="002F26F5">
        <w:rPr>
          <w:rFonts w:ascii="Arial" w:hAnsi="Arial" w:cs="Arial"/>
          <w:color w:val="4F81BD" w:themeColor="accent1"/>
        </w:rPr>
        <w:t xml:space="preserve">Por lo expuesto, esta Comisión con fundamento en el artículo 175, fracción III, de la Ley de Transparencia y Acceso a la Información Pública del Estado, </w:t>
      </w:r>
      <w:r w:rsidRPr="002F26F5">
        <w:rPr>
          <w:rFonts w:ascii="Arial" w:hAnsi="Arial" w:cs="Arial"/>
          <w:b/>
          <w:color w:val="4F81BD" w:themeColor="accent1"/>
        </w:rPr>
        <w:t>modifica</w:t>
      </w:r>
      <w:r w:rsidRPr="002F26F5">
        <w:rPr>
          <w:rFonts w:ascii="Arial" w:hAnsi="Arial" w:cs="Arial"/>
          <w:color w:val="4F81BD" w:themeColor="accent1"/>
        </w:rPr>
        <w:t xml:space="preserve"> la respuesta emitida por el sujeto obligado para efecto de que: </w:t>
      </w:r>
    </w:p>
    <w:p w:rsidR="006527C3" w:rsidRPr="002F26F5" w:rsidRDefault="006527C3" w:rsidP="006527C3">
      <w:pPr>
        <w:ind w:firstLine="709"/>
        <w:rPr>
          <w:rFonts w:ascii="Arial" w:hAnsi="Arial" w:cs="Arial"/>
          <w:color w:val="4F81BD" w:themeColor="accent1"/>
          <w:sz w:val="22"/>
          <w:szCs w:val="22"/>
          <w:lang w:val="es-ES_tradnl"/>
        </w:rPr>
      </w:pPr>
      <w:r w:rsidRPr="002F26F5">
        <w:rPr>
          <w:rFonts w:ascii="Arial" w:hAnsi="Arial" w:cs="Arial"/>
          <w:b/>
          <w:i/>
          <w:color w:val="4F81BD" w:themeColor="accent1"/>
          <w:sz w:val="22"/>
          <w:szCs w:val="22"/>
          <w:lang w:val="es-MX"/>
        </w:rPr>
        <w:t xml:space="preserve">“...Entregue una nueva versión pública del documento solicitado en el que no se omitan los datos que conciernen a la aquí inconforme y que por otra parte, se eliminen u omitan los datos referentes al tercero, </w:t>
      </w:r>
      <w:r w:rsidRPr="002F26F5">
        <w:rPr>
          <w:rFonts w:ascii="Arial" w:hAnsi="Arial" w:cs="Arial"/>
          <w:b/>
          <w:i/>
          <w:color w:val="4F81BD" w:themeColor="accent1"/>
          <w:sz w:val="22"/>
          <w:szCs w:val="22"/>
          <w:lang w:val="es-ES_tradnl"/>
        </w:rPr>
        <w:t>es decir la persona con la que el aquí inconforme celebró dicho contrato</w:t>
      </w:r>
      <w:r w:rsidRPr="002F26F5">
        <w:rPr>
          <w:rFonts w:ascii="Arial" w:hAnsi="Arial" w:cs="Arial"/>
          <w:i/>
          <w:color w:val="4F81BD" w:themeColor="accent1"/>
          <w:sz w:val="22"/>
          <w:szCs w:val="22"/>
          <w:lang w:val="es-ES_tradnl"/>
        </w:rPr>
        <w:t>...”</w:t>
      </w:r>
      <w:r w:rsidRPr="002F26F5">
        <w:rPr>
          <w:rFonts w:ascii="Arial" w:hAnsi="Arial" w:cs="Arial"/>
          <w:color w:val="4F81BD" w:themeColor="accent1"/>
          <w:sz w:val="22"/>
          <w:szCs w:val="22"/>
          <w:lang w:val="es-ES_tradnl"/>
        </w:rPr>
        <w:t xml:space="preserve"> </w:t>
      </w:r>
    </w:p>
    <w:p w:rsidR="002F26F5" w:rsidRPr="002F26F5" w:rsidRDefault="006527C3" w:rsidP="002F26F5">
      <w:pPr>
        <w:spacing w:after="200"/>
        <w:ind w:firstLine="708"/>
        <w:rPr>
          <w:rFonts w:ascii="Arial" w:hAnsi="Arial" w:cs="Arial"/>
          <w:b/>
          <w:color w:val="4F81BD" w:themeColor="accent1"/>
          <w:sz w:val="22"/>
          <w:szCs w:val="22"/>
          <w:lang w:val="es-MX"/>
        </w:rPr>
      </w:pPr>
      <w:r w:rsidRPr="002F26F5">
        <w:rPr>
          <w:rFonts w:ascii="Arial" w:hAnsi="Arial" w:cs="Arial"/>
          <w:b/>
          <w:color w:val="4F81BD" w:themeColor="accent1"/>
          <w:sz w:val="22"/>
          <w:szCs w:val="22"/>
        </w:rPr>
        <w:lastRenderedPageBreak/>
        <w:t>A</w:t>
      </w:r>
      <w:r w:rsidR="004C217A" w:rsidRPr="002F26F5">
        <w:rPr>
          <w:rFonts w:ascii="Arial" w:hAnsi="Arial" w:cs="Arial"/>
          <w:b/>
          <w:color w:val="4F81BD" w:themeColor="accent1"/>
          <w:sz w:val="22"/>
          <w:szCs w:val="22"/>
        </w:rPr>
        <w:t>tento a lo anterior la Unidad de Transparencia de</w:t>
      </w:r>
      <w:r w:rsidRPr="002F26F5">
        <w:rPr>
          <w:rFonts w:ascii="Arial" w:hAnsi="Arial" w:cs="Arial"/>
          <w:b/>
          <w:color w:val="4F81BD" w:themeColor="accent1"/>
          <w:sz w:val="22"/>
          <w:szCs w:val="22"/>
        </w:rPr>
        <w:t>l H. Ayuntamiento de Rioverde</w:t>
      </w:r>
      <w:r w:rsidR="004C217A" w:rsidRPr="002F26F5">
        <w:rPr>
          <w:rFonts w:ascii="Arial" w:hAnsi="Arial" w:cs="Arial"/>
          <w:b/>
          <w:color w:val="4F81BD" w:themeColor="accent1"/>
          <w:sz w:val="22"/>
          <w:szCs w:val="22"/>
        </w:rPr>
        <w:t xml:space="preserve">, en la realización de la respectiva versión pública, deberá de eliminar u omitir las partes o secciones que contengan información clasificada como datos personales o confidenciales, en el entendido de que dichos apartados que sean sujetos a eliminar u omitir, deberán de ubicarse en el supuesto que refieren los numerales </w:t>
      </w:r>
      <w:r w:rsidR="004C217A" w:rsidRPr="002F26F5">
        <w:rPr>
          <w:rFonts w:ascii="Arial" w:hAnsi="Arial" w:cs="Arial"/>
          <w:b/>
          <w:color w:val="4F81BD" w:themeColor="accent1"/>
          <w:sz w:val="22"/>
          <w:szCs w:val="22"/>
          <w:lang w:val="es-MX"/>
        </w:rPr>
        <w:t xml:space="preserve">3º fracciones XI, XVII y XXVII y 138 de la Ley de Transparencia y Acceso a la Información Pública del Estado de San Luis Potosí, así como los lineamientos </w:t>
      </w:r>
      <w:r w:rsidR="004C217A" w:rsidRPr="002F26F5">
        <w:rPr>
          <w:rFonts w:ascii="Arial" w:hAnsi="Arial" w:cs="Arial"/>
          <w:b/>
          <w:bCs/>
          <w:color w:val="4F81BD" w:themeColor="accent1"/>
          <w:sz w:val="22"/>
          <w:szCs w:val="22"/>
          <w:shd w:val="clear" w:color="auto" w:fill="FFFFFF"/>
        </w:rPr>
        <w:t>generales en materia de clasificación y desclasificación de la información, así como para la elaboración de versiones públicas.</w:t>
      </w:r>
    </w:p>
    <w:p w:rsidR="000150C9" w:rsidRPr="002F26F5" w:rsidRDefault="000150C9" w:rsidP="002F26F5">
      <w:pPr>
        <w:spacing w:after="200"/>
        <w:ind w:firstLine="708"/>
        <w:rPr>
          <w:rFonts w:ascii="Arial" w:hAnsi="Arial" w:cs="Arial"/>
          <w:b/>
          <w:color w:val="4F81BD" w:themeColor="accent1"/>
          <w:szCs w:val="26"/>
          <w:lang w:val="es-MX"/>
        </w:rPr>
      </w:pPr>
      <w:r w:rsidRPr="002F26F5">
        <w:rPr>
          <w:rFonts w:ascii="Arial" w:hAnsi="Arial" w:cs="Arial"/>
          <w:color w:val="4F81BD" w:themeColor="accent1"/>
        </w:rPr>
        <w:t>La entrega de la información deberá ser al correo electrónico que para tal efecto señaló el particular, ya que la requirió en modalidad electrónica y no en fax como así lo pretendió hacer valer en el presente medio de impugnación.</w:t>
      </w:r>
    </w:p>
    <w:p w:rsidR="000150C9" w:rsidRPr="002F26F5" w:rsidRDefault="000150C9" w:rsidP="000150C9">
      <w:pPr>
        <w:spacing w:before="240"/>
        <w:rPr>
          <w:rFonts w:ascii="Arial" w:hAnsi="Arial" w:cs="Arial"/>
          <w:color w:val="4F81BD" w:themeColor="accent1"/>
          <w:lang w:val="es-MX"/>
        </w:rPr>
      </w:pPr>
      <w:r w:rsidRPr="002F26F5">
        <w:rPr>
          <w:rFonts w:ascii="Arial" w:hAnsi="Arial" w:cs="Arial"/>
          <w:color w:val="4F81BD" w:themeColor="accent1"/>
        </w:rPr>
        <w:tab/>
      </w:r>
      <w:r w:rsidRPr="002F26F5">
        <w:rPr>
          <w:rFonts w:ascii="Arial" w:eastAsia="Arial Unicode MS" w:hAnsi="Arial" w:cs="Arial"/>
          <w:color w:val="4F81BD" w:themeColor="accent1"/>
        </w:rPr>
        <w:t>Para efectos del cumplimiento de la presente resolución resulta pertinente tomar en cuenta las siguientes precisiones:</w:t>
      </w:r>
      <w:r w:rsidRPr="002F26F5">
        <w:rPr>
          <w:rFonts w:ascii="Arial" w:hAnsi="Arial" w:cs="Arial"/>
          <w:color w:val="4F81BD" w:themeColor="accent1"/>
          <w:szCs w:val="26"/>
          <w:lang w:eastAsia="es-MX"/>
        </w:rPr>
        <w:t> </w:t>
      </w:r>
    </w:p>
    <w:p w:rsidR="000150C9" w:rsidRPr="002F26F5" w:rsidRDefault="000150C9" w:rsidP="000150C9">
      <w:pPr>
        <w:spacing w:before="240"/>
        <w:rPr>
          <w:rFonts w:ascii="Arial" w:hAnsi="Arial" w:cs="Arial"/>
          <w:b/>
          <w:color w:val="4F81BD" w:themeColor="accent1"/>
        </w:rPr>
      </w:pPr>
      <w:r w:rsidRPr="002F26F5">
        <w:rPr>
          <w:rFonts w:ascii="Arial" w:hAnsi="Arial" w:cs="Arial"/>
          <w:color w:val="4F81BD" w:themeColor="accent1"/>
        </w:rPr>
        <w:tab/>
        <w:t xml:space="preserve">Con fundamento en los artículos 175, último párrafo y 183 de la Ley de Transparencia y Acceso a la Información Pública del Estado, se le concede al ente obligado el término de </w:t>
      </w:r>
      <w:r w:rsidRPr="002F26F5">
        <w:rPr>
          <w:rFonts w:ascii="Arial" w:hAnsi="Arial" w:cs="Arial"/>
          <w:b/>
          <w:color w:val="4F81BD" w:themeColor="accent1"/>
        </w:rPr>
        <w:t xml:space="preserve">10 diez días, </w:t>
      </w:r>
      <w:r w:rsidRPr="002F26F5">
        <w:rPr>
          <w:rFonts w:ascii="Arial" w:hAnsi="Arial" w:cs="Arial"/>
          <w:b/>
          <w:bCs/>
          <w:color w:val="4F81BD" w:themeColor="accent1"/>
          <w:szCs w:val="26"/>
          <w:lang w:val="es-MX" w:eastAsia="es-MX"/>
        </w:rPr>
        <w:t>contados a partir del día siguiente de su notificación,</w:t>
      </w:r>
      <w:r w:rsidRPr="002F26F5">
        <w:rPr>
          <w:rFonts w:ascii="Arial" w:hAnsi="Arial" w:cs="Arial"/>
          <w:b/>
          <w:color w:val="4F81BD" w:themeColor="accent1"/>
        </w:rPr>
        <w:t xml:space="preserve"> para que de cumplimiento a lo ordenado en la presente resolución.</w:t>
      </w:r>
    </w:p>
    <w:p w:rsidR="000150C9" w:rsidRPr="002F26F5" w:rsidRDefault="000150C9" w:rsidP="000150C9">
      <w:pPr>
        <w:spacing w:before="240"/>
        <w:rPr>
          <w:rFonts w:ascii="Arial" w:hAnsi="Arial" w:cs="Arial"/>
          <w:color w:val="4F81BD" w:themeColor="accent1"/>
        </w:rPr>
      </w:pPr>
      <w:r w:rsidRPr="002F26F5">
        <w:rPr>
          <w:rFonts w:ascii="Arial" w:hAnsi="Arial" w:cs="Arial"/>
          <w:color w:val="4F81BD" w:themeColor="accent1"/>
        </w:rPr>
        <w:tab/>
        <w:t>Se estima el plazo de 10 diez días, puesto que el sujeto obligado deberá entregar al particular lo requerido previos tramites internos que realice o, en su defecto, justificar si la información se encuentra en una hipótesis de reserva, por lo que en analogía al artículo 154 de la Ley de Transparencia y Acceso a la Información Pública es que se concede dicho término.</w:t>
      </w:r>
    </w:p>
    <w:p w:rsidR="000150C9" w:rsidRPr="002F26F5" w:rsidRDefault="000150C9" w:rsidP="000150C9">
      <w:pPr>
        <w:shd w:val="clear" w:color="auto" w:fill="FFFFFF"/>
        <w:spacing w:before="240"/>
        <w:ind w:firstLine="708"/>
        <w:rPr>
          <w:rFonts w:ascii="Arial" w:hAnsi="Arial" w:cs="Arial"/>
          <w:b/>
          <w:bCs/>
          <w:color w:val="4F81BD" w:themeColor="accent1"/>
          <w:szCs w:val="26"/>
          <w:lang w:val="es-MX" w:eastAsia="es-MX"/>
        </w:rPr>
      </w:pPr>
      <w:r w:rsidRPr="002F26F5">
        <w:rPr>
          <w:rFonts w:ascii="Arial" w:hAnsi="Arial" w:cs="Arial"/>
          <w:color w:val="4F81BD" w:themeColor="accent1"/>
          <w:szCs w:val="26"/>
          <w:lang w:val="es-MX" w:eastAsia="es-MX"/>
        </w:rPr>
        <w:t>Ahora bien, el ente obligado deberá en un plazo que no podrá exceder de 03 tres días hábiles, contados a partir de la notificación del auto que declaré ejecutoriada la presente resolución, informar el cumplimiento al presente fallo con los documentos fehacientes</w:t>
      </w:r>
      <w:r w:rsidRPr="002F26F5">
        <w:rPr>
          <w:rFonts w:ascii="Arial" w:hAnsi="Arial" w:cs="Arial"/>
          <w:color w:val="4F81BD" w:themeColor="accent1"/>
          <w:lang w:val="es-MX" w:eastAsia="es-MX"/>
        </w:rPr>
        <w:t> </w:t>
      </w:r>
      <w:r w:rsidRPr="002F26F5">
        <w:rPr>
          <w:rFonts w:ascii="Arial" w:hAnsi="Arial" w:cs="Arial"/>
          <w:b/>
          <w:bCs/>
          <w:color w:val="4F81BD" w:themeColor="accent1"/>
          <w:szCs w:val="26"/>
          <w:lang w:val="es-MX" w:eastAsia="es-MX"/>
        </w:rPr>
        <w:t xml:space="preserve">(originales o copia certificada de documentos y bandeja </w:t>
      </w:r>
      <w:r w:rsidRPr="002F26F5">
        <w:rPr>
          <w:rFonts w:ascii="Arial" w:hAnsi="Arial" w:cs="Arial"/>
          <w:b/>
          <w:bCs/>
          <w:color w:val="4F81BD" w:themeColor="accent1"/>
          <w:szCs w:val="26"/>
          <w:lang w:val="es-MX" w:eastAsia="es-MX"/>
        </w:rPr>
        <w:lastRenderedPageBreak/>
        <w:t>de salida del correo electrónico),</w:t>
      </w:r>
      <w:r w:rsidRPr="002F26F5">
        <w:rPr>
          <w:rFonts w:ascii="Arial" w:hAnsi="Arial" w:cs="Arial"/>
          <w:color w:val="4F81BD" w:themeColor="accent1"/>
          <w:lang w:val="es-MX" w:eastAsia="es-MX"/>
        </w:rPr>
        <w:t> </w:t>
      </w:r>
      <w:r w:rsidRPr="002F26F5">
        <w:rPr>
          <w:rFonts w:ascii="Arial" w:hAnsi="Arial" w:cs="Arial"/>
          <w:color w:val="4F81BD" w:themeColor="accent1"/>
          <w:szCs w:val="26"/>
          <w:lang w:val="es-MX" w:eastAsia="es-MX"/>
        </w:rPr>
        <w:t>con fundamento en los artículos 177 184 de la Ley de Transparencia y Acceso a la Información Pública</w:t>
      </w:r>
      <w:r w:rsidRPr="002F26F5">
        <w:rPr>
          <w:rFonts w:ascii="Arial" w:hAnsi="Arial" w:cs="Arial"/>
          <w:color w:val="4F81BD" w:themeColor="accent1"/>
          <w:lang w:val="es-MX" w:eastAsia="es-MX"/>
        </w:rPr>
        <w:t> </w:t>
      </w:r>
      <w:r w:rsidRPr="002F26F5">
        <w:rPr>
          <w:rFonts w:ascii="Arial" w:hAnsi="Arial" w:cs="Arial"/>
          <w:b/>
          <w:bCs/>
          <w:color w:val="4F81BD" w:themeColor="accent1"/>
          <w:szCs w:val="26"/>
          <w:lang w:val="es-MX" w:eastAsia="es-MX"/>
        </w:rPr>
        <w:t>y en caso de no cumplir con esta resolución se dará vista con la denuncia correspondiente al Órgano de Control Interno o a quien resulte competente para integrar y sustanciar el procedimiento sancionatorio por incurrir en posibles actos que actualicen la hipótesis contenida en el artículo 197, fracción XV de la Ley de Transparencia y Acceso a la información Pública del Estado. Lo anterior, sin perjuicio de que esta Comisión realicé lo necesario para que se dé el debido cumplimiento a la presente resolución.</w:t>
      </w:r>
    </w:p>
    <w:p w:rsidR="000150C9" w:rsidRPr="002F26F5" w:rsidRDefault="000150C9" w:rsidP="000150C9">
      <w:pPr>
        <w:shd w:val="clear" w:color="auto" w:fill="FFFFFF"/>
        <w:spacing w:before="240"/>
        <w:ind w:firstLine="708"/>
        <w:rPr>
          <w:rFonts w:ascii="Arial" w:hAnsi="Arial" w:cs="Arial"/>
          <w:color w:val="4F81BD" w:themeColor="accent1"/>
          <w:szCs w:val="26"/>
          <w:u w:val="single"/>
          <w:lang w:val="es-MX" w:eastAsia="es-MX"/>
        </w:rPr>
      </w:pPr>
      <w:r w:rsidRPr="002F26F5">
        <w:rPr>
          <w:rFonts w:ascii="Arial" w:hAnsi="Arial" w:cs="Arial"/>
          <w:bCs/>
          <w:color w:val="4F81BD" w:themeColor="accent1"/>
          <w:szCs w:val="26"/>
          <w:u w:val="single"/>
          <w:lang w:val="es-MX" w:eastAsia="es-MX"/>
        </w:rPr>
        <w:t>De conformidad con el artículo 183 de la Ley de Transparencia y Acceso a la Información Pública del Estado, el sujeto obligado a través del Titular de la Unidad de Transparencia debe dar cumplimiento a la presente resolución; por lo tanto, se le apercibe legalmente que en caso de no hacerlo, se le impondrán, de conformidad con el artículo 190 de la citada Ley, las medidas de apremio que resulten pertinentes. Para el caso de que el incumplimiento se origine con motivo de las deficiencias en que incurra un área administrativa ante la cual gestione, deberá informarlo a esta Comisión y a su superior jerárquico para que se tomen las acciones necesarias para asegurar el respeto a la presente determinación.</w:t>
      </w:r>
    </w:p>
    <w:p w:rsidR="000150C9" w:rsidRPr="002F26F5" w:rsidRDefault="000150C9" w:rsidP="00777B18">
      <w:pPr>
        <w:pStyle w:val="Prrafodelista"/>
        <w:shd w:val="clear" w:color="auto" w:fill="FFFFFF"/>
        <w:spacing w:before="240" w:after="240"/>
        <w:ind w:left="0" w:firstLine="708"/>
        <w:rPr>
          <w:rFonts w:ascii="Arial" w:hAnsi="Arial" w:cs="Arial"/>
          <w:color w:val="4F81BD" w:themeColor="accent1"/>
          <w:szCs w:val="26"/>
          <w:lang w:val="es-MX" w:eastAsia="es-MX"/>
        </w:rPr>
      </w:pPr>
      <w:r w:rsidRPr="002F26F5">
        <w:rPr>
          <w:rFonts w:ascii="Arial" w:hAnsi="Arial" w:cs="Arial"/>
          <w:color w:val="4F81BD" w:themeColor="accent1"/>
          <w:szCs w:val="26"/>
          <w:lang w:val="es-MX" w:eastAsia="es-MX"/>
        </w:rPr>
        <w:t>Por lo anteriormente expuesto y fundado se:</w:t>
      </w:r>
    </w:p>
    <w:p w:rsidR="000150C9" w:rsidRPr="002F26F5" w:rsidRDefault="000150C9" w:rsidP="000150C9">
      <w:pPr>
        <w:shd w:val="clear" w:color="auto" w:fill="FFFFFF"/>
        <w:spacing w:after="240" w:line="288" w:lineRule="atLeast"/>
        <w:jc w:val="center"/>
        <w:rPr>
          <w:rFonts w:ascii="Arial" w:hAnsi="Arial" w:cs="Arial"/>
          <w:color w:val="4F81BD" w:themeColor="accent1"/>
          <w:sz w:val="19"/>
          <w:szCs w:val="19"/>
          <w:lang w:val="es-MX" w:eastAsia="es-MX"/>
        </w:rPr>
      </w:pPr>
      <w:r w:rsidRPr="002F26F5">
        <w:rPr>
          <w:rFonts w:ascii="Arial" w:hAnsi="Arial" w:cs="Arial"/>
          <w:b/>
          <w:bCs/>
          <w:color w:val="4F81BD" w:themeColor="accent1"/>
          <w:szCs w:val="26"/>
          <w:lang w:val="es-MX" w:eastAsia="es-MX"/>
        </w:rPr>
        <w:t>R E S U E L V E:</w:t>
      </w:r>
    </w:p>
    <w:p w:rsidR="000150C9" w:rsidRPr="002F26F5" w:rsidRDefault="000150C9" w:rsidP="000150C9">
      <w:pPr>
        <w:spacing w:before="240" w:after="240"/>
        <w:rPr>
          <w:rFonts w:ascii="Arial" w:hAnsi="Arial" w:cs="Arial"/>
          <w:color w:val="4F81BD" w:themeColor="accent1"/>
        </w:rPr>
      </w:pPr>
      <w:r w:rsidRPr="002F26F5">
        <w:rPr>
          <w:rFonts w:ascii="Arial" w:hAnsi="Arial" w:cs="Arial"/>
          <w:b/>
          <w:color w:val="4F81BD" w:themeColor="accent1"/>
        </w:rPr>
        <w:tab/>
        <w:t xml:space="preserve">ÚNICO. </w:t>
      </w:r>
      <w:r w:rsidRPr="002F26F5">
        <w:rPr>
          <w:rFonts w:ascii="Arial" w:hAnsi="Arial" w:cs="Arial"/>
          <w:color w:val="4F81BD" w:themeColor="accent1"/>
        </w:rPr>
        <w:t xml:space="preserve">Se </w:t>
      </w:r>
      <w:r w:rsidRPr="002F26F5">
        <w:rPr>
          <w:rFonts w:ascii="Arial" w:hAnsi="Arial" w:cs="Arial"/>
          <w:b/>
          <w:color w:val="4F81BD" w:themeColor="accent1"/>
        </w:rPr>
        <w:t>modifica</w:t>
      </w:r>
      <w:r w:rsidRPr="002F26F5">
        <w:rPr>
          <w:rFonts w:ascii="Arial" w:hAnsi="Arial" w:cs="Arial"/>
          <w:color w:val="4F81BD" w:themeColor="accent1"/>
        </w:rPr>
        <w:t xml:space="preserve"> la respuesta emitida por el ente obligado por las razones expuestas en el considerando cuarto de la presente resolución.</w:t>
      </w:r>
    </w:p>
    <w:p w:rsidR="000150C9" w:rsidRPr="002F26F5" w:rsidRDefault="000150C9" w:rsidP="000150C9">
      <w:pPr>
        <w:spacing w:before="240" w:after="240"/>
        <w:rPr>
          <w:rFonts w:ascii="Arial" w:hAnsi="Arial" w:cs="Arial"/>
          <w:color w:val="4F81BD" w:themeColor="accent1"/>
        </w:rPr>
      </w:pPr>
      <w:r w:rsidRPr="002F26F5">
        <w:rPr>
          <w:rFonts w:ascii="Arial" w:hAnsi="Arial" w:cs="Arial"/>
          <w:color w:val="4F81BD" w:themeColor="accent1"/>
        </w:rPr>
        <w:tab/>
        <w:t>Notifíquese personalmente a las partes el contenido de la presente resolución, de conformidad con el artículo 177 de la Ley de Transparencia y Acceso a la Información Pública del Estado.</w:t>
      </w:r>
    </w:p>
    <w:p w:rsidR="000150C9" w:rsidRPr="002F26F5" w:rsidRDefault="000150C9" w:rsidP="000150C9">
      <w:pPr>
        <w:spacing w:before="240" w:after="240"/>
        <w:rPr>
          <w:rFonts w:ascii="Arial" w:hAnsi="Arial" w:cs="Arial"/>
          <w:color w:val="4F81BD" w:themeColor="accent1"/>
        </w:rPr>
      </w:pPr>
      <w:r w:rsidRPr="002F26F5">
        <w:rPr>
          <w:rFonts w:ascii="Arial" w:hAnsi="Arial" w:cs="Arial"/>
          <w:color w:val="4F81BD" w:themeColor="accent1"/>
        </w:rPr>
        <w:tab/>
        <w:t xml:space="preserve">La notificación que se realice al sujeto obligado será, con fundamento en los artículos 58 y 183 de la Ley de Transparencia y </w:t>
      </w:r>
      <w:r w:rsidRPr="002F26F5">
        <w:rPr>
          <w:rFonts w:ascii="Arial" w:hAnsi="Arial" w:cs="Arial"/>
          <w:color w:val="4F81BD" w:themeColor="accent1"/>
        </w:rPr>
        <w:lastRenderedPageBreak/>
        <w:t>Acceso a la Información Pública del Estado, a través de la Unidad de Transparencia</w:t>
      </w:r>
    </w:p>
    <w:p w:rsidR="000150C9" w:rsidRPr="002F26F5" w:rsidRDefault="000150C9" w:rsidP="000150C9">
      <w:pPr>
        <w:spacing w:before="240" w:after="240"/>
        <w:rPr>
          <w:rFonts w:ascii="Arial" w:hAnsi="Arial" w:cs="Arial"/>
          <w:color w:val="4F81BD" w:themeColor="accent1"/>
        </w:rPr>
      </w:pPr>
      <w:r w:rsidRPr="002F26F5">
        <w:rPr>
          <w:rFonts w:ascii="Arial" w:hAnsi="Arial" w:cs="Arial"/>
          <w:color w:val="4F81BD" w:themeColor="accent1"/>
        </w:rPr>
        <w:tab/>
        <w:t xml:space="preserve">Se hace de conocimiento del recurrente que, en caso de no estar de acuerdo con los términos de la presente resolución, podrá impugnar la presente resolución a través del </w:t>
      </w:r>
      <w:r w:rsidRPr="002F26F5">
        <w:rPr>
          <w:rFonts w:ascii="Arial" w:hAnsi="Arial" w:cs="Arial"/>
          <w:b/>
          <w:color w:val="4F81BD" w:themeColor="accent1"/>
        </w:rPr>
        <w:t>Juicio de Amparo indirecto</w:t>
      </w:r>
      <w:r w:rsidRPr="002F26F5">
        <w:rPr>
          <w:rFonts w:ascii="Arial" w:hAnsi="Arial" w:cs="Arial"/>
          <w:color w:val="4F81BD" w:themeColor="accent1"/>
        </w:rPr>
        <w:t xml:space="preserve"> que promueva ante el Poder Judicial de la Federación. Lo anterior con fundamento en el artículo 159 de la Ley General de Transparencia y Acceso a la Información Pública.</w:t>
      </w:r>
    </w:p>
    <w:p w:rsidR="000150C9" w:rsidRPr="002F26F5" w:rsidRDefault="000150C9" w:rsidP="000150C9">
      <w:pPr>
        <w:spacing w:before="240" w:after="240"/>
        <w:rPr>
          <w:rFonts w:ascii="Arial" w:hAnsi="Arial" w:cs="Arial"/>
          <w:color w:val="4F81BD" w:themeColor="accent1"/>
        </w:rPr>
      </w:pPr>
      <w:r w:rsidRPr="002F26F5">
        <w:rPr>
          <w:rFonts w:ascii="Arial" w:hAnsi="Arial" w:cs="Arial"/>
          <w:color w:val="4F81BD" w:themeColor="accent1"/>
        </w:rPr>
        <w:t>Así lo resuelve, por unanimidad de votos, el pleno de la comisión estatal de garantía de Acceso a la Información Pública, conformado por los comisionados Alejando Lafuente Torres, Paulina Sánchez Pérez del Pozo y Claudia Elizabeth Ávalos Cedillo, en la Sesión Extraordinaria celebrada el catorce de marzo de dos mil dieciocho, ante la Secretaria de Pleno Rosa María Motilla García.</w:t>
      </w:r>
    </w:p>
    <w:tbl>
      <w:tblPr>
        <w:tblW w:w="10372" w:type="dxa"/>
        <w:jc w:val="center"/>
        <w:tblLook w:val="01E0"/>
      </w:tblPr>
      <w:tblGrid>
        <w:gridCol w:w="5093"/>
        <w:gridCol w:w="164"/>
        <w:gridCol w:w="97"/>
        <w:gridCol w:w="5018"/>
      </w:tblGrid>
      <w:tr w:rsidR="000150C9" w:rsidRPr="002F26F5" w:rsidTr="002D6A33">
        <w:trPr>
          <w:trHeight w:val="2876"/>
          <w:jc w:val="center"/>
        </w:trPr>
        <w:tc>
          <w:tcPr>
            <w:tcW w:w="5257" w:type="dxa"/>
            <w:gridSpan w:val="2"/>
          </w:tcPr>
          <w:p w:rsidR="000150C9" w:rsidRPr="002F26F5" w:rsidRDefault="000150C9" w:rsidP="002D6A33">
            <w:pPr>
              <w:ind w:left="354"/>
              <w:jc w:val="center"/>
              <w:rPr>
                <w:rFonts w:ascii="Arial" w:hAnsi="Arial" w:cs="Arial"/>
                <w:b/>
                <w:color w:val="4F81BD" w:themeColor="accent1"/>
                <w:sz w:val="25"/>
                <w:szCs w:val="25"/>
              </w:rPr>
            </w:pPr>
            <w:r w:rsidRPr="002F26F5">
              <w:rPr>
                <w:rFonts w:ascii="Arial" w:hAnsi="Arial" w:cs="Arial"/>
                <w:b/>
                <w:color w:val="4F81BD" w:themeColor="accent1"/>
                <w:sz w:val="25"/>
                <w:szCs w:val="25"/>
              </w:rPr>
              <w:t>COMISIONADO PRESIDENTE</w:t>
            </w:r>
          </w:p>
          <w:p w:rsidR="000150C9" w:rsidRPr="002F26F5" w:rsidRDefault="000150C9" w:rsidP="002D6A33">
            <w:pPr>
              <w:ind w:left="354"/>
              <w:jc w:val="center"/>
              <w:rPr>
                <w:rFonts w:ascii="Arial" w:hAnsi="Arial" w:cs="Arial"/>
                <w:b/>
                <w:color w:val="4F81BD" w:themeColor="accent1"/>
                <w:sz w:val="25"/>
                <w:szCs w:val="25"/>
              </w:rPr>
            </w:pPr>
          </w:p>
          <w:p w:rsidR="000150C9" w:rsidRPr="002F26F5" w:rsidRDefault="000150C9" w:rsidP="002D6A33">
            <w:pPr>
              <w:ind w:left="354"/>
              <w:jc w:val="center"/>
              <w:rPr>
                <w:rFonts w:ascii="Arial" w:hAnsi="Arial" w:cs="Arial"/>
                <w:b/>
                <w:color w:val="4F81BD" w:themeColor="accent1"/>
                <w:sz w:val="25"/>
                <w:szCs w:val="25"/>
              </w:rPr>
            </w:pPr>
          </w:p>
          <w:p w:rsidR="000150C9" w:rsidRPr="002F26F5" w:rsidRDefault="000150C9" w:rsidP="002D6A33">
            <w:pPr>
              <w:ind w:left="354"/>
              <w:jc w:val="center"/>
              <w:rPr>
                <w:rFonts w:ascii="Arial" w:hAnsi="Arial" w:cs="Arial"/>
                <w:b/>
                <w:color w:val="4F81BD" w:themeColor="accent1"/>
                <w:sz w:val="25"/>
                <w:szCs w:val="25"/>
              </w:rPr>
            </w:pPr>
          </w:p>
          <w:p w:rsidR="000150C9" w:rsidRPr="002F26F5" w:rsidRDefault="000150C9" w:rsidP="002D6A33">
            <w:pPr>
              <w:ind w:left="354"/>
              <w:jc w:val="center"/>
              <w:rPr>
                <w:rFonts w:ascii="Arial" w:hAnsi="Arial" w:cs="Arial"/>
                <w:b/>
                <w:color w:val="4F81BD" w:themeColor="accent1"/>
                <w:sz w:val="25"/>
                <w:szCs w:val="25"/>
              </w:rPr>
            </w:pPr>
            <w:r w:rsidRPr="002F26F5">
              <w:rPr>
                <w:rFonts w:ascii="Arial" w:hAnsi="Arial" w:cs="Arial"/>
                <w:b/>
                <w:color w:val="4F81BD" w:themeColor="accent1"/>
                <w:sz w:val="25"/>
                <w:szCs w:val="25"/>
              </w:rPr>
              <w:t>ALEJANDRO LAFUENTE TORRES</w:t>
            </w:r>
          </w:p>
        </w:tc>
        <w:tc>
          <w:tcPr>
            <w:tcW w:w="5115" w:type="dxa"/>
            <w:gridSpan w:val="2"/>
          </w:tcPr>
          <w:p w:rsidR="000150C9" w:rsidRPr="002F26F5" w:rsidRDefault="000150C9" w:rsidP="002D6A33">
            <w:pPr>
              <w:ind w:left="354" w:firstLine="54"/>
              <w:jc w:val="center"/>
              <w:rPr>
                <w:rFonts w:ascii="Arial" w:hAnsi="Arial" w:cs="Arial"/>
                <w:b/>
                <w:color w:val="4F81BD" w:themeColor="accent1"/>
                <w:sz w:val="25"/>
                <w:szCs w:val="25"/>
              </w:rPr>
            </w:pPr>
            <w:r w:rsidRPr="002F26F5">
              <w:rPr>
                <w:rFonts w:ascii="Arial" w:hAnsi="Arial" w:cs="Arial"/>
                <w:b/>
                <w:color w:val="4F81BD" w:themeColor="accent1"/>
                <w:sz w:val="25"/>
                <w:szCs w:val="25"/>
              </w:rPr>
              <w:t>COMISIONADA</w:t>
            </w:r>
          </w:p>
          <w:p w:rsidR="000150C9" w:rsidRPr="002F26F5" w:rsidRDefault="000150C9" w:rsidP="002D6A33">
            <w:pPr>
              <w:ind w:left="354" w:firstLine="708"/>
              <w:jc w:val="center"/>
              <w:rPr>
                <w:rFonts w:ascii="Arial" w:hAnsi="Arial" w:cs="Arial"/>
                <w:b/>
                <w:color w:val="4F81BD" w:themeColor="accent1"/>
                <w:sz w:val="25"/>
                <w:szCs w:val="25"/>
              </w:rPr>
            </w:pPr>
          </w:p>
          <w:p w:rsidR="000150C9" w:rsidRPr="002F26F5" w:rsidRDefault="000150C9" w:rsidP="002D6A33">
            <w:pPr>
              <w:ind w:left="354" w:firstLine="708"/>
              <w:jc w:val="center"/>
              <w:rPr>
                <w:rFonts w:ascii="Arial" w:hAnsi="Arial" w:cs="Arial"/>
                <w:b/>
                <w:color w:val="4F81BD" w:themeColor="accent1"/>
                <w:sz w:val="25"/>
                <w:szCs w:val="25"/>
              </w:rPr>
            </w:pPr>
          </w:p>
          <w:p w:rsidR="000150C9" w:rsidRPr="002F26F5" w:rsidRDefault="000150C9" w:rsidP="002D6A33">
            <w:pPr>
              <w:ind w:left="354"/>
              <w:jc w:val="center"/>
              <w:rPr>
                <w:rFonts w:ascii="Arial" w:hAnsi="Arial" w:cs="Arial"/>
                <w:b/>
                <w:color w:val="4F81BD" w:themeColor="accent1"/>
                <w:sz w:val="25"/>
                <w:szCs w:val="25"/>
              </w:rPr>
            </w:pPr>
          </w:p>
          <w:p w:rsidR="000150C9" w:rsidRPr="002F26F5" w:rsidRDefault="000150C9" w:rsidP="002D6A33">
            <w:pPr>
              <w:ind w:left="354" w:right="283"/>
              <w:jc w:val="center"/>
              <w:rPr>
                <w:rFonts w:ascii="Arial" w:hAnsi="Arial" w:cs="Arial"/>
                <w:b/>
                <w:color w:val="4F81BD" w:themeColor="accent1"/>
                <w:sz w:val="25"/>
                <w:szCs w:val="25"/>
              </w:rPr>
            </w:pPr>
            <w:r w:rsidRPr="002F26F5">
              <w:rPr>
                <w:rFonts w:ascii="Arial" w:hAnsi="Arial" w:cs="Arial"/>
                <w:b/>
                <w:color w:val="4F81BD" w:themeColor="accent1"/>
                <w:sz w:val="25"/>
                <w:szCs w:val="25"/>
              </w:rPr>
              <w:t>PAULINA SÁNCHEZ PÉREZ DEL POZO</w:t>
            </w:r>
          </w:p>
        </w:tc>
      </w:tr>
      <w:tr w:rsidR="000150C9" w:rsidRPr="002F26F5" w:rsidTr="002D6A33">
        <w:trPr>
          <w:trHeight w:val="244"/>
          <w:jc w:val="center"/>
        </w:trPr>
        <w:tc>
          <w:tcPr>
            <w:tcW w:w="5093" w:type="dxa"/>
          </w:tcPr>
          <w:p w:rsidR="000150C9" w:rsidRPr="002F26F5" w:rsidRDefault="000150C9" w:rsidP="002D6A33">
            <w:pPr>
              <w:ind w:left="354"/>
              <w:jc w:val="center"/>
              <w:rPr>
                <w:rFonts w:ascii="Arial" w:hAnsi="Arial" w:cs="Arial"/>
                <w:b/>
                <w:color w:val="4F81BD" w:themeColor="accent1"/>
                <w:sz w:val="25"/>
                <w:szCs w:val="25"/>
              </w:rPr>
            </w:pPr>
            <w:r w:rsidRPr="002F26F5">
              <w:rPr>
                <w:rFonts w:ascii="Arial" w:hAnsi="Arial" w:cs="Arial"/>
                <w:b/>
                <w:color w:val="4F81BD" w:themeColor="accent1"/>
                <w:sz w:val="25"/>
                <w:szCs w:val="25"/>
              </w:rPr>
              <w:t>COMISIONADA</w:t>
            </w:r>
          </w:p>
          <w:p w:rsidR="000150C9" w:rsidRPr="002F26F5" w:rsidRDefault="000150C9" w:rsidP="002D6A33">
            <w:pPr>
              <w:ind w:left="354"/>
              <w:jc w:val="center"/>
              <w:rPr>
                <w:rFonts w:ascii="Arial" w:hAnsi="Arial" w:cs="Arial"/>
                <w:b/>
                <w:color w:val="4F81BD" w:themeColor="accent1"/>
                <w:sz w:val="25"/>
                <w:szCs w:val="25"/>
              </w:rPr>
            </w:pPr>
          </w:p>
          <w:p w:rsidR="000150C9" w:rsidRPr="002F26F5" w:rsidRDefault="000150C9" w:rsidP="002D6A33">
            <w:pPr>
              <w:ind w:left="354"/>
              <w:jc w:val="center"/>
              <w:rPr>
                <w:rFonts w:ascii="Arial" w:hAnsi="Arial" w:cs="Arial"/>
                <w:b/>
                <w:color w:val="4F81BD" w:themeColor="accent1"/>
                <w:sz w:val="25"/>
                <w:szCs w:val="25"/>
              </w:rPr>
            </w:pPr>
          </w:p>
          <w:p w:rsidR="000150C9" w:rsidRPr="002F26F5" w:rsidRDefault="000150C9" w:rsidP="002D6A33">
            <w:pPr>
              <w:ind w:left="354"/>
              <w:jc w:val="center"/>
              <w:rPr>
                <w:rFonts w:ascii="Arial" w:hAnsi="Arial" w:cs="Arial"/>
                <w:b/>
                <w:color w:val="4F81BD" w:themeColor="accent1"/>
                <w:sz w:val="25"/>
                <w:szCs w:val="25"/>
              </w:rPr>
            </w:pPr>
          </w:p>
          <w:p w:rsidR="000150C9" w:rsidRPr="002F26F5" w:rsidRDefault="000150C9" w:rsidP="002D6A33">
            <w:pPr>
              <w:ind w:left="354"/>
              <w:jc w:val="center"/>
              <w:rPr>
                <w:rFonts w:ascii="Arial" w:hAnsi="Arial" w:cs="Arial"/>
                <w:b/>
                <w:color w:val="4F81BD" w:themeColor="accent1"/>
                <w:sz w:val="25"/>
                <w:szCs w:val="25"/>
              </w:rPr>
            </w:pPr>
            <w:r w:rsidRPr="002F26F5">
              <w:rPr>
                <w:rFonts w:ascii="Arial" w:hAnsi="Arial" w:cs="Arial"/>
                <w:b/>
                <w:color w:val="4F81BD" w:themeColor="accent1"/>
                <w:sz w:val="25"/>
                <w:szCs w:val="25"/>
              </w:rPr>
              <w:t xml:space="preserve">      CLAUDIA ELIZABETH ÁVALOS CEDILLO</w:t>
            </w:r>
          </w:p>
        </w:tc>
        <w:tc>
          <w:tcPr>
            <w:tcW w:w="261" w:type="dxa"/>
            <w:gridSpan w:val="2"/>
          </w:tcPr>
          <w:p w:rsidR="000150C9" w:rsidRPr="002F26F5" w:rsidRDefault="000150C9" w:rsidP="002D6A33">
            <w:pPr>
              <w:ind w:left="354" w:firstLine="708"/>
              <w:jc w:val="center"/>
              <w:rPr>
                <w:rFonts w:ascii="Arial" w:hAnsi="Arial" w:cs="Arial"/>
                <w:b/>
                <w:color w:val="4F81BD" w:themeColor="accent1"/>
                <w:sz w:val="25"/>
                <w:szCs w:val="25"/>
              </w:rPr>
            </w:pPr>
          </w:p>
        </w:tc>
        <w:tc>
          <w:tcPr>
            <w:tcW w:w="5018" w:type="dxa"/>
          </w:tcPr>
          <w:p w:rsidR="000150C9" w:rsidRPr="002F26F5" w:rsidRDefault="000150C9" w:rsidP="002D6A33">
            <w:pPr>
              <w:ind w:left="354" w:firstLine="2"/>
              <w:jc w:val="center"/>
              <w:rPr>
                <w:rFonts w:ascii="Arial" w:hAnsi="Arial" w:cs="Arial"/>
                <w:b/>
                <w:color w:val="4F81BD" w:themeColor="accent1"/>
                <w:sz w:val="25"/>
                <w:szCs w:val="25"/>
              </w:rPr>
            </w:pPr>
            <w:r w:rsidRPr="002F26F5">
              <w:rPr>
                <w:rFonts w:ascii="Arial" w:hAnsi="Arial" w:cs="Arial"/>
                <w:b/>
                <w:color w:val="4F81BD" w:themeColor="accent1"/>
                <w:sz w:val="25"/>
                <w:szCs w:val="25"/>
              </w:rPr>
              <w:t xml:space="preserve">SECRETARIA DE PLENO </w:t>
            </w:r>
          </w:p>
          <w:p w:rsidR="000150C9" w:rsidRPr="002F26F5" w:rsidRDefault="000150C9" w:rsidP="002D6A33">
            <w:pPr>
              <w:ind w:left="354"/>
              <w:jc w:val="center"/>
              <w:rPr>
                <w:rFonts w:ascii="Arial" w:hAnsi="Arial" w:cs="Arial"/>
                <w:b/>
                <w:color w:val="4F81BD" w:themeColor="accent1"/>
                <w:sz w:val="25"/>
                <w:szCs w:val="25"/>
              </w:rPr>
            </w:pPr>
          </w:p>
          <w:p w:rsidR="000150C9" w:rsidRPr="002F26F5" w:rsidRDefault="000150C9" w:rsidP="002D6A33">
            <w:pPr>
              <w:ind w:left="354"/>
              <w:jc w:val="center"/>
              <w:rPr>
                <w:rFonts w:ascii="Arial" w:hAnsi="Arial" w:cs="Arial"/>
                <w:b/>
                <w:color w:val="4F81BD" w:themeColor="accent1"/>
                <w:sz w:val="25"/>
                <w:szCs w:val="25"/>
              </w:rPr>
            </w:pPr>
          </w:p>
          <w:p w:rsidR="000150C9" w:rsidRPr="002F26F5" w:rsidRDefault="000150C9" w:rsidP="002D6A33">
            <w:pPr>
              <w:ind w:left="91" w:firstLine="263"/>
              <w:jc w:val="center"/>
              <w:rPr>
                <w:rFonts w:ascii="Arial" w:hAnsi="Arial" w:cs="Arial"/>
                <w:b/>
                <w:color w:val="4F81BD" w:themeColor="accent1"/>
                <w:sz w:val="25"/>
                <w:szCs w:val="25"/>
              </w:rPr>
            </w:pPr>
          </w:p>
          <w:p w:rsidR="000150C9" w:rsidRPr="002F26F5" w:rsidRDefault="000150C9" w:rsidP="002D6A33">
            <w:pPr>
              <w:ind w:left="354"/>
              <w:jc w:val="center"/>
              <w:rPr>
                <w:rFonts w:ascii="Arial" w:hAnsi="Arial" w:cs="Arial"/>
                <w:b/>
                <w:color w:val="4F81BD" w:themeColor="accent1"/>
                <w:sz w:val="25"/>
                <w:szCs w:val="25"/>
              </w:rPr>
            </w:pPr>
            <w:r w:rsidRPr="002F26F5">
              <w:rPr>
                <w:rFonts w:ascii="Arial" w:hAnsi="Arial" w:cs="Arial"/>
                <w:b/>
                <w:color w:val="4F81BD" w:themeColor="accent1"/>
                <w:sz w:val="25"/>
                <w:szCs w:val="25"/>
              </w:rPr>
              <w:t>ROSA MARÍA MOTILLA GARCÍA</w:t>
            </w:r>
          </w:p>
          <w:p w:rsidR="000150C9" w:rsidRPr="002F26F5" w:rsidRDefault="000150C9" w:rsidP="002D6A33">
            <w:pPr>
              <w:ind w:left="354"/>
              <w:jc w:val="center"/>
              <w:rPr>
                <w:rFonts w:ascii="Arial" w:hAnsi="Arial" w:cs="Arial"/>
                <w:b/>
                <w:color w:val="4F81BD" w:themeColor="accent1"/>
                <w:sz w:val="25"/>
                <w:szCs w:val="25"/>
              </w:rPr>
            </w:pPr>
          </w:p>
        </w:tc>
      </w:tr>
    </w:tbl>
    <w:p w:rsidR="000150C9" w:rsidRPr="00777B18" w:rsidRDefault="000150C9" w:rsidP="000150C9">
      <w:pPr>
        <w:spacing w:before="240" w:after="240" w:line="276" w:lineRule="auto"/>
        <w:rPr>
          <w:rFonts w:ascii="Arial" w:hAnsi="Arial" w:cs="Arial"/>
          <w:color w:val="4F81BD" w:themeColor="accent1"/>
          <w:sz w:val="16"/>
          <w:szCs w:val="16"/>
        </w:rPr>
      </w:pPr>
      <w:r w:rsidRPr="002F26F5">
        <w:rPr>
          <w:rFonts w:ascii="Arial" w:hAnsi="Arial" w:cs="Arial"/>
          <w:color w:val="4F81BD" w:themeColor="accent1"/>
          <w:sz w:val="18"/>
        </w:rPr>
        <w:tab/>
      </w:r>
      <w:r w:rsidRPr="00777B18">
        <w:rPr>
          <w:rFonts w:ascii="Arial" w:hAnsi="Arial" w:cs="Arial"/>
          <w:color w:val="4F81BD" w:themeColor="accent1"/>
          <w:sz w:val="16"/>
          <w:szCs w:val="16"/>
        </w:rPr>
        <w:t>Estas firmas pertenecen a la última foja de la resolución pronunciada en el recurso de revisión 039/2018-3 aprobada en sesión extraordinaria del catorce de marzo de dos mil dieciocho.</w:t>
      </w:r>
    </w:p>
    <w:p w:rsidR="000150C9" w:rsidRPr="00777B18" w:rsidRDefault="000150C9" w:rsidP="000150C9">
      <w:pPr>
        <w:spacing w:before="240" w:line="240" w:lineRule="auto"/>
        <w:rPr>
          <w:rFonts w:ascii="Arial" w:hAnsi="Arial" w:cs="Arial"/>
          <w:color w:val="4F81BD" w:themeColor="accent1"/>
          <w:sz w:val="16"/>
        </w:rPr>
      </w:pPr>
      <w:r w:rsidRPr="00777B18">
        <w:rPr>
          <w:rFonts w:ascii="Arial" w:hAnsi="Arial" w:cs="Arial"/>
          <w:color w:val="4F81BD" w:themeColor="accent1"/>
          <w:sz w:val="16"/>
        </w:rPr>
        <w:t>Elaboró y cotejó:</w:t>
      </w:r>
    </w:p>
    <w:p w:rsidR="000150C9" w:rsidRPr="00777B18" w:rsidRDefault="000150C9" w:rsidP="000150C9">
      <w:pPr>
        <w:spacing w:before="240"/>
        <w:rPr>
          <w:rFonts w:ascii="Arial" w:hAnsi="Arial" w:cs="Arial"/>
          <w:color w:val="4F81BD" w:themeColor="accent1"/>
          <w:sz w:val="16"/>
        </w:rPr>
      </w:pPr>
      <w:r w:rsidRPr="00777B18">
        <w:rPr>
          <w:rFonts w:ascii="Arial" w:hAnsi="Arial" w:cs="Arial"/>
          <w:color w:val="4F81BD" w:themeColor="accent1"/>
          <w:sz w:val="16"/>
        </w:rPr>
        <w:t>ABCR</w:t>
      </w:r>
    </w:p>
    <w:p w:rsidR="00777B18" w:rsidRDefault="00777B18">
      <w:pPr>
        <w:spacing w:after="200" w:line="276" w:lineRule="auto"/>
        <w:jc w:val="left"/>
        <w:rPr>
          <w:rFonts w:ascii="Arial" w:hAnsi="Arial" w:cs="Arial"/>
          <w:color w:val="4F81BD" w:themeColor="accent1"/>
          <w:szCs w:val="26"/>
        </w:rPr>
      </w:pPr>
      <w:bookmarkStart w:id="0" w:name="_GoBack"/>
      <w:bookmarkEnd w:id="0"/>
      <w:r>
        <w:rPr>
          <w:rFonts w:ascii="Arial" w:hAnsi="Arial" w:cs="Arial"/>
          <w:color w:val="4F81BD" w:themeColor="accent1"/>
          <w:szCs w:val="26"/>
        </w:rPr>
        <w:br w:type="page"/>
      </w:r>
    </w:p>
    <w:p w:rsidR="00742834" w:rsidRPr="00777B18" w:rsidRDefault="00742834" w:rsidP="006527C3">
      <w:pPr>
        <w:rPr>
          <w:rFonts w:ascii="Arial" w:hAnsi="Arial" w:cs="Arial"/>
          <w:color w:val="4F81BD" w:themeColor="accent1"/>
          <w:szCs w:val="26"/>
        </w:rPr>
      </w:pPr>
    </w:p>
    <w:sectPr w:rsidR="00742834" w:rsidRPr="00777B18" w:rsidSect="00EE69A4">
      <w:headerReference w:type="even" r:id="rId8"/>
      <w:headerReference w:type="default" r:id="rId9"/>
      <w:headerReference w:type="first" r:id="rId10"/>
      <w:pgSz w:w="12240" w:h="20160" w:code="5"/>
      <w:pgMar w:top="3062" w:right="851" w:bottom="2495" w:left="283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3F47" w:rsidRDefault="00ED3F47" w:rsidP="00EE69A4">
      <w:pPr>
        <w:spacing w:line="240" w:lineRule="auto"/>
      </w:pPr>
      <w:r>
        <w:separator/>
      </w:r>
    </w:p>
  </w:endnote>
  <w:endnote w:type="continuationSeparator" w:id="0">
    <w:p w:rsidR="00ED3F47" w:rsidRDefault="00ED3F47" w:rsidP="00EE69A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3F47" w:rsidRDefault="00ED3F47" w:rsidP="00EE69A4">
      <w:pPr>
        <w:spacing w:line="240" w:lineRule="auto"/>
      </w:pPr>
      <w:r>
        <w:separator/>
      </w:r>
    </w:p>
  </w:footnote>
  <w:footnote w:type="continuationSeparator" w:id="0">
    <w:p w:rsidR="00ED3F47" w:rsidRDefault="00ED3F47" w:rsidP="00EE69A4">
      <w:pPr>
        <w:spacing w:line="240" w:lineRule="auto"/>
      </w:pPr>
      <w:r>
        <w:continuationSeparator/>
      </w:r>
    </w:p>
  </w:footnote>
  <w:footnote w:id="1">
    <w:p w:rsidR="000F539E" w:rsidRPr="00777B18" w:rsidRDefault="000F539E" w:rsidP="00F2255A">
      <w:pPr>
        <w:autoSpaceDE w:val="0"/>
        <w:autoSpaceDN w:val="0"/>
        <w:adjustRightInd w:val="0"/>
        <w:spacing w:line="240" w:lineRule="auto"/>
        <w:rPr>
          <w:rFonts w:ascii="Arial" w:eastAsiaTheme="minorHAnsi" w:hAnsi="Arial" w:cs="Arial"/>
          <w:bCs/>
          <w:color w:val="4F81BD" w:themeColor="accent1"/>
          <w:sz w:val="20"/>
          <w:szCs w:val="20"/>
          <w:lang w:val="es-MX" w:eastAsia="en-US"/>
        </w:rPr>
      </w:pPr>
      <w:r>
        <w:rPr>
          <w:rStyle w:val="Refdenotaalpie"/>
        </w:rPr>
        <w:footnoteRef/>
      </w:r>
      <w:r>
        <w:t xml:space="preserve"> </w:t>
      </w:r>
      <w:r w:rsidRPr="00777B18">
        <w:rPr>
          <w:rFonts w:ascii="Arial" w:eastAsiaTheme="minorHAnsi" w:hAnsi="Arial" w:cs="Arial"/>
          <w:bCs/>
          <w:color w:val="4F81BD" w:themeColor="accent1"/>
          <w:sz w:val="20"/>
          <w:szCs w:val="20"/>
          <w:lang w:val="es-MX" w:eastAsia="en-US"/>
        </w:rPr>
        <w:t xml:space="preserve">El derecho de acceso a la información pública en las Américas “Estándares Interamericanos y comparación de marcos legales” </w:t>
      </w:r>
      <w:proofErr w:type="spellStart"/>
      <w:r w:rsidRPr="00777B18">
        <w:rPr>
          <w:rFonts w:ascii="Arial" w:eastAsiaTheme="minorHAnsi" w:hAnsi="Arial" w:cs="Arial"/>
          <w:bCs/>
          <w:color w:val="4F81BD" w:themeColor="accent1"/>
          <w:sz w:val="20"/>
          <w:szCs w:val="20"/>
          <w:lang w:val="es-MX" w:eastAsia="en-US"/>
        </w:rPr>
        <w:t>pag</w:t>
      </w:r>
      <w:proofErr w:type="spellEnd"/>
      <w:r w:rsidRPr="00777B18">
        <w:rPr>
          <w:rFonts w:ascii="Arial" w:eastAsiaTheme="minorHAnsi" w:hAnsi="Arial" w:cs="Arial"/>
          <w:bCs/>
          <w:color w:val="4F81BD" w:themeColor="accent1"/>
          <w:sz w:val="20"/>
          <w:szCs w:val="20"/>
          <w:lang w:val="es-MX" w:eastAsia="en-US"/>
        </w:rPr>
        <w:t>. 88.</w:t>
      </w:r>
    </w:p>
  </w:footnote>
  <w:footnote w:id="2">
    <w:p w:rsidR="000F539E" w:rsidRPr="00777B18" w:rsidRDefault="000F539E" w:rsidP="00F2255A">
      <w:pPr>
        <w:pStyle w:val="Textonotapie"/>
        <w:rPr>
          <w:rFonts w:ascii="Arial" w:hAnsi="Arial" w:cs="Arial"/>
          <w:color w:val="4F81BD" w:themeColor="accent1"/>
          <w:sz w:val="24"/>
          <w:szCs w:val="24"/>
        </w:rPr>
      </w:pPr>
      <w:r w:rsidRPr="00777B18">
        <w:rPr>
          <w:rStyle w:val="Refdenotaalpie"/>
          <w:rFonts w:ascii="Arial" w:hAnsi="Arial" w:cs="Arial"/>
          <w:color w:val="4F81BD" w:themeColor="accent1"/>
        </w:rPr>
        <w:footnoteRef/>
      </w:r>
      <w:r w:rsidRPr="00777B18">
        <w:rPr>
          <w:rFonts w:ascii="Arial" w:hAnsi="Arial" w:cs="Arial"/>
          <w:color w:val="4F81BD" w:themeColor="accent1"/>
        </w:rPr>
        <w:t xml:space="preserve"> Ibídem, pág. 89</w:t>
      </w:r>
    </w:p>
  </w:footnote>
  <w:footnote w:id="3">
    <w:p w:rsidR="000F539E" w:rsidRPr="006464A1" w:rsidRDefault="000F539E" w:rsidP="00B16000">
      <w:pPr>
        <w:pStyle w:val="Textonotapie"/>
        <w:rPr>
          <w:rFonts w:ascii="Arial" w:hAnsi="Arial" w:cs="Arial"/>
          <w:color w:val="4F81BD" w:themeColor="accent1"/>
        </w:rPr>
      </w:pPr>
      <w:r>
        <w:rPr>
          <w:rStyle w:val="Refdenotaalpie"/>
          <w:rFonts w:ascii="Arial" w:hAnsi="Arial" w:cs="Arial"/>
        </w:rPr>
        <w:footnoteRef/>
      </w:r>
      <w:r>
        <w:rPr>
          <w:rFonts w:ascii="Arial" w:hAnsi="Arial" w:cs="Arial"/>
        </w:rPr>
        <w:t xml:space="preserve"> </w:t>
      </w:r>
      <w:r w:rsidRPr="006464A1">
        <w:rPr>
          <w:rFonts w:ascii="Arial" w:hAnsi="Arial" w:cs="Arial"/>
          <w:color w:val="4F81BD" w:themeColor="accent1"/>
        </w:rPr>
        <w:t xml:space="preserve">Fallado el 6 de enero de dos mil nueve por el Tribunal Pleno de la Suprema Corte de Justicia de la Nación por unanimidad de once votos. </w:t>
      </w:r>
    </w:p>
  </w:footnote>
  <w:footnote w:id="4">
    <w:p w:rsidR="000F539E" w:rsidRPr="006464A1" w:rsidRDefault="000F539E" w:rsidP="00B16000">
      <w:pPr>
        <w:autoSpaceDE w:val="0"/>
        <w:autoSpaceDN w:val="0"/>
        <w:adjustRightInd w:val="0"/>
        <w:spacing w:line="240" w:lineRule="auto"/>
        <w:rPr>
          <w:rFonts w:ascii="Arial" w:hAnsi="Arial" w:cs="Arial"/>
          <w:color w:val="4F81BD" w:themeColor="accent1"/>
          <w:sz w:val="20"/>
          <w:szCs w:val="20"/>
        </w:rPr>
      </w:pPr>
      <w:r>
        <w:rPr>
          <w:rStyle w:val="Refdenotaalpie"/>
          <w:rFonts w:ascii="Arial" w:hAnsi="Arial" w:cs="Arial"/>
          <w:sz w:val="20"/>
          <w:szCs w:val="20"/>
        </w:rPr>
        <w:footnoteRef/>
      </w:r>
      <w:r>
        <w:rPr>
          <w:rFonts w:ascii="Arial" w:hAnsi="Arial" w:cs="Arial"/>
          <w:sz w:val="20"/>
          <w:szCs w:val="20"/>
        </w:rPr>
        <w:t xml:space="preserve"> </w:t>
      </w:r>
      <w:r w:rsidRPr="006464A1">
        <w:rPr>
          <w:rFonts w:ascii="Arial" w:hAnsi="Arial" w:cs="Arial"/>
          <w:color w:val="4F81BD" w:themeColor="accent1"/>
          <w:sz w:val="20"/>
          <w:szCs w:val="20"/>
        </w:rPr>
        <w:t xml:space="preserve">Corte IDH. </w:t>
      </w:r>
      <w:r w:rsidRPr="006464A1">
        <w:rPr>
          <w:rFonts w:ascii="Arial" w:hAnsi="Arial" w:cs="Arial"/>
          <w:i/>
          <w:color w:val="4F81BD" w:themeColor="accent1"/>
          <w:sz w:val="20"/>
          <w:szCs w:val="20"/>
        </w:rPr>
        <w:t>Caso de las Hermanas Serrano Cruz vs. El Salvador</w:t>
      </w:r>
      <w:r w:rsidRPr="006464A1">
        <w:rPr>
          <w:rFonts w:ascii="Arial" w:hAnsi="Arial" w:cs="Arial"/>
          <w:color w:val="4F81BD" w:themeColor="accent1"/>
          <w:sz w:val="20"/>
          <w:szCs w:val="20"/>
        </w:rPr>
        <w:t>. Fondo, reparaciones y costas. Serie C No. 120. P. 132. “La Corte observa que toda persona tiene derecho a la identidad, el cual constituye un derecho complejo, que por un lado presenta un aspecto dinámico, cuyo desarrollo se encuentra ligado a la evolución de la personalidad del ser humano, y contiene un conjunto de atributos y características que permiten individualizar a cada persona como única. La identidad personal tiene su punto de partida en la concepción y su construcción se prolonga durante la vida del ser humano, en un proceso continuo que abarca una multiplicidad de elementos y aspectos que exceden del concepto estrictamente biológico, y que corresponde a la “verdad personal” y biográfica del ser humano. Estos elementos y atributos que componen la identidad personal comprenden aspectos tan variados como el origen o la “verdad biológica”, el patrimonio cultural, histórico, religioso, ideológico, político, profesional, familiar y social de un persona, así como otros aspectos más estáticos referidos, por ejemplo, a los rasgos físicos, el nombre y la nacionalidad.”</w:t>
      </w:r>
    </w:p>
  </w:footnote>
  <w:footnote w:id="5">
    <w:p w:rsidR="000F539E" w:rsidRPr="006464A1" w:rsidRDefault="000F539E" w:rsidP="00B16000">
      <w:pPr>
        <w:pStyle w:val="Textonotapie"/>
        <w:rPr>
          <w:rFonts w:ascii="Arial" w:hAnsi="Arial" w:cs="Arial"/>
          <w:color w:val="4F81BD" w:themeColor="accent1"/>
        </w:rPr>
      </w:pPr>
      <w:r w:rsidRPr="006464A1">
        <w:rPr>
          <w:rStyle w:val="Refdenotaalpie"/>
          <w:rFonts w:ascii="Arial" w:hAnsi="Arial" w:cs="Arial"/>
          <w:color w:val="4F81BD" w:themeColor="accent1"/>
        </w:rPr>
        <w:footnoteRef/>
      </w:r>
      <w:r w:rsidRPr="006464A1">
        <w:rPr>
          <w:rFonts w:ascii="Arial" w:hAnsi="Arial" w:cs="Arial"/>
          <w:color w:val="4F81BD" w:themeColor="accent1"/>
        </w:rPr>
        <w:t xml:space="preserve"> Resuelto por unanimidad de cinco votos de los Ministros Olga María Sánchez Cordero de García Villegas, Guillermo Ortiz </w:t>
      </w:r>
      <w:proofErr w:type="spellStart"/>
      <w:r w:rsidRPr="006464A1">
        <w:rPr>
          <w:rFonts w:ascii="Arial" w:hAnsi="Arial" w:cs="Arial"/>
          <w:color w:val="4F81BD" w:themeColor="accent1"/>
        </w:rPr>
        <w:t>Mayagoitia</w:t>
      </w:r>
      <w:proofErr w:type="spellEnd"/>
      <w:r w:rsidRPr="006464A1">
        <w:rPr>
          <w:rFonts w:ascii="Arial" w:hAnsi="Arial" w:cs="Arial"/>
          <w:color w:val="4F81BD" w:themeColor="accent1"/>
        </w:rPr>
        <w:t>, José Ramón Cossío Díaz (Ponente), Arturo Zaldívar Lelo de Larrea y Jorge Mario Pardo Rebolledo.</w:t>
      </w:r>
    </w:p>
  </w:footnote>
  <w:footnote w:id="6">
    <w:p w:rsidR="000F539E" w:rsidRPr="006464A1" w:rsidRDefault="000F539E" w:rsidP="00B16000">
      <w:pPr>
        <w:pStyle w:val="Default"/>
        <w:tabs>
          <w:tab w:val="left" w:pos="0"/>
        </w:tabs>
        <w:ind w:right="51"/>
        <w:jc w:val="both"/>
        <w:rPr>
          <w:color w:val="4F81BD" w:themeColor="accent1"/>
          <w:sz w:val="20"/>
          <w:szCs w:val="20"/>
        </w:rPr>
      </w:pPr>
      <w:r w:rsidRPr="006464A1">
        <w:rPr>
          <w:rStyle w:val="Refdenotaalpie"/>
          <w:color w:val="4F81BD" w:themeColor="accent1"/>
          <w:sz w:val="20"/>
          <w:szCs w:val="20"/>
        </w:rPr>
        <w:footnoteRef/>
      </w:r>
      <w:r w:rsidRPr="006464A1">
        <w:rPr>
          <w:color w:val="4F81BD" w:themeColor="accent1"/>
          <w:sz w:val="20"/>
          <w:szCs w:val="20"/>
        </w:rPr>
        <w:t xml:space="preserve"> “Artículo 29. En los casos de invasión, perturbación grave de la paz pública, o de cualquier otro que ponga a la sociedad en grave peligro o conflicto, solamente el Presidente de los Estados Unidos Mexicanos, de acuerdo con los titulares de las Secretarías de Estado y la Procuraduría General de la República y con la aprobación del Congreso de la Unión o de la Comisión Permanente cuando aquel no estuviere reunido, podrá restringir o suspender en todo el país o en lugar determinado el ejercicio de los derechos y las garantías que fuesen obstáculo para hacer frente, rápida y fácilmente a la situación; pero deberá hacerlo por un tiempo limitado, por medio de prevenciones generales y sin que la restricción o suspensión se contraiga a determinada persona. Si la restricción o suspensión tuviese lugar hallándose el Congreso reunido, éste concederá las autorizaciones que estime necesarias para que el Ejecutivo haga frente a la situación; pero si se verificase en tiempo de receso, se convocará de inmediato al Congreso para que las acuerde. --- En los decretos que se expidan, no podrá restringirse ni suspenderse el ejercicio de los derechos a la no discriminación, al reconocimiento de la personalidad jurídica, a la vida, a la integridad personal, a la protección a la familia, </w:t>
      </w:r>
      <w:r w:rsidRPr="006464A1">
        <w:rPr>
          <w:b/>
          <w:color w:val="4F81BD" w:themeColor="accent1"/>
          <w:sz w:val="20"/>
          <w:szCs w:val="20"/>
        </w:rPr>
        <w:t>al</w:t>
      </w:r>
      <w:r w:rsidRPr="006464A1">
        <w:rPr>
          <w:color w:val="4F81BD" w:themeColor="accent1"/>
          <w:sz w:val="20"/>
          <w:szCs w:val="20"/>
        </w:rPr>
        <w:t xml:space="preserve"> </w:t>
      </w:r>
      <w:r w:rsidRPr="006464A1">
        <w:rPr>
          <w:b/>
          <w:color w:val="4F81BD" w:themeColor="accent1"/>
          <w:sz w:val="20"/>
          <w:szCs w:val="20"/>
        </w:rPr>
        <w:t>nombre</w:t>
      </w:r>
      <w:r w:rsidRPr="006464A1">
        <w:rPr>
          <w:color w:val="4F81BD" w:themeColor="accent1"/>
          <w:sz w:val="20"/>
          <w:szCs w:val="20"/>
        </w:rPr>
        <w:t>, a la nacionalidad; los derechos de la niñez; los derechos políticos; las libertades de pensamiento, conciencia y de profesar creencia religiosa alguna; el principio de legalidad y retroactividad; la prohibición de la pena de muerte; la prohibición de la esclavitud y la servidumbre; la prohibición de la desaparición forzada y la tortura; ni las garantías judiciales indispensables para la protección de tales derechos. --- […].</w:t>
      </w:r>
      <w:r w:rsidRPr="006464A1">
        <w:rPr>
          <w:b/>
          <w:color w:val="4F81BD" w:themeColor="accent1"/>
          <w:sz w:val="20"/>
          <w:szCs w:val="20"/>
        </w:rPr>
        <w:t>”</w:t>
      </w:r>
    </w:p>
  </w:footnote>
  <w:footnote w:id="7">
    <w:p w:rsidR="000F539E" w:rsidRPr="006464A1" w:rsidRDefault="000F539E" w:rsidP="00B16000">
      <w:pPr>
        <w:tabs>
          <w:tab w:val="left" w:pos="0"/>
          <w:tab w:val="left" w:pos="8789"/>
        </w:tabs>
        <w:spacing w:line="240" w:lineRule="auto"/>
        <w:ind w:right="51"/>
        <w:contextualSpacing/>
        <w:rPr>
          <w:rFonts w:ascii="Arial" w:hAnsi="Arial" w:cs="Arial"/>
          <w:color w:val="4F81BD" w:themeColor="accent1"/>
          <w:sz w:val="20"/>
          <w:szCs w:val="20"/>
          <w:lang w:val="es-ES_tradnl"/>
        </w:rPr>
      </w:pPr>
      <w:r w:rsidRPr="006464A1">
        <w:rPr>
          <w:rStyle w:val="Refdenotaalpie"/>
          <w:rFonts w:ascii="Arial" w:hAnsi="Arial" w:cs="Arial"/>
          <w:color w:val="4F81BD" w:themeColor="accent1"/>
          <w:sz w:val="20"/>
          <w:szCs w:val="20"/>
        </w:rPr>
        <w:footnoteRef/>
      </w:r>
      <w:r w:rsidRPr="006464A1">
        <w:rPr>
          <w:rFonts w:ascii="Arial" w:hAnsi="Arial" w:cs="Arial"/>
          <w:color w:val="4F81BD" w:themeColor="accent1"/>
          <w:sz w:val="20"/>
          <w:szCs w:val="20"/>
        </w:rPr>
        <w:t xml:space="preserve"> </w:t>
      </w:r>
      <w:r w:rsidRPr="006464A1">
        <w:rPr>
          <w:rFonts w:ascii="Arial" w:hAnsi="Arial" w:cs="Arial"/>
          <w:color w:val="4F81BD" w:themeColor="accent1"/>
          <w:sz w:val="20"/>
          <w:szCs w:val="20"/>
          <w:lang w:val="es-ES_tradnl"/>
        </w:rPr>
        <w:t>“Artículo 18. Toda persona tiene derecho a un nombre propio y a los apellidos de sus padres o al de uno de ellos.  La ley reglamentará la forma de asegurar este derecho para todos, mediante nombres supuestos, si fuere necesario.”</w:t>
      </w:r>
    </w:p>
  </w:footnote>
  <w:footnote w:id="8">
    <w:p w:rsidR="000F539E" w:rsidRPr="006464A1" w:rsidRDefault="000F539E" w:rsidP="00B16000">
      <w:pPr>
        <w:pStyle w:val="Textonotapie"/>
        <w:rPr>
          <w:rFonts w:ascii="Arial" w:hAnsi="Arial" w:cs="Arial"/>
          <w:color w:val="4F81BD" w:themeColor="accent1"/>
          <w:lang w:val="es-MX"/>
        </w:rPr>
      </w:pPr>
      <w:r w:rsidRPr="006464A1">
        <w:rPr>
          <w:rStyle w:val="Refdenotaalpie"/>
          <w:rFonts w:ascii="Arial" w:hAnsi="Arial" w:cs="Arial"/>
          <w:color w:val="4F81BD" w:themeColor="accent1"/>
        </w:rPr>
        <w:footnoteRef/>
      </w:r>
      <w:r w:rsidRPr="006464A1">
        <w:rPr>
          <w:rFonts w:ascii="Arial" w:hAnsi="Arial" w:cs="Arial"/>
          <w:color w:val="4F81BD" w:themeColor="accent1"/>
        </w:rPr>
        <w:t xml:space="preserve"> Este mismo derecho se encuentra, además, consagrado en el artículo Pacto Internacional de Derechos Civiles y Políticos: “Artículo 24. --- 1. Todo niño tiene derecho, sin discriminación alguna por motivos de raza, color, sexo, idioma, religión, origen nacional o social, posición económica o nacimiento, a las medidas de protección que su condición de menor requiere, tanto por parte de su familia como de la sociedad y del Estado. --- 2. Todo niño será inscrito inmediatamente después de su nacimiento y deberá tener un nombre. --- 3. Todo niño tiene derecho a adquirir una nacionalidad.”</w:t>
      </w:r>
    </w:p>
  </w:footnote>
  <w:footnote w:id="9">
    <w:p w:rsidR="000F539E" w:rsidRPr="006464A1" w:rsidRDefault="000F539E" w:rsidP="00B16000">
      <w:pPr>
        <w:pStyle w:val="Textonotapie"/>
        <w:rPr>
          <w:rFonts w:ascii="Arial" w:hAnsi="Arial" w:cs="Arial"/>
          <w:color w:val="4F81BD" w:themeColor="accent1"/>
        </w:rPr>
      </w:pPr>
      <w:r>
        <w:rPr>
          <w:rStyle w:val="Refdenotaalpie"/>
          <w:rFonts w:ascii="Arial" w:hAnsi="Arial" w:cs="Arial"/>
        </w:rPr>
        <w:footnoteRef/>
      </w:r>
      <w:r>
        <w:t xml:space="preserve"> </w:t>
      </w:r>
      <w:r w:rsidRPr="006464A1">
        <w:rPr>
          <w:rFonts w:ascii="Arial" w:hAnsi="Arial" w:cs="Arial"/>
          <w:color w:val="4F81BD" w:themeColor="accent1"/>
        </w:rPr>
        <w:t xml:space="preserve">Publicada en el Semanario Judicial de la Federación y su Gaceta, Libro V, Febrero de 2012, Tomo 1, Pág. 653, cuyo texto es: “Conforme a las obligaciones establecidas en el artículo 1o. de la Constitución Política de los Estados Unidos Mexicanos, en relación con el numeral 29 del mismo ordenamiento, se advierte que el sentido y alcance del derecho humano al nombre, a partir de su propio contenido y a la luz de los compromisos internacionales contraídos por el Estado Mexicano en la materia, son el conjunto de signos que constituyen un elemento básico e indispensable de la identidad de cada persona sin el cual no puede ser reconocida por la sociedad; este derecho está integrado por el nombre propio y los apellidos; lo rige el principio de autonomía de la voluntad, pues debe elegirse libremente por la persona misma, los padres o tutores, según sea el momento del registro; y, por tanto, no puede existir algún tipo de restricción ilegal o ilegítima al derecho ni interferencia en la decisión; sin embargo, puede ser objeto de reglamentación estatal, siempre que ésta no lo prive de su contenido esencial; incluye dos dimensiones, la primera, relativa a tener un nombre y, la segunda, concerniente al ejercicio de modificar el dado originalmente por los padres al momento del registro, por lo que, una vez registrada la persona, debe garantizarse la posibilidad de preservar o modificar el nombre y apellido; y, es un derecho no </w:t>
      </w:r>
      <w:proofErr w:type="spellStart"/>
      <w:r w:rsidRPr="006464A1">
        <w:rPr>
          <w:rFonts w:ascii="Arial" w:hAnsi="Arial" w:cs="Arial"/>
          <w:color w:val="4F81BD" w:themeColor="accent1"/>
        </w:rPr>
        <w:t>suspendible</w:t>
      </w:r>
      <w:proofErr w:type="spellEnd"/>
      <w:r w:rsidRPr="006464A1">
        <w:rPr>
          <w:rFonts w:ascii="Arial" w:hAnsi="Arial" w:cs="Arial"/>
          <w:color w:val="4F81BD" w:themeColor="accent1"/>
        </w:rPr>
        <w:t>, incluso en tiempos de excepción. Así, la regulación para el ejercicio del derecho al nombre es constitucional y convencionalmente válida siempre que esté en ley bajo condiciones dignas y justas, y no para establecer límites que en su aplicación equivalgan en la realidad a cancelar su contenido esencial.”</w:t>
      </w:r>
    </w:p>
  </w:footnote>
  <w:footnote w:id="10">
    <w:p w:rsidR="000F539E" w:rsidRPr="002F26F5" w:rsidRDefault="000F539E" w:rsidP="00B16000">
      <w:pPr>
        <w:pStyle w:val="Textonotapie"/>
        <w:rPr>
          <w:rFonts w:ascii="Arial" w:hAnsi="Arial" w:cs="Arial"/>
          <w:color w:val="4F81BD" w:themeColor="accent1"/>
        </w:rPr>
      </w:pPr>
      <w:r w:rsidRPr="006464A1">
        <w:rPr>
          <w:rStyle w:val="Refdenotaalpie"/>
          <w:rFonts w:ascii="Arial" w:hAnsi="Arial" w:cs="Arial"/>
          <w:color w:val="4F81BD" w:themeColor="accent1"/>
        </w:rPr>
        <w:footnoteRef/>
      </w:r>
      <w:r w:rsidRPr="006464A1">
        <w:rPr>
          <w:rFonts w:ascii="Arial" w:hAnsi="Arial" w:cs="Arial"/>
          <w:color w:val="4F81BD" w:themeColor="accent1"/>
        </w:rPr>
        <w:t xml:space="preserve"> Publicada en el Semanario Judicial de la Federación y su Gaceta, Novena Época, Tomo XXX, diciembre de 2009, página 8, cuyo texto es: “El artículo 1o. de la Constitución Política de los Estados Unidos Mexicanos establece que todas las personas son iguales ante la ley, sin que pueda prevalecer discriminación alguna por razones étnicas o de nacionalidad, raza, sexo, religión o cualquier otra condición o circunstancia personal o social que atente contra la dignidad humana y que, junto con los instrumentos internacionales en materia de derechos humanos suscritos por México, reconocen el valor superior de la dignidad humana, es decir, que en el ser humano hay una dignidad que debe ser respetada en todo caso, constituyéndose como un derecho absolutamente fundamental, base y condición de todos los demás, el derecho a ser reconocido y a vivir en y con la dignidad de la persona humana, y del cual se desprenden todos los demás derechos, en cuanto son necesarios para que los individuos desarrollen integralmente su personalidad, dentro de los que se encuentran, entre otros, el derecho a la vida, a la integridad física y psíquica, al honor, a la privacidad, al nombre, a la propia imagen, al libre desarrollo de la personalidad, al estado civil y el propio derecho a la dignidad personal. Además, aun cuando estos </w:t>
      </w:r>
      <w:r w:rsidRPr="002F26F5">
        <w:rPr>
          <w:rFonts w:ascii="Arial" w:hAnsi="Arial" w:cs="Arial"/>
          <w:color w:val="4F81BD" w:themeColor="accent1"/>
        </w:rPr>
        <w:t>derechos personalísimos no se enuncian expresamente en la Constitución General de la República, están implícitos en los tratados internacionales suscritos por México y, en todo caso, deben entenderse como derechos derivados del reconocimiento al derecho a la dignidad humana, pues sólo a través de su pleno respeto podrá hablarse de un ser humano en toda su dignidad.”</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881"/>
      <w:docPartObj>
        <w:docPartGallery w:val="Page Numbers (Top of Page)"/>
        <w:docPartUnique/>
      </w:docPartObj>
    </w:sdtPr>
    <w:sdtContent>
      <w:p w:rsidR="000F539E" w:rsidRDefault="00580704">
        <w:pPr>
          <w:pStyle w:val="Encabezado"/>
          <w:jc w:val="center"/>
        </w:pPr>
        <w:fldSimple w:instr=" PAGE   \* MERGEFORMAT ">
          <w:r w:rsidR="000F539E">
            <w:rPr>
              <w:noProof/>
            </w:rPr>
            <w:t>2</w:t>
          </w:r>
        </w:fldSimple>
      </w:p>
    </w:sdtContent>
  </w:sdt>
  <w:p w:rsidR="000F539E" w:rsidRDefault="000F539E">
    <w:pPr>
      <w:pStyle w:val="Encabezado"/>
    </w:pPr>
    <w:r>
      <w:t>CEGAIP-RR-018/2016-3</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903"/>
      <w:docPartObj>
        <w:docPartGallery w:val="Page Numbers (Top of Page)"/>
        <w:docPartUnique/>
      </w:docPartObj>
    </w:sdtPr>
    <w:sdtContent>
      <w:p w:rsidR="000F539E" w:rsidRDefault="00580704">
        <w:pPr>
          <w:pStyle w:val="Encabezado"/>
          <w:jc w:val="center"/>
        </w:pPr>
        <w:fldSimple w:instr=" PAGE   \* MERGEFORMAT ">
          <w:r w:rsidR="00777B18">
            <w:rPr>
              <w:noProof/>
            </w:rPr>
            <w:t>20</w:t>
          </w:r>
        </w:fldSimple>
      </w:p>
    </w:sdtContent>
  </w:sdt>
  <w:p w:rsidR="000F539E" w:rsidRPr="00EE69A4" w:rsidRDefault="000F539E">
    <w:pPr>
      <w:pStyle w:val="Encabezado"/>
      <w:rPr>
        <w:lang w:val="es-MX"/>
      </w:rPr>
    </w:pPr>
    <w:r>
      <w:rPr>
        <w:lang w:val="es-MX"/>
      </w:rPr>
      <w:t>CEGAIP-RR-039/2018-3</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39E" w:rsidRDefault="000F539E">
    <w:pPr>
      <w:pStyle w:val="Encabezado"/>
      <w:jc w:val="center"/>
    </w:pPr>
  </w:p>
  <w:p w:rsidR="000F539E" w:rsidRDefault="000F539E">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94D62"/>
    <w:multiLevelType w:val="hybridMultilevel"/>
    <w:tmpl w:val="E196DE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20E7028"/>
    <w:multiLevelType w:val="hybridMultilevel"/>
    <w:tmpl w:val="0EF88380"/>
    <w:lvl w:ilvl="0" w:tplc="080A0011">
      <w:start w:val="1"/>
      <w:numFmt w:val="decimal"/>
      <w:lvlText w:val="%1)"/>
      <w:lvlJc w:val="left"/>
      <w:pPr>
        <w:ind w:left="1620" w:hanging="360"/>
      </w:pPr>
    </w:lvl>
    <w:lvl w:ilvl="1" w:tplc="080A0019" w:tentative="1">
      <w:start w:val="1"/>
      <w:numFmt w:val="lowerLetter"/>
      <w:lvlText w:val="%2."/>
      <w:lvlJc w:val="left"/>
      <w:pPr>
        <w:ind w:left="2340" w:hanging="360"/>
      </w:pPr>
    </w:lvl>
    <w:lvl w:ilvl="2" w:tplc="080A001B" w:tentative="1">
      <w:start w:val="1"/>
      <w:numFmt w:val="lowerRoman"/>
      <w:lvlText w:val="%3."/>
      <w:lvlJc w:val="right"/>
      <w:pPr>
        <w:ind w:left="3060" w:hanging="180"/>
      </w:pPr>
    </w:lvl>
    <w:lvl w:ilvl="3" w:tplc="080A000F" w:tentative="1">
      <w:start w:val="1"/>
      <w:numFmt w:val="decimal"/>
      <w:lvlText w:val="%4."/>
      <w:lvlJc w:val="left"/>
      <w:pPr>
        <w:ind w:left="3780" w:hanging="360"/>
      </w:pPr>
    </w:lvl>
    <w:lvl w:ilvl="4" w:tplc="080A0019" w:tentative="1">
      <w:start w:val="1"/>
      <w:numFmt w:val="lowerLetter"/>
      <w:lvlText w:val="%5."/>
      <w:lvlJc w:val="left"/>
      <w:pPr>
        <w:ind w:left="4500" w:hanging="360"/>
      </w:pPr>
    </w:lvl>
    <w:lvl w:ilvl="5" w:tplc="080A001B" w:tentative="1">
      <w:start w:val="1"/>
      <w:numFmt w:val="lowerRoman"/>
      <w:lvlText w:val="%6."/>
      <w:lvlJc w:val="right"/>
      <w:pPr>
        <w:ind w:left="5220" w:hanging="180"/>
      </w:pPr>
    </w:lvl>
    <w:lvl w:ilvl="6" w:tplc="080A000F" w:tentative="1">
      <w:start w:val="1"/>
      <w:numFmt w:val="decimal"/>
      <w:lvlText w:val="%7."/>
      <w:lvlJc w:val="left"/>
      <w:pPr>
        <w:ind w:left="5940" w:hanging="360"/>
      </w:pPr>
    </w:lvl>
    <w:lvl w:ilvl="7" w:tplc="080A0019" w:tentative="1">
      <w:start w:val="1"/>
      <w:numFmt w:val="lowerLetter"/>
      <w:lvlText w:val="%8."/>
      <w:lvlJc w:val="left"/>
      <w:pPr>
        <w:ind w:left="6660" w:hanging="360"/>
      </w:pPr>
    </w:lvl>
    <w:lvl w:ilvl="8" w:tplc="080A001B" w:tentative="1">
      <w:start w:val="1"/>
      <w:numFmt w:val="lowerRoman"/>
      <w:lvlText w:val="%9."/>
      <w:lvlJc w:val="right"/>
      <w:pPr>
        <w:ind w:left="7380" w:hanging="180"/>
      </w:pPr>
    </w:lvl>
  </w:abstractNum>
  <w:abstractNum w:abstractNumId="2">
    <w:nsid w:val="059302D5"/>
    <w:multiLevelType w:val="hybridMultilevel"/>
    <w:tmpl w:val="A198DAD0"/>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3">
    <w:nsid w:val="0FB95E26"/>
    <w:multiLevelType w:val="hybridMultilevel"/>
    <w:tmpl w:val="4E544E9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12601208"/>
    <w:multiLevelType w:val="hybridMultilevel"/>
    <w:tmpl w:val="F0E4E718"/>
    <w:lvl w:ilvl="0" w:tplc="F5AC49BA">
      <w:start w:val="1"/>
      <w:numFmt w:val="upperRoman"/>
      <w:lvlText w:val="%1."/>
      <w:lvlJc w:val="left"/>
      <w:pPr>
        <w:ind w:left="2340" w:hanging="720"/>
      </w:pPr>
      <w:rPr>
        <w:rFonts w:hint="default"/>
      </w:rPr>
    </w:lvl>
    <w:lvl w:ilvl="1" w:tplc="080A0019" w:tentative="1">
      <w:start w:val="1"/>
      <w:numFmt w:val="lowerLetter"/>
      <w:lvlText w:val="%2."/>
      <w:lvlJc w:val="left"/>
      <w:pPr>
        <w:ind w:left="2700" w:hanging="360"/>
      </w:pPr>
    </w:lvl>
    <w:lvl w:ilvl="2" w:tplc="080A001B" w:tentative="1">
      <w:start w:val="1"/>
      <w:numFmt w:val="lowerRoman"/>
      <w:lvlText w:val="%3."/>
      <w:lvlJc w:val="right"/>
      <w:pPr>
        <w:ind w:left="3420" w:hanging="180"/>
      </w:pPr>
    </w:lvl>
    <w:lvl w:ilvl="3" w:tplc="080A000F" w:tentative="1">
      <w:start w:val="1"/>
      <w:numFmt w:val="decimal"/>
      <w:lvlText w:val="%4."/>
      <w:lvlJc w:val="left"/>
      <w:pPr>
        <w:ind w:left="4140" w:hanging="360"/>
      </w:pPr>
    </w:lvl>
    <w:lvl w:ilvl="4" w:tplc="080A0019" w:tentative="1">
      <w:start w:val="1"/>
      <w:numFmt w:val="lowerLetter"/>
      <w:lvlText w:val="%5."/>
      <w:lvlJc w:val="left"/>
      <w:pPr>
        <w:ind w:left="4860" w:hanging="360"/>
      </w:pPr>
    </w:lvl>
    <w:lvl w:ilvl="5" w:tplc="080A001B" w:tentative="1">
      <w:start w:val="1"/>
      <w:numFmt w:val="lowerRoman"/>
      <w:lvlText w:val="%6."/>
      <w:lvlJc w:val="right"/>
      <w:pPr>
        <w:ind w:left="5580" w:hanging="180"/>
      </w:pPr>
    </w:lvl>
    <w:lvl w:ilvl="6" w:tplc="080A000F" w:tentative="1">
      <w:start w:val="1"/>
      <w:numFmt w:val="decimal"/>
      <w:lvlText w:val="%7."/>
      <w:lvlJc w:val="left"/>
      <w:pPr>
        <w:ind w:left="6300" w:hanging="360"/>
      </w:pPr>
    </w:lvl>
    <w:lvl w:ilvl="7" w:tplc="080A0019" w:tentative="1">
      <w:start w:val="1"/>
      <w:numFmt w:val="lowerLetter"/>
      <w:lvlText w:val="%8."/>
      <w:lvlJc w:val="left"/>
      <w:pPr>
        <w:ind w:left="7020" w:hanging="360"/>
      </w:pPr>
    </w:lvl>
    <w:lvl w:ilvl="8" w:tplc="080A001B" w:tentative="1">
      <w:start w:val="1"/>
      <w:numFmt w:val="lowerRoman"/>
      <w:lvlText w:val="%9."/>
      <w:lvlJc w:val="right"/>
      <w:pPr>
        <w:ind w:left="7740" w:hanging="180"/>
      </w:pPr>
    </w:lvl>
  </w:abstractNum>
  <w:abstractNum w:abstractNumId="5">
    <w:nsid w:val="12A61C8D"/>
    <w:multiLevelType w:val="hybridMultilevel"/>
    <w:tmpl w:val="94865F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B926684"/>
    <w:multiLevelType w:val="hybridMultilevel"/>
    <w:tmpl w:val="2A0A0D2A"/>
    <w:lvl w:ilvl="0" w:tplc="080A0003">
      <w:start w:val="1"/>
      <w:numFmt w:val="bullet"/>
      <w:lvlText w:val="o"/>
      <w:lvlJc w:val="left"/>
      <w:pPr>
        <w:ind w:left="1287" w:hanging="360"/>
      </w:pPr>
      <w:rPr>
        <w:rFonts w:ascii="Courier New" w:hAnsi="Courier New" w:cs="Courier New"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7">
    <w:nsid w:val="26873031"/>
    <w:multiLevelType w:val="hybridMultilevel"/>
    <w:tmpl w:val="523AF520"/>
    <w:lvl w:ilvl="0" w:tplc="8CAE5BD4">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2AB92AEF"/>
    <w:multiLevelType w:val="hybridMultilevel"/>
    <w:tmpl w:val="E57EA538"/>
    <w:lvl w:ilvl="0" w:tplc="5970B1A8">
      <w:start w:val="1"/>
      <w:numFmt w:val="decimal"/>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9">
    <w:nsid w:val="2F657BA3"/>
    <w:multiLevelType w:val="hybridMultilevel"/>
    <w:tmpl w:val="EB80514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2FA059B5"/>
    <w:multiLevelType w:val="hybridMultilevel"/>
    <w:tmpl w:val="948A071E"/>
    <w:lvl w:ilvl="0" w:tplc="080A000F">
      <w:start w:val="1"/>
      <w:numFmt w:val="decimal"/>
      <w:lvlText w:val="%1."/>
      <w:lvlJc w:val="left"/>
      <w:pPr>
        <w:ind w:left="1693" w:hanging="360"/>
      </w:pPr>
    </w:lvl>
    <w:lvl w:ilvl="1" w:tplc="080A0019" w:tentative="1">
      <w:start w:val="1"/>
      <w:numFmt w:val="lowerLetter"/>
      <w:lvlText w:val="%2."/>
      <w:lvlJc w:val="left"/>
      <w:pPr>
        <w:ind w:left="2413" w:hanging="360"/>
      </w:pPr>
    </w:lvl>
    <w:lvl w:ilvl="2" w:tplc="080A001B" w:tentative="1">
      <w:start w:val="1"/>
      <w:numFmt w:val="lowerRoman"/>
      <w:lvlText w:val="%3."/>
      <w:lvlJc w:val="right"/>
      <w:pPr>
        <w:ind w:left="3133" w:hanging="180"/>
      </w:pPr>
    </w:lvl>
    <w:lvl w:ilvl="3" w:tplc="080A000F" w:tentative="1">
      <w:start w:val="1"/>
      <w:numFmt w:val="decimal"/>
      <w:lvlText w:val="%4."/>
      <w:lvlJc w:val="left"/>
      <w:pPr>
        <w:ind w:left="3853" w:hanging="360"/>
      </w:pPr>
    </w:lvl>
    <w:lvl w:ilvl="4" w:tplc="080A0019" w:tentative="1">
      <w:start w:val="1"/>
      <w:numFmt w:val="lowerLetter"/>
      <w:lvlText w:val="%5."/>
      <w:lvlJc w:val="left"/>
      <w:pPr>
        <w:ind w:left="4573" w:hanging="360"/>
      </w:pPr>
    </w:lvl>
    <w:lvl w:ilvl="5" w:tplc="080A001B" w:tentative="1">
      <w:start w:val="1"/>
      <w:numFmt w:val="lowerRoman"/>
      <w:lvlText w:val="%6."/>
      <w:lvlJc w:val="right"/>
      <w:pPr>
        <w:ind w:left="5293" w:hanging="180"/>
      </w:pPr>
    </w:lvl>
    <w:lvl w:ilvl="6" w:tplc="080A000F" w:tentative="1">
      <w:start w:val="1"/>
      <w:numFmt w:val="decimal"/>
      <w:lvlText w:val="%7."/>
      <w:lvlJc w:val="left"/>
      <w:pPr>
        <w:ind w:left="6013" w:hanging="360"/>
      </w:pPr>
    </w:lvl>
    <w:lvl w:ilvl="7" w:tplc="080A0019" w:tentative="1">
      <w:start w:val="1"/>
      <w:numFmt w:val="lowerLetter"/>
      <w:lvlText w:val="%8."/>
      <w:lvlJc w:val="left"/>
      <w:pPr>
        <w:ind w:left="6733" w:hanging="360"/>
      </w:pPr>
    </w:lvl>
    <w:lvl w:ilvl="8" w:tplc="080A001B" w:tentative="1">
      <w:start w:val="1"/>
      <w:numFmt w:val="lowerRoman"/>
      <w:lvlText w:val="%9."/>
      <w:lvlJc w:val="right"/>
      <w:pPr>
        <w:ind w:left="7453" w:hanging="180"/>
      </w:pPr>
    </w:lvl>
  </w:abstractNum>
  <w:abstractNum w:abstractNumId="11">
    <w:nsid w:val="350D00B5"/>
    <w:multiLevelType w:val="hybridMultilevel"/>
    <w:tmpl w:val="99FE20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A2C6637"/>
    <w:multiLevelType w:val="hybridMultilevel"/>
    <w:tmpl w:val="0EF88380"/>
    <w:lvl w:ilvl="0" w:tplc="080A0011">
      <w:start w:val="1"/>
      <w:numFmt w:val="decimal"/>
      <w:lvlText w:val="%1)"/>
      <w:lvlJc w:val="left"/>
      <w:pPr>
        <w:ind w:left="1620" w:hanging="360"/>
      </w:pPr>
    </w:lvl>
    <w:lvl w:ilvl="1" w:tplc="080A0019" w:tentative="1">
      <w:start w:val="1"/>
      <w:numFmt w:val="lowerLetter"/>
      <w:lvlText w:val="%2."/>
      <w:lvlJc w:val="left"/>
      <w:pPr>
        <w:ind w:left="2340" w:hanging="360"/>
      </w:pPr>
    </w:lvl>
    <w:lvl w:ilvl="2" w:tplc="080A001B" w:tentative="1">
      <w:start w:val="1"/>
      <w:numFmt w:val="lowerRoman"/>
      <w:lvlText w:val="%3."/>
      <w:lvlJc w:val="right"/>
      <w:pPr>
        <w:ind w:left="3060" w:hanging="180"/>
      </w:pPr>
    </w:lvl>
    <w:lvl w:ilvl="3" w:tplc="080A000F" w:tentative="1">
      <w:start w:val="1"/>
      <w:numFmt w:val="decimal"/>
      <w:lvlText w:val="%4."/>
      <w:lvlJc w:val="left"/>
      <w:pPr>
        <w:ind w:left="3780" w:hanging="360"/>
      </w:pPr>
    </w:lvl>
    <w:lvl w:ilvl="4" w:tplc="080A0019" w:tentative="1">
      <w:start w:val="1"/>
      <w:numFmt w:val="lowerLetter"/>
      <w:lvlText w:val="%5."/>
      <w:lvlJc w:val="left"/>
      <w:pPr>
        <w:ind w:left="4500" w:hanging="360"/>
      </w:pPr>
    </w:lvl>
    <w:lvl w:ilvl="5" w:tplc="080A001B" w:tentative="1">
      <w:start w:val="1"/>
      <w:numFmt w:val="lowerRoman"/>
      <w:lvlText w:val="%6."/>
      <w:lvlJc w:val="right"/>
      <w:pPr>
        <w:ind w:left="5220" w:hanging="180"/>
      </w:pPr>
    </w:lvl>
    <w:lvl w:ilvl="6" w:tplc="080A000F" w:tentative="1">
      <w:start w:val="1"/>
      <w:numFmt w:val="decimal"/>
      <w:lvlText w:val="%7."/>
      <w:lvlJc w:val="left"/>
      <w:pPr>
        <w:ind w:left="5940" w:hanging="360"/>
      </w:pPr>
    </w:lvl>
    <w:lvl w:ilvl="7" w:tplc="080A0019" w:tentative="1">
      <w:start w:val="1"/>
      <w:numFmt w:val="lowerLetter"/>
      <w:lvlText w:val="%8."/>
      <w:lvlJc w:val="left"/>
      <w:pPr>
        <w:ind w:left="6660" w:hanging="360"/>
      </w:pPr>
    </w:lvl>
    <w:lvl w:ilvl="8" w:tplc="080A001B" w:tentative="1">
      <w:start w:val="1"/>
      <w:numFmt w:val="lowerRoman"/>
      <w:lvlText w:val="%9."/>
      <w:lvlJc w:val="right"/>
      <w:pPr>
        <w:ind w:left="7380" w:hanging="180"/>
      </w:pPr>
    </w:lvl>
  </w:abstractNum>
  <w:abstractNum w:abstractNumId="13">
    <w:nsid w:val="3B7F3FE2"/>
    <w:multiLevelType w:val="hybridMultilevel"/>
    <w:tmpl w:val="A7FC0084"/>
    <w:lvl w:ilvl="0" w:tplc="25BE3DBC">
      <w:start w:val="1"/>
      <w:numFmt w:val="upperRoman"/>
      <w:lvlText w:val="%1."/>
      <w:lvlJc w:val="left"/>
      <w:pPr>
        <w:ind w:left="1620" w:hanging="72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14">
    <w:nsid w:val="3C682739"/>
    <w:multiLevelType w:val="hybridMultilevel"/>
    <w:tmpl w:val="BD8088E4"/>
    <w:lvl w:ilvl="0" w:tplc="080A0001">
      <w:start w:val="1"/>
      <w:numFmt w:val="bullet"/>
      <w:lvlText w:val=""/>
      <w:lvlJc w:val="left"/>
      <w:pPr>
        <w:ind w:left="1548" w:hanging="360"/>
      </w:pPr>
      <w:rPr>
        <w:rFonts w:ascii="Symbol" w:hAnsi="Symbol" w:hint="default"/>
      </w:rPr>
    </w:lvl>
    <w:lvl w:ilvl="1" w:tplc="080A0003" w:tentative="1">
      <w:start w:val="1"/>
      <w:numFmt w:val="bullet"/>
      <w:lvlText w:val="o"/>
      <w:lvlJc w:val="left"/>
      <w:pPr>
        <w:ind w:left="2268" w:hanging="360"/>
      </w:pPr>
      <w:rPr>
        <w:rFonts w:ascii="Courier New" w:hAnsi="Courier New" w:cs="Courier New" w:hint="default"/>
      </w:rPr>
    </w:lvl>
    <w:lvl w:ilvl="2" w:tplc="080A0005" w:tentative="1">
      <w:start w:val="1"/>
      <w:numFmt w:val="bullet"/>
      <w:lvlText w:val=""/>
      <w:lvlJc w:val="left"/>
      <w:pPr>
        <w:ind w:left="2988" w:hanging="360"/>
      </w:pPr>
      <w:rPr>
        <w:rFonts w:ascii="Wingdings" w:hAnsi="Wingdings" w:hint="default"/>
      </w:rPr>
    </w:lvl>
    <w:lvl w:ilvl="3" w:tplc="080A0001" w:tentative="1">
      <w:start w:val="1"/>
      <w:numFmt w:val="bullet"/>
      <w:lvlText w:val=""/>
      <w:lvlJc w:val="left"/>
      <w:pPr>
        <w:ind w:left="3708" w:hanging="360"/>
      </w:pPr>
      <w:rPr>
        <w:rFonts w:ascii="Symbol" w:hAnsi="Symbol" w:hint="default"/>
      </w:rPr>
    </w:lvl>
    <w:lvl w:ilvl="4" w:tplc="080A0003" w:tentative="1">
      <w:start w:val="1"/>
      <w:numFmt w:val="bullet"/>
      <w:lvlText w:val="o"/>
      <w:lvlJc w:val="left"/>
      <w:pPr>
        <w:ind w:left="4428" w:hanging="360"/>
      </w:pPr>
      <w:rPr>
        <w:rFonts w:ascii="Courier New" w:hAnsi="Courier New" w:cs="Courier New" w:hint="default"/>
      </w:rPr>
    </w:lvl>
    <w:lvl w:ilvl="5" w:tplc="080A0005" w:tentative="1">
      <w:start w:val="1"/>
      <w:numFmt w:val="bullet"/>
      <w:lvlText w:val=""/>
      <w:lvlJc w:val="left"/>
      <w:pPr>
        <w:ind w:left="5148" w:hanging="360"/>
      </w:pPr>
      <w:rPr>
        <w:rFonts w:ascii="Wingdings" w:hAnsi="Wingdings" w:hint="default"/>
      </w:rPr>
    </w:lvl>
    <w:lvl w:ilvl="6" w:tplc="080A0001" w:tentative="1">
      <w:start w:val="1"/>
      <w:numFmt w:val="bullet"/>
      <w:lvlText w:val=""/>
      <w:lvlJc w:val="left"/>
      <w:pPr>
        <w:ind w:left="5868" w:hanging="360"/>
      </w:pPr>
      <w:rPr>
        <w:rFonts w:ascii="Symbol" w:hAnsi="Symbol" w:hint="default"/>
      </w:rPr>
    </w:lvl>
    <w:lvl w:ilvl="7" w:tplc="080A0003" w:tentative="1">
      <w:start w:val="1"/>
      <w:numFmt w:val="bullet"/>
      <w:lvlText w:val="o"/>
      <w:lvlJc w:val="left"/>
      <w:pPr>
        <w:ind w:left="6588" w:hanging="360"/>
      </w:pPr>
      <w:rPr>
        <w:rFonts w:ascii="Courier New" w:hAnsi="Courier New" w:cs="Courier New" w:hint="default"/>
      </w:rPr>
    </w:lvl>
    <w:lvl w:ilvl="8" w:tplc="080A0005" w:tentative="1">
      <w:start w:val="1"/>
      <w:numFmt w:val="bullet"/>
      <w:lvlText w:val=""/>
      <w:lvlJc w:val="left"/>
      <w:pPr>
        <w:ind w:left="7308" w:hanging="360"/>
      </w:pPr>
      <w:rPr>
        <w:rFonts w:ascii="Wingdings" w:hAnsi="Wingdings" w:hint="default"/>
      </w:rPr>
    </w:lvl>
  </w:abstractNum>
  <w:abstractNum w:abstractNumId="15">
    <w:nsid w:val="3FED1AF9"/>
    <w:multiLevelType w:val="hybridMultilevel"/>
    <w:tmpl w:val="09C2A20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6">
    <w:nsid w:val="45B16743"/>
    <w:multiLevelType w:val="hybridMultilevel"/>
    <w:tmpl w:val="737CC3B0"/>
    <w:lvl w:ilvl="0" w:tplc="CBEEFAFE">
      <w:start w:val="1"/>
      <w:numFmt w:val="decimal"/>
      <w:lvlText w:val="%1."/>
      <w:lvlJc w:val="left"/>
      <w:pPr>
        <w:tabs>
          <w:tab w:val="num" w:pos="720"/>
        </w:tabs>
        <w:ind w:left="720" w:hanging="360"/>
      </w:pPr>
    </w:lvl>
    <w:lvl w:ilvl="1" w:tplc="8AD453F6" w:tentative="1">
      <w:start w:val="1"/>
      <w:numFmt w:val="decimal"/>
      <w:lvlText w:val="%2."/>
      <w:lvlJc w:val="left"/>
      <w:pPr>
        <w:tabs>
          <w:tab w:val="num" w:pos="1440"/>
        </w:tabs>
        <w:ind w:left="1440" w:hanging="360"/>
      </w:pPr>
    </w:lvl>
    <w:lvl w:ilvl="2" w:tplc="947A7086" w:tentative="1">
      <w:start w:val="1"/>
      <w:numFmt w:val="decimal"/>
      <w:lvlText w:val="%3."/>
      <w:lvlJc w:val="left"/>
      <w:pPr>
        <w:tabs>
          <w:tab w:val="num" w:pos="2160"/>
        </w:tabs>
        <w:ind w:left="2160" w:hanging="360"/>
      </w:pPr>
    </w:lvl>
    <w:lvl w:ilvl="3" w:tplc="21CE55F4" w:tentative="1">
      <w:start w:val="1"/>
      <w:numFmt w:val="decimal"/>
      <w:lvlText w:val="%4."/>
      <w:lvlJc w:val="left"/>
      <w:pPr>
        <w:tabs>
          <w:tab w:val="num" w:pos="2880"/>
        </w:tabs>
        <w:ind w:left="2880" w:hanging="360"/>
      </w:pPr>
    </w:lvl>
    <w:lvl w:ilvl="4" w:tplc="D6A03E3C" w:tentative="1">
      <w:start w:val="1"/>
      <w:numFmt w:val="decimal"/>
      <w:lvlText w:val="%5."/>
      <w:lvlJc w:val="left"/>
      <w:pPr>
        <w:tabs>
          <w:tab w:val="num" w:pos="3600"/>
        </w:tabs>
        <w:ind w:left="3600" w:hanging="360"/>
      </w:pPr>
    </w:lvl>
    <w:lvl w:ilvl="5" w:tplc="F2AC402E" w:tentative="1">
      <w:start w:val="1"/>
      <w:numFmt w:val="decimal"/>
      <w:lvlText w:val="%6."/>
      <w:lvlJc w:val="left"/>
      <w:pPr>
        <w:tabs>
          <w:tab w:val="num" w:pos="4320"/>
        </w:tabs>
        <w:ind w:left="4320" w:hanging="360"/>
      </w:pPr>
    </w:lvl>
    <w:lvl w:ilvl="6" w:tplc="AA8C3E22" w:tentative="1">
      <w:start w:val="1"/>
      <w:numFmt w:val="decimal"/>
      <w:lvlText w:val="%7."/>
      <w:lvlJc w:val="left"/>
      <w:pPr>
        <w:tabs>
          <w:tab w:val="num" w:pos="5040"/>
        </w:tabs>
        <w:ind w:left="5040" w:hanging="360"/>
      </w:pPr>
    </w:lvl>
    <w:lvl w:ilvl="7" w:tplc="F42E0B50" w:tentative="1">
      <w:start w:val="1"/>
      <w:numFmt w:val="decimal"/>
      <w:lvlText w:val="%8."/>
      <w:lvlJc w:val="left"/>
      <w:pPr>
        <w:tabs>
          <w:tab w:val="num" w:pos="5760"/>
        </w:tabs>
        <w:ind w:left="5760" w:hanging="360"/>
      </w:pPr>
    </w:lvl>
    <w:lvl w:ilvl="8" w:tplc="4EEE54D4" w:tentative="1">
      <w:start w:val="1"/>
      <w:numFmt w:val="decimal"/>
      <w:lvlText w:val="%9."/>
      <w:lvlJc w:val="left"/>
      <w:pPr>
        <w:tabs>
          <w:tab w:val="num" w:pos="6480"/>
        </w:tabs>
        <w:ind w:left="6480" w:hanging="360"/>
      </w:pPr>
    </w:lvl>
  </w:abstractNum>
  <w:abstractNum w:abstractNumId="17">
    <w:nsid w:val="51E34768"/>
    <w:multiLevelType w:val="hybridMultilevel"/>
    <w:tmpl w:val="417EF5D2"/>
    <w:lvl w:ilvl="0" w:tplc="056661B8">
      <w:start w:val="1"/>
      <w:numFmt w:val="decimal"/>
      <w:lvlText w:val="%1."/>
      <w:lvlJc w:val="left"/>
      <w:pPr>
        <w:tabs>
          <w:tab w:val="num" w:pos="720"/>
        </w:tabs>
        <w:ind w:left="720" w:hanging="360"/>
      </w:pPr>
    </w:lvl>
    <w:lvl w:ilvl="1" w:tplc="5B1E1CF0" w:tentative="1">
      <w:start w:val="1"/>
      <w:numFmt w:val="decimal"/>
      <w:lvlText w:val="%2."/>
      <w:lvlJc w:val="left"/>
      <w:pPr>
        <w:tabs>
          <w:tab w:val="num" w:pos="1440"/>
        </w:tabs>
        <w:ind w:left="1440" w:hanging="360"/>
      </w:pPr>
    </w:lvl>
    <w:lvl w:ilvl="2" w:tplc="A80089C6" w:tentative="1">
      <w:start w:val="1"/>
      <w:numFmt w:val="decimal"/>
      <w:lvlText w:val="%3."/>
      <w:lvlJc w:val="left"/>
      <w:pPr>
        <w:tabs>
          <w:tab w:val="num" w:pos="2160"/>
        </w:tabs>
        <w:ind w:left="2160" w:hanging="360"/>
      </w:pPr>
    </w:lvl>
    <w:lvl w:ilvl="3" w:tplc="1AB28644" w:tentative="1">
      <w:start w:val="1"/>
      <w:numFmt w:val="decimal"/>
      <w:lvlText w:val="%4."/>
      <w:lvlJc w:val="left"/>
      <w:pPr>
        <w:tabs>
          <w:tab w:val="num" w:pos="2880"/>
        </w:tabs>
        <w:ind w:left="2880" w:hanging="360"/>
      </w:pPr>
    </w:lvl>
    <w:lvl w:ilvl="4" w:tplc="58FACEF4" w:tentative="1">
      <w:start w:val="1"/>
      <w:numFmt w:val="decimal"/>
      <w:lvlText w:val="%5."/>
      <w:lvlJc w:val="left"/>
      <w:pPr>
        <w:tabs>
          <w:tab w:val="num" w:pos="3600"/>
        </w:tabs>
        <w:ind w:left="3600" w:hanging="360"/>
      </w:pPr>
    </w:lvl>
    <w:lvl w:ilvl="5" w:tplc="F3968B9A" w:tentative="1">
      <w:start w:val="1"/>
      <w:numFmt w:val="decimal"/>
      <w:lvlText w:val="%6."/>
      <w:lvlJc w:val="left"/>
      <w:pPr>
        <w:tabs>
          <w:tab w:val="num" w:pos="4320"/>
        </w:tabs>
        <w:ind w:left="4320" w:hanging="360"/>
      </w:pPr>
    </w:lvl>
    <w:lvl w:ilvl="6" w:tplc="3218508A" w:tentative="1">
      <w:start w:val="1"/>
      <w:numFmt w:val="decimal"/>
      <w:lvlText w:val="%7."/>
      <w:lvlJc w:val="left"/>
      <w:pPr>
        <w:tabs>
          <w:tab w:val="num" w:pos="5040"/>
        </w:tabs>
        <w:ind w:left="5040" w:hanging="360"/>
      </w:pPr>
    </w:lvl>
    <w:lvl w:ilvl="7" w:tplc="39C6F2F0" w:tentative="1">
      <w:start w:val="1"/>
      <w:numFmt w:val="decimal"/>
      <w:lvlText w:val="%8."/>
      <w:lvlJc w:val="left"/>
      <w:pPr>
        <w:tabs>
          <w:tab w:val="num" w:pos="5760"/>
        </w:tabs>
        <w:ind w:left="5760" w:hanging="360"/>
      </w:pPr>
    </w:lvl>
    <w:lvl w:ilvl="8" w:tplc="7430EE6E" w:tentative="1">
      <w:start w:val="1"/>
      <w:numFmt w:val="decimal"/>
      <w:lvlText w:val="%9."/>
      <w:lvlJc w:val="left"/>
      <w:pPr>
        <w:tabs>
          <w:tab w:val="num" w:pos="6480"/>
        </w:tabs>
        <w:ind w:left="6480" w:hanging="360"/>
      </w:pPr>
    </w:lvl>
  </w:abstractNum>
  <w:abstractNum w:abstractNumId="18">
    <w:nsid w:val="5B0F0E31"/>
    <w:multiLevelType w:val="hybridMultilevel"/>
    <w:tmpl w:val="30B4C71C"/>
    <w:lvl w:ilvl="0" w:tplc="080A0017">
      <w:start w:val="1"/>
      <w:numFmt w:val="lowerLetter"/>
      <w:lvlText w:val="%1)"/>
      <w:lvlJc w:val="left"/>
      <w:pPr>
        <w:ind w:left="1620" w:hanging="360"/>
      </w:pPr>
    </w:lvl>
    <w:lvl w:ilvl="1" w:tplc="080A0019" w:tentative="1">
      <w:start w:val="1"/>
      <w:numFmt w:val="lowerLetter"/>
      <w:lvlText w:val="%2."/>
      <w:lvlJc w:val="left"/>
      <w:pPr>
        <w:ind w:left="2340" w:hanging="360"/>
      </w:pPr>
    </w:lvl>
    <w:lvl w:ilvl="2" w:tplc="080A001B" w:tentative="1">
      <w:start w:val="1"/>
      <w:numFmt w:val="lowerRoman"/>
      <w:lvlText w:val="%3."/>
      <w:lvlJc w:val="right"/>
      <w:pPr>
        <w:ind w:left="3060" w:hanging="180"/>
      </w:pPr>
    </w:lvl>
    <w:lvl w:ilvl="3" w:tplc="080A000F" w:tentative="1">
      <w:start w:val="1"/>
      <w:numFmt w:val="decimal"/>
      <w:lvlText w:val="%4."/>
      <w:lvlJc w:val="left"/>
      <w:pPr>
        <w:ind w:left="3780" w:hanging="360"/>
      </w:pPr>
    </w:lvl>
    <w:lvl w:ilvl="4" w:tplc="080A0019" w:tentative="1">
      <w:start w:val="1"/>
      <w:numFmt w:val="lowerLetter"/>
      <w:lvlText w:val="%5."/>
      <w:lvlJc w:val="left"/>
      <w:pPr>
        <w:ind w:left="4500" w:hanging="360"/>
      </w:pPr>
    </w:lvl>
    <w:lvl w:ilvl="5" w:tplc="080A001B" w:tentative="1">
      <w:start w:val="1"/>
      <w:numFmt w:val="lowerRoman"/>
      <w:lvlText w:val="%6."/>
      <w:lvlJc w:val="right"/>
      <w:pPr>
        <w:ind w:left="5220" w:hanging="180"/>
      </w:pPr>
    </w:lvl>
    <w:lvl w:ilvl="6" w:tplc="080A000F" w:tentative="1">
      <w:start w:val="1"/>
      <w:numFmt w:val="decimal"/>
      <w:lvlText w:val="%7."/>
      <w:lvlJc w:val="left"/>
      <w:pPr>
        <w:ind w:left="5940" w:hanging="360"/>
      </w:pPr>
    </w:lvl>
    <w:lvl w:ilvl="7" w:tplc="080A0019" w:tentative="1">
      <w:start w:val="1"/>
      <w:numFmt w:val="lowerLetter"/>
      <w:lvlText w:val="%8."/>
      <w:lvlJc w:val="left"/>
      <w:pPr>
        <w:ind w:left="6660" w:hanging="360"/>
      </w:pPr>
    </w:lvl>
    <w:lvl w:ilvl="8" w:tplc="080A001B" w:tentative="1">
      <w:start w:val="1"/>
      <w:numFmt w:val="lowerRoman"/>
      <w:lvlText w:val="%9."/>
      <w:lvlJc w:val="right"/>
      <w:pPr>
        <w:ind w:left="7380" w:hanging="180"/>
      </w:pPr>
    </w:lvl>
  </w:abstractNum>
  <w:abstractNum w:abstractNumId="19">
    <w:nsid w:val="67C371ED"/>
    <w:multiLevelType w:val="hybridMultilevel"/>
    <w:tmpl w:val="0FDA9CC6"/>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69507CDE"/>
    <w:multiLevelType w:val="hybridMultilevel"/>
    <w:tmpl w:val="32EAA78A"/>
    <w:lvl w:ilvl="0" w:tplc="080A0011">
      <w:start w:val="1"/>
      <w:numFmt w:val="decimal"/>
      <w:lvlText w:val="%1)"/>
      <w:lvlJc w:val="left"/>
      <w:pPr>
        <w:ind w:left="1068" w:hanging="360"/>
      </w:p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1">
    <w:nsid w:val="713257A7"/>
    <w:multiLevelType w:val="hybridMultilevel"/>
    <w:tmpl w:val="C0B22444"/>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2">
    <w:nsid w:val="75EB7F57"/>
    <w:multiLevelType w:val="hybridMultilevel"/>
    <w:tmpl w:val="045483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76F726A6"/>
    <w:multiLevelType w:val="hybridMultilevel"/>
    <w:tmpl w:val="3E607B36"/>
    <w:lvl w:ilvl="0" w:tplc="BB60C60C">
      <w:start w:val="1"/>
      <w:numFmt w:val="decimal"/>
      <w:lvlText w:val="%1."/>
      <w:lvlJc w:val="left"/>
      <w:pPr>
        <w:ind w:left="140" w:hanging="360"/>
      </w:pPr>
      <w:rPr>
        <w:rFonts w:hint="default"/>
      </w:rPr>
    </w:lvl>
    <w:lvl w:ilvl="1" w:tplc="080A0019" w:tentative="1">
      <w:start w:val="1"/>
      <w:numFmt w:val="lowerLetter"/>
      <w:lvlText w:val="%2."/>
      <w:lvlJc w:val="left"/>
      <w:pPr>
        <w:ind w:left="860" w:hanging="360"/>
      </w:pPr>
    </w:lvl>
    <w:lvl w:ilvl="2" w:tplc="080A001B" w:tentative="1">
      <w:start w:val="1"/>
      <w:numFmt w:val="lowerRoman"/>
      <w:lvlText w:val="%3."/>
      <w:lvlJc w:val="right"/>
      <w:pPr>
        <w:ind w:left="1580" w:hanging="180"/>
      </w:pPr>
    </w:lvl>
    <w:lvl w:ilvl="3" w:tplc="080A000F" w:tentative="1">
      <w:start w:val="1"/>
      <w:numFmt w:val="decimal"/>
      <w:lvlText w:val="%4."/>
      <w:lvlJc w:val="left"/>
      <w:pPr>
        <w:ind w:left="2300" w:hanging="360"/>
      </w:pPr>
    </w:lvl>
    <w:lvl w:ilvl="4" w:tplc="080A0019" w:tentative="1">
      <w:start w:val="1"/>
      <w:numFmt w:val="lowerLetter"/>
      <w:lvlText w:val="%5."/>
      <w:lvlJc w:val="left"/>
      <w:pPr>
        <w:ind w:left="3020" w:hanging="360"/>
      </w:pPr>
    </w:lvl>
    <w:lvl w:ilvl="5" w:tplc="080A001B" w:tentative="1">
      <w:start w:val="1"/>
      <w:numFmt w:val="lowerRoman"/>
      <w:lvlText w:val="%6."/>
      <w:lvlJc w:val="right"/>
      <w:pPr>
        <w:ind w:left="3740" w:hanging="180"/>
      </w:pPr>
    </w:lvl>
    <w:lvl w:ilvl="6" w:tplc="080A000F" w:tentative="1">
      <w:start w:val="1"/>
      <w:numFmt w:val="decimal"/>
      <w:lvlText w:val="%7."/>
      <w:lvlJc w:val="left"/>
      <w:pPr>
        <w:ind w:left="4460" w:hanging="360"/>
      </w:pPr>
    </w:lvl>
    <w:lvl w:ilvl="7" w:tplc="080A0019" w:tentative="1">
      <w:start w:val="1"/>
      <w:numFmt w:val="lowerLetter"/>
      <w:lvlText w:val="%8."/>
      <w:lvlJc w:val="left"/>
      <w:pPr>
        <w:ind w:left="5180" w:hanging="360"/>
      </w:pPr>
    </w:lvl>
    <w:lvl w:ilvl="8" w:tplc="080A001B" w:tentative="1">
      <w:start w:val="1"/>
      <w:numFmt w:val="lowerRoman"/>
      <w:lvlText w:val="%9."/>
      <w:lvlJc w:val="right"/>
      <w:pPr>
        <w:ind w:left="5900" w:hanging="180"/>
      </w:pPr>
    </w:lvl>
  </w:abstractNum>
  <w:abstractNum w:abstractNumId="24">
    <w:nsid w:val="77541E75"/>
    <w:multiLevelType w:val="hybridMultilevel"/>
    <w:tmpl w:val="6596B5A2"/>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5">
    <w:nsid w:val="77973BFD"/>
    <w:multiLevelType w:val="hybridMultilevel"/>
    <w:tmpl w:val="247A9DDA"/>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6">
    <w:nsid w:val="79771AB0"/>
    <w:multiLevelType w:val="hybridMultilevel"/>
    <w:tmpl w:val="FA0AE230"/>
    <w:lvl w:ilvl="0" w:tplc="FB70C396">
      <w:start w:val="1"/>
      <w:numFmt w:val="decimal"/>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7">
    <w:nsid w:val="7A9D1ED9"/>
    <w:multiLevelType w:val="hybridMultilevel"/>
    <w:tmpl w:val="38A478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3"/>
  </w:num>
  <w:num w:numId="2">
    <w:abstractNumId w:val="13"/>
  </w:num>
  <w:num w:numId="3">
    <w:abstractNumId w:val="4"/>
  </w:num>
  <w:num w:numId="4">
    <w:abstractNumId w:val="23"/>
  </w:num>
  <w:num w:numId="5">
    <w:abstractNumId w:val="5"/>
  </w:num>
  <w:num w:numId="6">
    <w:abstractNumId w:val="26"/>
  </w:num>
  <w:num w:numId="7">
    <w:abstractNumId w:val="15"/>
  </w:num>
  <w:num w:numId="8">
    <w:abstractNumId w:val="20"/>
  </w:num>
  <w:num w:numId="9">
    <w:abstractNumId w:val="17"/>
  </w:num>
  <w:num w:numId="10">
    <w:abstractNumId w:val="16"/>
  </w:num>
  <w:num w:numId="11">
    <w:abstractNumId w:val="2"/>
  </w:num>
  <w:num w:numId="12">
    <w:abstractNumId w:val="27"/>
  </w:num>
  <w:num w:numId="13">
    <w:abstractNumId w:val="10"/>
  </w:num>
  <w:num w:numId="14">
    <w:abstractNumId w:val="8"/>
  </w:num>
  <w:num w:numId="15">
    <w:abstractNumId w:val="19"/>
  </w:num>
  <w:num w:numId="16">
    <w:abstractNumId w:val="6"/>
  </w:num>
  <w:num w:numId="17">
    <w:abstractNumId w:val="24"/>
  </w:num>
  <w:num w:numId="18">
    <w:abstractNumId w:val="0"/>
  </w:num>
  <w:num w:numId="19">
    <w:abstractNumId w:val="18"/>
  </w:num>
  <w:num w:numId="20">
    <w:abstractNumId w:val="12"/>
  </w:num>
  <w:num w:numId="21">
    <w:abstractNumId w:val="14"/>
  </w:num>
  <w:num w:numId="22">
    <w:abstractNumId w:val="1"/>
  </w:num>
  <w:num w:numId="23">
    <w:abstractNumId w:val="7"/>
  </w:num>
  <w:num w:numId="24">
    <w:abstractNumId w:val="22"/>
  </w:num>
  <w:num w:numId="25">
    <w:abstractNumId w:val="21"/>
  </w:num>
  <w:num w:numId="26">
    <w:abstractNumId w:val="25"/>
  </w:num>
  <w:num w:numId="27">
    <w:abstractNumId w:val="11"/>
  </w:num>
  <w:num w:numId="28">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hyphenationZone w:val="425"/>
  <w:drawingGridHorizontalSpacing w:val="130"/>
  <w:displayHorizontalDrawingGridEvery w:val="2"/>
  <w:displayVerticalDrawingGridEvery w:val="2"/>
  <w:characterSpacingControl w:val="doNotCompress"/>
  <w:hdrShapeDefaults>
    <o:shapedefaults v:ext="edit" spidmax="8194">
      <o:colormru v:ext="edit" colors="white"/>
    </o:shapedefaults>
  </w:hdrShapeDefaults>
  <w:footnotePr>
    <w:footnote w:id="-1"/>
    <w:footnote w:id="0"/>
  </w:footnotePr>
  <w:endnotePr>
    <w:endnote w:id="-1"/>
    <w:endnote w:id="0"/>
  </w:endnotePr>
  <w:compat/>
  <w:rsids>
    <w:rsidRoot w:val="00547C44"/>
    <w:rsid w:val="00002191"/>
    <w:rsid w:val="000050A2"/>
    <w:rsid w:val="00012C6C"/>
    <w:rsid w:val="00014CF1"/>
    <w:rsid w:val="000150C9"/>
    <w:rsid w:val="00016A4B"/>
    <w:rsid w:val="000177DD"/>
    <w:rsid w:val="000214B4"/>
    <w:rsid w:val="00021A3D"/>
    <w:rsid w:val="000251CB"/>
    <w:rsid w:val="00035C2E"/>
    <w:rsid w:val="00037F84"/>
    <w:rsid w:val="00041B81"/>
    <w:rsid w:val="000451BF"/>
    <w:rsid w:val="00046F41"/>
    <w:rsid w:val="000519A6"/>
    <w:rsid w:val="000526E6"/>
    <w:rsid w:val="000572DA"/>
    <w:rsid w:val="00062D73"/>
    <w:rsid w:val="0006450E"/>
    <w:rsid w:val="00075EEE"/>
    <w:rsid w:val="00082B44"/>
    <w:rsid w:val="0008378B"/>
    <w:rsid w:val="000925EF"/>
    <w:rsid w:val="00092EBF"/>
    <w:rsid w:val="00095AB3"/>
    <w:rsid w:val="000A1239"/>
    <w:rsid w:val="000A283E"/>
    <w:rsid w:val="000A2A7E"/>
    <w:rsid w:val="000A7189"/>
    <w:rsid w:val="000A7B80"/>
    <w:rsid w:val="000A7F2C"/>
    <w:rsid w:val="000B4079"/>
    <w:rsid w:val="000C5C97"/>
    <w:rsid w:val="000C78EE"/>
    <w:rsid w:val="000D3267"/>
    <w:rsid w:val="000E559A"/>
    <w:rsid w:val="000F2F54"/>
    <w:rsid w:val="000F539E"/>
    <w:rsid w:val="0010145A"/>
    <w:rsid w:val="00102DC5"/>
    <w:rsid w:val="00121404"/>
    <w:rsid w:val="00123FAF"/>
    <w:rsid w:val="00130C29"/>
    <w:rsid w:val="00131A0B"/>
    <w:rsid w:val="00142DD2"/>
    <w:rsid w:val="001522A2"/>
    <w:rsid w:val="00154824"/>
    <w:rsid w:val="00157B72"/>
    <w:rsid w:val="00160177"/>
    <w:rsid w:val="0016050B"/>
    <w:rsid w:val="00161C83"/>
    <w:rsid w:val="00161FD5"/>
    <w:rsid w:val="00163339"/>
    <w:rsid w:val="001656E9"/>
    <w:rsid w:val="00166B10"/>
    <w:rsid w:val="00167041"/>
    <w:rsid w:val="0017104F"/>
    <w:rsid w:val="00172E02"/>
    <w:rsid w:val="001773E6"/>
    <w:rsid w:val="00177EEC"/>
    <w:rsid w:val="001820D2"/>
    <w:rsid w:val="00182AB3"/>
    <w:rsid w:val="00190533"/>
    <w:rsid w:val="001950DF"/>
    <w:rsid w:val="0019684C"/>
    <w:rsid w:val="001A3095"/>
    <w:rsid w:val="001A7205"/>
    <w:rsid w:val="001B0E21"/>
    <w:rsid w:val="001B74B0"/>
    <w:rsid w:val="001C0785"/>
    <w:rsid w:val="001C146D"/>
    <w:rsid w:val="001C3394"/>
    <w:rsid w:val="001D23A4"/>
    <w:rsid w:val="001E0013"/>
    <w:rsid w:val="001F2529"/>
    <w:rsid w:val="001F4480"/>
    <w:rsid w:val="001F58D0"/>
    <w:rsid w:val="001F7A51"/>
    <w:rsid w:val="00211510"/>
    <w:rsid w:val="00214146"/>
    <w:rsid w:val="002205AD"/>
    <w:rsid w:val="002209A9"/>
    <w:rsid w:val="00230184"/>
    <w:rsid w:val="0023510D"/>
    <w:rsid w:val="00241442"/>
    <w:rsid w:val="00242795"/>
    <w:rsid w:val="00244015"/>
    <w:rsid w:val="00244511"/>
    <w:rsid w:val="00247534"/>
    <w:rsid w:val="00256CA2"/>
    <w:rsid w:val="00261BC8"/>
    <w:rsid w:val="00266BAC"/>
    <w:rsid w:val="002670F1"/>
    <w:rsid w:val="00277897"/>
    <w:rsid w:val="002866A6"/>
    <w:rsid w:val="00287D56"/>
    <w:rsid w:val="002A0FC4"/>
    <w:rsid w:val="002A25EA"/>
    <w:rsid w:val="002B03BB"/>
    <w:rsid w:val="002B16FD"/>
    <w:rsid w:val="002B1D0C"/>
    <w:rsid w:val="002B2FB4"/>
    <w:rsid w:val="002B66F2"/>
    <w:rsid w:val="002B7451"/>
    <w:rsid w:val="002C476E"/>
    <w:rsid w:val="002D494E"/>
    <w:rsid w:val="002E00B9"/>
    <w:rsid w:val="002E0B85"/>
    <w:rsid w:val="002E4412"/>
    <w:rsid w:val="002E5A8B"/>
    <w:rsid w:val="002E615D"/>
    <w:rsid w:val="002E64DE"/>
    <w:rsid w:val="002F26F5"/>
    <w:rsid w:val="002F279B"/>
    <w:rsid w:val="00300904"/>
    <w:rsid w:val="003064FB"/>
    <w:rsid w:val="00306F3A"/>
    <w:rsid w:val="0031316B"/>
    <w:rsid w:val="00313A31"/>
    <w:rsid w:val="00316BEC"/>
    <w:rsid w:val="00327BCE"/>
    <w:rsid w:val="003360E4"/>
    <w:rsid w:val="00336FD2"/>
    <w:rsid w:val="003413B0"/>
    <w:rsid w:val="00351465"/>
    <w:rsid w:val="0035485F"/>
    <w:rsid w:val="00360E11"/>
    <w:rsid w:val="003622FB"/>
    <w:rsid w:val="00366334"/>
    <w:rsid w:val="0036724E"/>
    <w:rsid w:val="00367461"/>
    <w:rsid w:val="003709F8"/>
    <w:rsid w:val="003721F0"/>
    <w:rsid w:val="00376F8E"/>
    <w:rsid w:val="003779B1"/>
    <w:rsid w:val="00390039"/>
    <w:rsid w:val="00390803"/>
    <w:rsid w:val="00390EC4"/>
    <w:rsid w:val="0039121B"/>
    <w:rsid w:val="0039230B"/>
    <w:rsid w:val="003A3B52"/>
    <w:rsid w:val="003B670C"/>
    <w:rsid w:val="003B71B8"/>
    <w:rsid w:val="003B7E57"/>
    <w:rsid w:val="003D0304"/>
    <w:rsid w:val="003D33B4"/>
    <w:rsid w:val="003E0A0D"/>
    <w:rsid w:val="003E137D"/>
    <w:rsid w:val="003E3985"/>
    <w:rsid w:val="003E5940"/>
    <w:rsid w:val="003E5F7F"/>
    <w:rsid w:val="003F6815"/>
    <w:rsid w:val="004001C3"/>
    <w:rsid w:val="00401CE7"/>
    <w:rsid w:val="00407148"/>
    <w:rsid w:val="00412DE5"/>
    <w:rsid w:val="00413C5F"/>
    <w:rsid w:val="00420279"/>
    <w:rsid w:val="004253DC"/>
    <w:rsid w:val="0042568B"/>
    <w:rsid w:val="00425EF1"/>
    <w:rsid w:val="00426515"/>
    <w:rsid w:val="004329EC"/>
    <w:rsid w:val="00441D9F"/>
    <w:rsid w:val="00442BA4"/>
    <w:rsid w:val="004452F8"/>
    <w:rsid w:val="00445335"/>
    <w:rsid w:val="0044644D"/>
    <w:rsid w:val="00447495"/>
    <w:rsid w:val="004602D7"/>
    <w:rsid w:val="00462354"/>
    <w:rsid w:val="00466185"/>
    <w:rsid w:val="00467BF1"/>
    <w:rsid w:val="00470C1B"/>
    <w:rsid w:val="0047238F"/>
    <w:rsid w:val="00476323"/>
    <w:rsid w:val="00480D67"/>
    <w:rsid w:val="004817C7"/>
    <w:rsid w:val="004858E5"/>
    <w:rsid w:val="004904BA"/>
    <w:rsid w:val="00491D61"/>
    <w:rsid w:val="0049438D"/>
    <w:rsid w:val="004A4E22"/>
    <w:rsid w:val="004A5774"/>
    <w:rsid w:val="004A6542"/>
    <w:rsid w:val="004A7507"/>
    <w:rsid w:val="004B19A3"/>
    <w:rsid w:val="004B6C50"/>
    <w:rsid w:val="004C0527"/>
    <w:rsid w:val="004C0717"/>
    <w:rsid w:val="004C217A"/>
    <w:rsid w:val="004C3390"/>
    <w:rsid w:val="004C50E3"/>
    <w:rsid w:val="004C5560"/>
    <w:rsid w:val="004C6FDE"/>
    <w:rsid w:val="004C7A7C"/>
    <w:rsid w:val="004D6A3C"/>
    <w:rsid w:val="004D7190"/>
    <w:rsid w:val="004E1EDF"/>
    <w:rsid w:val="004E4BD9"/>
    <w:rsid w:val="004E56AB"/>
    <w:rsid w:val="004F18AE"/>
    <w:rsid w:val="004F5A73"/>
    <w:rsid w:val="004F624F"/>
    <w:rsid w:val="00501566"/>
    <w:rsid w:val="005068C9"/>
    <w:rsid w:val="00507864"/>
    <w:rsid w:val="005135A5"/>
    <w:rsid w:val="00514627"/>
    <w:rsid w:val="00517F28"/>
    <w:rsid w:val="00521A6E"/>
    <w:rsid w:val="00523C09"/>
    <w:rsid w:val="00526562"/>
    <w:rsid w:val="00530339"/>
    <w:rsid w:val="00532A42"/>
    <w:rsid w:val="0053627A"/>
    <w:rsid w:val="00545919"/>
    <w:rsid w:val="00546481"/>
    <w:rsid w:val="00547C44"/>
    <w:rsid w:val="005542B7"/>
    <w:rsid w:val="00554C96"/>
    <w:rsid w:val="005552FD"/>
    <w:rsid w:val="005635D4"/>
    <w:rsid w:val="00564D9C"/>
    <w:rsid w:val="0056529C"/>
    <w:rsid w:val="00566D49"/>
    <w:rsid w:val="00571D89"/>
    <w:rsid w:val="00572717"/>
    <w:rsid w:val="00576369"/>
    <w:rsid w:val="00576423"/>
    <w:rsid w:val="00580704"/>
    <w:rsid w:val="00595DD3"/>
    <w:rsid w:val="00596978"/>
    <w:rsid w:val="005A114A"/>
    <w:rsid w:val="005A1D27"/>
    <w:rsid w:val="005A43DA"/>
    <w:rsid w:val="005A625C"/>
    <w:rsid w:val="005B0360"/>
    <w:rsid w:val="005B2591"/>
    <w:rsid w:val="005C273C"/>
    <w:rsid w:val="005D194B"/>
    <w:rsid w:val="005D7AEE"/>
    <w:rsid w:val="005F2715"/>
    <w:rsid w:val="005F43EB"/>
    <w:rsid w:val="005F748A"/>
    <w:rsid w:val="005F784A"/>
    <w:rsid w:val="0060038E"/>
    <w:rsid w:val="00600480"/>
    <w:rsid w:val="00601D05"/>
    <w:rsid w:val="006046A3"/>
    <w:rsid w:val="006101C4"/>
    <w:rsid w:val="0061338A"/>
    <w:rsid w:val="00620732"/>
    <w:rsid w:val="00621982"/>
    <w:rsid w:val="00622C8C"/>
    <w:rsid w:val="00624901"/>
    <w:rsid w:val="00631D94"/>
    <w:rsid w:val="00632D46"/>
    <w:rsid w:val="00636AE7"/>
    <w:rsid w:val="00636B9E"/>
    <w:rsid w:val="00637451"/>
    <w:rsid w:val="00642916"/>
    <w:rsid w:val="006463BD"/>
    <w:rsid w:val="006464A1"/>
    <w:rsid w:val="006466EF"/>
    <w:rsid w:val="006527C3"/>
    <w:rsid w:val="00652AEB"/>
    <w:rsid w:val="00654FFA"/>
    <w:rsid w:val="00655772"/>
    <w:rsid w:val="00663908"/>
    <w:rsid w:val="00663AF8"/>
    <w:rsid w:val="006658C4"/>
    <w:rsid w:val="0066728B"/>
    <w:rsid w:val="0067021D"/>
    <w:rsid w:val="0068256D"/>
    <w:rsid w:val="00684F6C"/>
    <w:rsid w:val="006914E6"/>
    <w:rsid w:val="0069178D"/>
    <w:rsid w:val="00694838"/>
    <w:rsid w:val="0069752A"/>
    <w:rsid w:val="00697EFB"/>
    <w:rsid w:val="006A0884"/>
    <w:rsid w:val="006A3D8A"/>
    <w:rsid w:val="006A5415"/>
    <w:rsid w:val="006B187E"/>
    <w:rsid w:val="006B2C56"/>
    <w:rsid w:val="006B45AD"/>
    <w:rsid w:val="006B5E6D"/>
    <w:rsid w:val="006C1859"/>
    <w:rsid w:val="006C2AAA"/>
    <w:rsid w:val="006C6404"/>
    <w:rsid w:val="006C6CD5"/>
    <w:rsid w:val="006D1B52"/>
    <w:rsid w:val="006D74C0"/>
    <w:rsid w:val="006E5795"/>
    <w:rsid w:val="006F07F7"/>
    <w:rsid w:val="006F1A7A"/>
    <w:rsid w:val="006F1C09"/>
    <w:rsid w:val="006F21F8"/>
    <w:rsid w:val="006F3398"/>
    <w:rsid w:val="006F5F8B"/>
    <w:rsid w:val="00700981"/>
    <w:rsid w:val="00701F6B"/>
    <w:rsid w:val="00706EF1"/>
    <w:rsid w:val="00707239"/>
    <w:rsid w:val="00710724"/>
    <w:rsid w:val="0071105B"/>
    <w:rsid w:val="0071245C"/>
    <w:rsid w:val="00716200"/>
    <w:rsid w:val="0072714A"/>
    <w:rsid w:val="00732DD4"/>
    <w:rsid w:val="00734EA7"/>
    <w:rsid w:val="00740535"/>
    <w:rsid w:val="00741402"/>
    <w:rsid w:val="007427C8"/>
    <w:rsid w:val="00742834"/>
    <w:rsid w:val="00742EC9"/>
    <w:rsid w:val="00746AA3"/>
    <w:rsid w:val="007574BB"/>
    <w:rsid w:val="00760431"/>
    <w:rsid w:val="00761262"/>
    <w:rsid w:val="00761464"/>
    <w:rsid w:val="0076149C"/>
    <w:rsid w:val="00766E83"/>
    <w:rsid w:val="00771386"/>
    <w:rsid w:val="00775462"/>
    <w:rsid w:val="00776EC1"/>
    <w:rsid w:val="007775CE"/>
    <w:rsid w:val="00777B18"/>
    <w:rsid w:val="00785E3A"/>
    <w:rsid w:val="00786155"/>
    <w:rsid w:val="007869F8"/>
    <w:rsid w:val="00791C88"/>
    <w:rsid w:val="00792D04"/>
    <w:rsid w:val="007940FA"/>
    <w:rsid w:val="007945A0"/>
    <w:rsid w:val="00795882"/>
    <w:rsid w:val="0079746E"/>
    <w:rsid w:val="007A43BF"/>
    <w:rsid w:val="007A646E"/>
    <w:rsid w:val="007A6D0B"/>
    <w:rsid w:val="007B357F"/>
    <w:rsid w:val="007B75B3"/>
    <w:rsid w:val="007C4897"/>
    <w:rsid w:val="007C5205"/>
    <w:rsid w:val="007C5DEE"/>
    <w:rsid w:val="007C6DA0"/>
    <w:rsid w:val="007C71EC"/>
    <w:rsid w:val="007D210E"/>
    <w:rsid w:val="007D239B"/>
    <w:rsid w:val="007D4729"/>
    <w:rsid w:val="007D5946"/>
    <w:rsid w:val="007D6483"/>
    <w:rsid w:val="007E10ED"/>
    <w:rsid w:val="007E1FDF"/>
    <w:rsid w:val="007E5A97"/>
    <w:rsid w:val="007E6D00"/>
    <w:rsid w:val="007E7587"/>
    <w:rsid w:val="007F0A7A"/>
    <w:rsid w:val="007F5BD3"/>
    <w:rsid w:val="007F72C4"/>
    <w:rsid w:val="0080524B"/>
    <w:rsid w:val="0080649F"/>
    <w:rsid w:val="00806EB6"/>
    <w:rsid w:val="00815455"/>
    <w:rsid w:val="00820601"/>
    <w:rsid w:val="008214C9"/>
    <w:rsid w:val="00823669"/>
    <w:rsid w:val="00824186"/>
    <w:rsid w:val="00832C46"/>
    <w:rsid w:val="00833594"/>
    <w:rsid w:val="00834848"/>
    <w:rsid w:val="00837CB2"/>
    <w:rsid w:val="00846369"/>
    <w:rsid w:val="00854054"/>
    <w:rsid w:val="00855224"/>
    <w:rsid w:val="00856D73"/>
    <w:rsid w:val="008613B8"/>
    <w:rsid w:val="00872202"/>
    <w:rsid w:val="008845CF"/>
    <w:rsid w:val="00893544"/>
    <w:rsid w:val="00896015"/>
    <w:rsid w:val="008965C6"/>
    <w:rsid w:val="008A2933"/>
    <w:rsid w:val="008A2A86"/>
    <w:rsid w:val="008B6484"/>
    <w:rsid w:val="008C153C"/>
    <w:rsid w:val="008C1B33"/>
    <w:rsid w:val="008C4CB0"/>
    <w:rsid w:val="008D2B3B"/>
    <w:rsid w:val="008D4A18"/>
    <w:rsid w:val="008F135E"/>
    <w:rsid w:val="008F190D"/>
    <w:rsid w:val="008F2FED"/>
    <w:rsid w:val="008F51A3"/>
    <w:rsid w:val="008F7289"/>
    <w:rsid w:val="00903914"/>
    <w:rsid w:val="00904988"/>
    <w:rsid w:val="00912E82"/>
    <w:rsid w:val="00914E12"/>
    <w:rsid w:val="009240EC"/>
    <w:rsid w:val="0092635B"/>
    <w:rsid w:val="009327EB"/>
    <w:rsid w:val="00941C51"/>
    <w:rsid w:val="009428C4"/>
    <w:rsid w:val="00947B35"/>
    <w:rsid w:val="00950714"/>
    <w:rsid w:val="00951C15"/>
    <w:rsid w:val="00951D6D"/>
    <w:rsid w:val="00962559"/>
    <w:rsid w:val="00962D0D"/>
    <w:rsid w:val="0096783D"/>
    <w:rsid w:val="00972FDB"/>
    <w:rsid w:val="0097473F"/>
    <w:rsid w:val="009832EB"/>
    <w:rsid w:val="009839F2"/>
    <w:rsid w:val="00983F39"/>
    <w:rsid w:val="009876FF"/>
    <w:rsid w:val="009877AE"/>
    <w:rsid w:val="009878F6"/>
    <w:rsid w:val="00992384"/>
    <w:rsid w:val="00992B79"/>
    <w:rsid w:val="009933D2"/>
    <w:rsid w:val="009966C0"/>
    <w:rsid w:val="009A3453"/>
    <w:rsid w:val="009A4C31"/>
    <w:rsid w:val="009A601C"/>
    <w:rsid w:val="009B0164"/>
    <w:rsid w:val="009B06C3"/>
    <w:rsid w:val="009B1930"/>
    <w:rsid w:val="009B577F"/>
    <w:rsid w:val="009C355E"/>
    <w:rsid w:val="009C7D58"/>
    <w:rsid w:val="009D1017"/>
    <w:rsid w:val="009D6CBC"/>
    <w:rsid w:val="009E6599"/>
    <w:rsid w:val="009E6D3C"/>
    <w:rsid w:val="009E6E5A"/>
    <w:rsid w:val="009F01C4"/>
    <w:rsid w:val="009F0EB6"/>
    <w:rsid w:val="009F1443"/>
    <w:rsid w:val="009F29D2"/>
    <w:rsid w:val="009F5B75"/>
    <w:rsid w:val="009F6AC8"/>
    <w:rsid w:val="00A02016"/>
    <w:rsid w:val="00A021A3"/>
    <w:rsid w:val="00A02DBE"/>
    <w:rsid w:val="00A12D2C"/>
    <w:rsid w:val="00A2171B"/>
    <w:rsid w:val="00A22700"/>
    <w:rsid w:val="00A2718D"/>
    <w:rsid w:val="00A31065"/>
    <w:rsid w:val="00A31753"/>
    <w:rsid w:val="00A33038"/>
    <w:rsid w:val="00A4259B"/>
    <w:rsid w:val="00A45462"/>
    <w:rsid w:val="00A45A6A"/>
    <w:rsid w:val="00A46E28"/>
    <w:rsid w:val="00A5059D"/>
    <w:rsid w:val="00A528FE"/>
    <w:rsid w:val="00A540B1"/>
    <w:rsid w:val="00A57BEB"/>
    <w:rsid w:val="00A60313"/>
    <w:rsid w:val="00A70ED5"/>
    <w:rsid w:val="00A776A8"/>
    <w:rsid w:val="00A819CB"/>
    <w:rsid w:val="00A82A19"/>
    <w:rsid w:val="00A864BC"/>
    <w:rsid w:val="00A87637"/>
    <w:rsid w:val="00A91B0D"/>
    <w:rsid w:val="00A94F07"/>
    <w:rsid w:val="00A95584"/>
    <w:rsid w:val="00A959F6"/>
    <w:rsid w:val="00A97B1F"/>
    <w:rsid w:val="00AA2A8D"/>
    <w:rsid w:val="00AA37B3"/>
    <w:rsid w:val="00AA6CD2"/>
    <w:rsid w:val="00AA7436"/>
    <w:rsid w:val="00AB138D"/>
    <w:rsid w:val="00AB1C59"/>
    <w:rsid w:val="00AB2DF2"/>
    <w:rsid w:val="00AC4A60"/>
    <w:rsid w:val="00AC53EE"/>
    <w:rsid w:val="00AC5667"/>
    <w:rsid w:val="00AC6CC5"/>
    <w:rsid w:val="00AC6D55"/>
    <w:rsid w:val="00AD66E8"/>
    <w:rsid w:val="00AD75C8"/>
    <w:rsid w:val="00AE305F"/>
    <w:rsid w:val="00AE4E84"/>
    <w:rsid w:val="00AE5FE4"/>
    <w:rsid w:val="00AE65B9"/>
    <w:rsid w:val="00AE6A99"/>
    <w:rsid w:val="00AE7007"/>
    <w:rsid w:val="00AF00EF"/>
    <w:rsid w:val="00AF16FE"/>
    <w:rsid w:val="00AF273C"/>
    <w:rsid w:val="00AF29EF"/>
    <w:rsid w:val="00AF508C"/>
    <w:rsid w:val="00AF7E4F"/>
    <w:rsid w:val="00B078E0"/>
    <w:rsid w:val="00B103BD"/>
    <w:rsid w:val="00B114E7"/>
    <w:rsid w:val="00B14117"/>
    <w:rsid w:val="00B145C9"/>
    <w:rsid w:val="00B16000"/>
    <w:rsid w:val="00B24B1C"/>
    <w:rsid w:val="00B37625"/>
    <w:rsid w:val="00B464AE"/>
    <w:rsid w:val="00B46DA5"/>
    <w:rsid w:val="00B65A11"/>
    <w:rsid w:val="00B722A5"/>
    <w:rsid w:val="00B74DA1"/>
    <w:rsid w:val="00B74DCE"/>
    <w:rsid w:val="00B759DE"/>
    <w:rsid w:val="00B816B6"/>
    <w:rsid w:val="00B81D10"/>
    <w:rsid w:val="00B83EA0"/>
    <w:rsid w:val="00B84560"/>
    <w:rsid w:val="00B91518"/>
    <w:rsid w:val="00B94ED4"/>
    <w:rsid w:val="00B97FA6"/>
    <w:rsid w:val="00BA026C"/>
    <w:rsid w:val="00BA141A"/>
    <w:rsid w:val="00BB1399"/>
    <w:rsid w:val="00BB20FD"/>
    <w:rsid w:val="00BB49BC"/>
    <w:rsid w:val="00BC1C76"/>
    <w:rsid w:val="00BC32B5"/>
    <w:rsid w:val="00BD3B14"/>
    <w:rsid w:val="00BD5377"/>
    <w:rsid w:val="00BD61C4"/>
    <w:rsid w:val="00BE1A0E"/>
    <w:rsid w:val="00BE287E"/>
    <w:rsid w:val="00BE2D21"/>
    <w:rsid w:val="00BE57C6"/>
    <w:rsid w:val="00BE6EB8"/>
    <w:rsid w:val="00BE7A57"/>
    <w:rsid w:val="00BF353C"/>
    <w:rsid w:val="00BF6EED"/>
    <w:rsid w:val="00C02486"/>
    <w:rsid w:val="00C02CBF"/>
    <w:rsid w:val="00C03483"/>
    <w:rsid w:val="00C3070D"/>
    <w:rsid w:val="00C40D8F"/>
    <w:rsid w:val="00C4314E"/>
    <w:rsid w:val="00C433C8"/>
    <w:rsid w:val="00C43C15"/>
    <w:rsid w:val="00C55849"/>
    <w:rsid w:val="00C60530"/>
    <w:rsid w:val="00C63190"/>
    <w:rsid w:val="00C63670"/>
    <w:rsid w:val="00C66697"/>
    <w:rsid w:val="00C67933"/>
    <w:rsid w:val="00C67CD4"/>
    <w:rsid w:val="00C718FB"/>
    <w:rsid w:val="00C71A0C"/>
    <w:rsid w:val="00C843A9"/>
    <w:rsid w:val="00C87656"/>
    <w:rsid w:val="00C92AEE"/>
    <w:rsid w:val="00C9337E"/>
    <w:rsid w:val="00CA599D"/>
    <w:rsid w:val="00CB1A06"/>
    <w:rsid w:val="00CB3FC4"/>
    <w:rsid w:val="00CC3CF7"/>
    <w:rsid w:val="00CC6EE3"/>
    <w:rsid w:val="00CC7410"/>
    <w:rsid w:val="00CD710B"/>
    <w:rsid w:val="00CE3139"/>
    <w:rsid w:val="00CF06D5"/>
    <w:rsid w:val="00CF0C0B"/>
    <w:rsid w:val="00CF4BF8"/>
    <w:rsid w:val="00D116C2"/>
    <w:rsid w:val="00D12657"/>
    <w:rsid w:val="00D12A11"/>
    <w:rsid w:val="00D12E80"/>
    <w:rsid w:val="00D14388"/>
    <w:rsid w:val="00D15111"/>
    <w:rsid w:val="00D21FF3"/>
    <w:rsid w:val="00D224AF"/>
    <w:rsid w:val="00D313C7"/>
    <w:rsid w:val="00D34610"/>
    <w:rsid w:val="00D35962"/>
    <w:rsid w:val="00D52DF7"/>
    <w:rsid w:val="00D5463D"/>
    <w:rsid w:val="00D602A9"/>
    <w:rsid w:val="00D614E5"/>
    <w:rsid w:val="00D6414E"/>
    <w:rsid w:val="00D83667"/>
    <w:rsid w:val="00D918B0"/>
    <w:rsid w:val="00DA500B"/>
    <w:rsid w:val="00DA5765"/>
    <w:rsid w:val="00DA594C"/>
    <w:rsid w:val="00DA76C5"/>
    <w:rsid w:val="00DA7891"/>
    <w:rsid w:val="00DB05ED"/>
    <w:rsid w:val="00DB3597"/>
    <w:rsid w:val="00DB6836"/>
    <w:rsid w:val="00DC1F2B"/>
    <w:rsid w:val="00DC3738"/>
    <w:rsid w:val="00DC5635"/>
    <w:rsid w:val="00DC6532"/>
    <w:rsid w:val="00DC6867"/>
    <w:rsid w:val="00DC6A5A"/>
    <w:rsid w:val="00DD3263"/>
    <w:rsid w:val="00DD3B48"/>
    <w:rsid w:val="00DE02F8"/>
    <w:rsid w:val="00DE5479"/>
    <w:rsid w:val="00DF1B69"/>
    <w:rsid w:val="00E13057"/>
    <w:rsid w:val="00E14DEA"/>
    <w:rsid w:val="00E21254"/>
    <w:rsid w:val="00E23E5A"/>
    <w:rsid w:val="00E252AB"/>
    <w:rsid w:val="00E30078"/>
    <w:rsid w:val="00E31710"/>
    <w:rsid w:val="00E34788"/>
    <w:rsid w:val="00E365EC"/>
    <w:rsid w:val="00E4269B"/>
    <w:rsid w:val="00E61501"/>
    <w:rsid w:val="00E61781"/>
    <w:rsid w:val="00E62CC1"/>
    <w:rsid w:val="00E62FF6"/>
    <w:rsid w:val="00E648CB"/>
    <w:rsid w:val="00E66497"/>
    <w:rsid w:val="00E67BB7"/>
    <w:rsid w:val="00E70549"/>
    <w:rsid w:val="00E7179B"/>
    <w:rsid w:val="00E74B27"/>
    <w:rsid w:val="00E75C2E"/>
    <w:rsid w:val="00E87C3F"/>
    <w:rsid w:val="00E938A0"/>
    <w:rsid w:val="00E95870"/>
    <w:rsid w:val="00E97BA2"/>
    <w:rsid w:val="00EA18A6"/>
    <w:rsid w:val="00EA2B2F"/>
    <w:rsid w:val="00EA4EC8"/>
    <w:rsid w:val="00EA567A"/>
    <w:rsid w:val="00EA6679"/>
    <w:rsid w:val="00EA67BA"/>
    <w:rsid w:val="00EA7A91"/>
    <w:rsid w:val="00EB308D"/>
    <w:rsid w:val="00EB3474"/>
    <w:rsid w:val="00EC02D9"/>
    <w:rsid w:val="00EC3BFE"/>
    <w:rsid w:val="00ED06E7"/>
    <w:rsid w:val="00ED2A76"/>
    <w:rsid w:val="00ED38C7"/>
    <w:rsid w:val="00ED3F47"/>
    <w:rsid w:val="00ED4F64"/>
    <w:rsid w:val="00ED5BFE"/>
    <w:rsid w:val="00ED6686"/>
    <w:rsid w:val="00EE226A"/>
    <w:rsid w:val="00EE559A"/>
    <w:rsid w:val="00EE6031"/>
    <w:rsid w:val="00EE69A4"/>
    <w:rsid w:val="00F1470A"/>
    <w:rsid w:val="00F210AA"/>
    <w:rsid w:val="00F2255A"/>
    <w:rsid w:val="00F24908"/>
    <w:rsid w:val="00F31B0D"/>
    <w:rsid w:val="00F32017"/>
    <w:rsid w:val="00F32508"/>
    <w:rsid w:val="00F325B1"/>
    <w:rsid w:val="00F347D5"/>
    <w:rsid w:val="00F41DD3"/>
    <w:rsid w:val="00F47359"/>
    <w:rsid w:val="00F63C52"/>
    <w:rsid w:val="00F652AD"/>
    <w:rsid w:val="00F74D62"/>
    <w:rsid w:val="00F77691"/>
    <w:rsid w:val="00F813B1"/>
    <w:rsid w:val="00F81A9D"/>
    <w:rsid w:val="00F829CE"/>
    <w:rsid w:val="00F849D2"/>
    <w:rsid w:val="00F86E04"/>
    <w:rsid w:val="00F91119"/>
    <w:rsid w:val="00F961CE"/>
    <w:rsid w:val="00F9706C"/>
    <w:rsid w:val="00FA039E"/>
    <w:rsid w:val="00FA1345"/>
    <w:rsid w:val="00FA142C"/>
    <w:rsid w:val="00FA5AB9"/>
    <w:rsid w:val="00FB770A"/>
    <w:rsid w:val="00FB77BD"/>
    <w:rsid w:val="00FB792A"/>
    <w:rsid w:val="00FC0179"/>
    <w:rsid w:val="00FD03E2"/>
    <w:rsid w:val="00FD3183"/>
    <w:rsid w:val="00FD7EE6"/>
    <w:rsid w:val="00FE34D2"/>
    <w:rsid w:val="00FE669A"/>
    <w:rsid w:val="00FE6A08"/>
    <w:rsid w:val="00FF1E5C"/>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4">
      <o:colormru v:ext="edit" colors="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CEGAIP"/>
    <w:rsid w:val="00547C44"/>
    <w:pPr>
      <w:spacing w:after="0" w:line="360" w:lineRule="auto"/>
      <w:jc w:val="both"/>
    </w:pPr>
    <w:rPr>
      <w:rFonts w:cs="Times New Roman"/>
      <w:sz w:val="26"/>
      <w:szCs w:val="24"/>
      <w:lang w:val="es-ES" w:eastAsia="es-ES"/>
    </w:rPr>
  </w:style>
  <w:style w:type="paragraph" w:styleId="Ttulo1">
    <w:name w:val="heading 1"/>
    <w:aliases w:val="cita"/>
    <w:basedOn w:val="Normal"/>
    <w:next w:val="Normal"/>
    <w:link w:val="Ttulo1Car"/>
    <w:autoRedefine/>
    <w:qFormat/>
    <w:rsid w:val="005B2591"/>
    <w:pPr>
      <w:keepNext/>
      <w:outlineLvl w:val="0"/>
    </w:pPr>
    <w:rPr>
      <w:rFonts w:cs="Arial"/>
      <w:bCs/>
      <w:i/>
      <w:kern w:val="32"/>
      <w:sz w:val="2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cita Car"/>
    <w:basedOn w:val="Fuentedeprrafopredeter"/>
    <w:link w:val="Ttulo1"/>
    <w:rsid w:val="005B2591"/>
    <w:rPr>
      <w:rFonts w:eastAsia="Times New Roman" w:cs="Arial"/>
      <w:bCs/>
      <w:i/>
      <w:kern w:val="32"/>
      <w:szCs w:val="32"/>
      <w:lang w:val="es-ES" w:eastAsia="es-ES"/>
    </w:rPr>
  </w:style>
  <w:style w:type="table" w:styleId="Tablaconcuadrcula">
    <w:name w:val="Table Grid"/>
    <w:basedOn w:val="Tablanormal"/>
    <w:uiPriority w:val="59"/>
    <w:rsid w:val="00547C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link w:val="TextoindependienteCar"/>
    <w:uiPriority w:val="99"/>
    <w:semiHidden/>
    <w:unhideWhenUsed/>
    <w:rsid w:val="00547C44"/>
    <w:pPr>
      <w:spacing w:after="120"/>
    </w:pPr>
  </w:style>
  <w:style w:type="character" w:customStyle="1" w:styleId="TextoindependienteCar">
    <w:name w:val="Texto independiente Car"/>
    <w:basedOn w:val="Fuentedeprrafopredeter"/>
    <w:link w:val="Textoindependiente"/>
    <w:uiPriority w:val="99"/>
    <w:semiHidden/>
    <w:rsid w:val="00547C44"/>
    <w:rPr>
      <w:rFonts w:cs="Times New Roman"/>
      <w:sz w:val="26"/>
      <w:szCs w:val="24"/>
      <w:lang w:val="es-ES" w:eastAsia="es-ES"/>
    </w:rPr>
  </w:style>
  <w:style w:type="paragraph" w:styleId="Textoindependienteprimerasangra">
    <w:name w:val="Body Text First Indent"/>
    <w:basedOn w:val="Textoindependiente"/>
    <w:link w:val="TextoindependienteprimerasangraCar"/>
    <w:rsid w:val="00547C44"/>
    <w:pPr>
      <w:ind w:firstLine="210"/>
    </w:pPr>
  </w:style>
  <w:style w:type="character" w:customStyle="1" w:styleId="TextoindependienteprimerasangraCar">
    <w:name w:val="Texto independiente primera sangría Car"/>
    <w:basedOn w:val="TextoindependienteCar"/>
    <w:link w:val="Textoindependienteprimerasangra"/>
    <w:rsid w:val="00547C44"/>
    <w:rPr>
      <w:rFonts w:cs="Times New Roman"/>
      <w:sz w:val="26"/>
      <w:szCs w:val="24"/>
      <w:lang w:val="es-ES" w:eastAsia="es-ES"/>
    </w:rPr>
  </w:style>
  <w:style w:type="paragraph" w:styleId="Prrafodelista">
    <w:name w:val="List Paragraph"/>
    <w:basedOn w:val="Normal"/>
    <w:uiPriority w:val="34"/>
    <w:qFormat/>
    <w:rsid w:val="00547C44"/>
    <w:pPr>
      <w:ind w:left="720"/>
      <w:contextualSpacing/>
    </w:pPr>
  </w:style>
  <w:style w:type="character" w:styleId="Hipervnculo">
    <w:name w:val="Hyperlink"/>
    <w:basedOn w:val="Fuentedeprrafopredeter"/>
    <w:uiPriority w:val="99"/>
    <w:unhideWhenUsed/>
    <w:rsid w:val="00547C44"/>
    <w:rPr>
      <w:color w:val="0000FF" w:themeColor="hyperlink"/>
      <w:u w:val="single"/>
    </w:rPr>
  </w:style>
  <w:style w:type="paragraph" w:styleId="NormalWeb">
    <w:name w:val="Normal (Web)"/>
    <w:basedOn w:val="Normal"/>
    <w:uiPriority w:val="99"/>
    <w:rsid w:val="00190533"/>
    <w:pPr>
      <w:spacing w:before="100" w:beforeAutospacing="1" w:after="100" w:afterAutospacing="1" w:line="240" w:lineRule="auto"/>
      <w:jc w:val="left"/>
    </w:pPr>
    <w:rPr>
      <w:rFonts w:ascii="Times New Roman" w:hAnsi="Times New Roman"/>
      <w:sz w:val="24"/>
    </w:rPr>
  </w:style>
  <w:style w:type="paragraph" w:customStyle="1" w:styleId="texto">
    <w:name w:val="texto"/>
    <w:basedOn w:val="Normal"/>
    <w:rsid w:val="00190533"/>
    <w:pPr>
      <w:spacing w:before="100" w:beforeAutospacing="1" w:after="100" w:afterAutospacing="1" w:line="240" w:lineRule="auto"/>
      <w:jc w:val="left"/>
    </w:pPr>
    <w:rPr>
      <w:rFonts w:ascii="Times New Roman" w:hAnsi="Times New Roman"/>
      <w:sz w:val="24"/>
      <w:lang w:val="es-MX" w:eastAsia="es-MX"/>
    </w:rPr>
  </w:style>
  <w:style w:type="character" w:customStyle="1" w:styleId="apple-converted-space">
    <w:name w:val="apple-converted-space"/>
    <w:basedOn w:val="Fuentedeprrafopredeter"/>
    <w:rsid w:val="00190533"/>
  </w:style>
  <w:style w:type="paragraph" w:styleId="Encabezado">
    <w:name w:val="header"/>
    <w:basedOn w:val="Normal"/>
    <w:link w:val="EncabezadoCar"/>
    <w:uiPriority w:val="99"/>
    <w:unhideWhenUsed/>
    <w:rsid w:val="00EE69A4"/>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EE69A4"/>
    <w:rPr>
      <w:rFonts w:cs="Times New Roman"/>
      <w:sz w:val="26"/>
      <w:szCs w:val="24"/>
      <w:lang w:val="es-ES" w:eastAsia="es-ES"/>
    </w:rPr>
  </w:style>
  <w:style w:type="paragraph" w:styleId="Piedepgina">
    <w:name w:val="footer"/>
    <w:basedOn w:val="Normal"/>
    <w:link w:val="PiedepginaCar"/>
    <w:uiPriority w:val="99"/>
    <w:unhideWhenUsed/>
    <w:rsid w:val="00EE69A4"/>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EE69A4"/>
    <w:rPr>
      <w:rFonts w:cs="Times New Roman"/>
      <w:sz w:val="26"/>
      <w:szCs w:val="24"/>
      <w:lang w:val="es-ES" w:eastAsia="es-ES"/>
    </w:rPr>
  </w:style>
  <w:style w:type="paragraph" w:styleId="Textodeglobo">
    <w:name w:val="Balloon Text"/>
    <w:basedOn w:val="Normal"/>
    <w:link w:val="TextodegloboCar"/>
    <w:uiPriority w:val="99"/>
    <w:semiHidden/>
    <w:unhideWhenUsed/>
    <w:rsid w:val="004C50E3"/>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C50E3"/>
    <w:rPr>
      <w:rFonts w:ascii="Tahoma" w:hAnsi="Tahoma" w:cs="Tahoma"/>
      <w:sz w:val="16"/>
      <w:szCs w:val="16"/>
      <w:lang w:val="es-ES" w:eastAsia="es-ES"/>
    </w:rPr>
  </w:style>
  <w:style w:type="paragraph" w:customStyle="1" w:styleId="Default">
    <w:name w:val="Default"/>
    <w:rsid w:val="006C1859"/>
    <w:pPr>
      <w:autoSpaceDE w:val="0"/>
      <w:autoSpaceDN w:val="0"/>
      <w:adjustRightInd w:val="0"/>
      <w:spacing w:after="0" w:line="240" w:lineRule="auto"/>
    </w:pPr>
    <w:rPr>
      <w:rFonts w:ascii="Arial" w:hAnsi="Arial" w:cs="Arial"/>
      <w:color w:val="000000"/>
      <w:sz w:val="24"/>
      <w:szCs w:val="24"/>
    </w:rPr>
  </w:style>
  <w:style w:type="paragraph" w:styleId="Mapadeldocumento">
    <w:name w:val="Document Map"/>
    <w:basedOn w:val="Normal"/>
    <w:link w:val="MapadeldocumentoCar"/>
    <w:uiPriority w:val="99"/>
    <w:semiHidden/>
    <w:unhideWhenUsed/>
    <w:rsid w:val="009428C4"/>
    <w:pPr>
      <w:spacing w:line="240" w:lineRule="auto"/>
    </w:pPr>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9428C4"/>
    <w:rPr>
      <w:rFonts w:ascii="Tahoma" w:hAnsi="Tahoma" w:cs="Tahoma"/>
      <w:sz w:val="16"/>
      <w:szCs w:val="16"/>
      <w:lang w:val="es-ES" w:eastAsia="es-ES"/>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nhideWhenUsed/>
    <w:qFormat/>
    <w:rsid w:val="000251CB"/>
    <w:pPr>
      <w:spacing w:line="240" w:lineRule="auto"/>
    </w:pPr>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rsid w:val="000251CB"/>
    <w:rPr>
      <w:rFonts w:cs="Times New Roman"/>
      <w:sz w:val="20"/>
      <w:szCs w:val="20"/>
      <w:lang w:val="es-ES" w:eastAsia="es-ES"/>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ftref,Ref"/>
    <w:basedOn w:val="Fuentedeprrafopredeter"/>
    <w:uiPriority w:val="99"/>
    <w:unhideWhenUsed/>
    <w:qFormat/>
    <w:rsid w:val="000251CB"/>
    <w:rPr>
      <w:vertAlign w:val="superscript"/>
    </w:rPr>
  </w:style>
  <w:style w:type="character" w:customStyle="1" w:styleId="UnresolvedMention">
    <w:name w:val="Unresolved Mention"/>
    <w:basedOn w:val="Fuentedeprrafopredeter"/>
    <w:uiPriority w:val="99"/>
    <w:semiHidden/>
    <w:unhideWhenUsed/>
    <w:rsid w:val="00306F3A"/>
    <w:rPr>
      <w:color w:val="808080"/>
      <w:shd w:val="clear" w:color="auto" w:fill="E6E6E6"/>
    </w:rPr>
  </w:style>
</w:styles>
</file>

<file path=word/webSettings.xml><?xml version="1.0" encoding="utf-8"?>
<w:webSettings xmlns:r="http://schemas.openxmlformats.org/officeDocument/2006/relationships" xmlns:w="http://schemas.openxmlformats.org/wordprocessingml/2006/main">
  <w:divs>
    <w:div w:id="67114655">
      <w:bodyDiv w:val="1"/>
      <w:marLeft w:val="0"/>
      <w:marRight w:val="0"/>
      <w:marTop w:val="0"/>
      <w:marBottom w:val="0"/>
      <w:divBdr>
        <w:top w:val="none" w:sz="0" w:space="0" w:color="auto"/>
        <w:left w:val="none" w:sz="0" w:space="0" w:color="auto"/>
        <w:bottom w:val="none" w:sz="0" w:space="0" w:color="auto"/>
        <w:right w:val="none" w:sz="0" w:space="0" w:color="auto"/>
      </w:divBdr>
      <w:divsChild>
        <w:div w:id="1913999222">
          <w:marLeft w:val="547"/>
          <w:marRight w:val="0"/>
          <w:marTop w:val="0"/>
          <w:marBottom w:val="0"/>
          <w:divBdr>
            <w:top w:val="none" w:sz="0" w:space="0" w:color="auto"/>
            <w:left w:val="none" w:sz="0" w:space="0" w:color="auto"/>
            <w:bottom w:val="none" w:sz="0" w:space="0" w:color="auto"/>
            <w:right w:val="none" w:sz="0" w:space="0" w:color="auto"/>
          </w:divBdr>
        </w:div>
      </w:divsChild>
    </w:div>
    <w:div w:id="83764924">
      <w:bodyDiv w:val="1"/>
      <w:marLeft w:val="0"/>
      <w:marRight w:val="0"/>
      <w:marTop w:val="0"/>
      <w:marBottom w:val="0"/>
      <w:divBdr>
        <w:top w:val="none" w:sz="0" w:space="0" w:color="auto"/>
        <w:left w:val="none" w:sz="0" w:space="0" w:color="auto"/>
        <w:bottom w:val="none" w:sz="0" w:space="0" w:color="auto"/>
        <w:right w:val="none" w:sz="0" w:space="0" w:color="auto"/>
      </w:divBdr>
    </w:div>
    <w:div w:id="126170314">
      <w:bodyDiv w:val="1"/>
      <w:marLeft w:val="0"/>
      <w:marRight w:val="0"/>
      <w:marTop w:val="0"/>
      <w:marBottom w:val="0"/>
      <w:divBdr>
        <w:top w:val="none" w:sz="0" w:space="0" w:color="auto"/>
        <w:left w:val="none" w:sz="0" w:space="0" w:color="auto"/>
        <w:bottom w:val="none" w:sz="0" w:space="0" w:color="auto"/>
        <w:right w:val="none" w:sz="0" w:space="0" w:color="auto"/>
      </w:divBdr>
      <w:divsChild>
        <w:div w:id="1029915736">
          <w:marLeft w:val="547"/>
          <w:marRight w:val="0"/>
          <w:marTop w:val="0"/>
          <w:marBottom w:val="0"/>
          <w:divBdr>
            <w:top w:val="none" w:sz="0" w:space="0" w:color="auto"/>
            <w:left w:val="none" w:sz="0" w:space="0" w:color="auto"/>
            <w:bottom w:val="none" w:sz="0" w:space="0" w:color="auto"/>
            <w:right w:val="none" w:sz="0" w:space="0" w:color="auto"/>
          </w:divBdr>
        </w:div>
      </w:divsChild>
    </w:div>
    <w:div w:id="180241026">
      <w:bodyDiv w:val="1"/>
      <w:marLeft w:val="0"/>
      <w:marRight w:val="0"/>
      <w:marTop w:val="0"/>
      <w:marBottom w:val="0"/>
      <w:divBdr>
        <w:top w:val="none" w:sz="0" w:space="0" w:color="auto"/>
        <w:left w:val="none" w:sz="0" w:space="0" w:color="auto"/>
        <w:bottom w:val="none" w:sz="0" w:space="0" w:color="auto"/>
        <w:right w:val="none" w:sz="0" w:space="0" w:color="auto"/>
      </w:divBdr>
    </w:div>
    <w:div w:id="450512536">
      <w:bodyDiv w:val="1"/>
      <w:marLeft w:val="0"/>
      <w:marRight w:val="0"/>
      <w:marTop w:val="0"/>
      <w:marBottom w:val="0"/>
      <w:divBdr>
        <w:top w:val="none" w:sz="0" w:space="0" w:color="auto"/>
        <w:left w:val="none" w:sz="0" w:space="0" w:color="auto"/>
        <w:bottom w:val="none" w:sz="0" w:space="0" w:color="auto"/>
        <w:right w:val="none" w:sz="0" w:space="0" w:color="auto"/>
      </w:divBdr>
    </w:div>
    <w:div w:id="583271559">
      <w:bodyDiv w:val="1"/>
      <w:marLeft w:val="0"/>
      <w:marRight w:val="0"/>
      <w:marTop w:val="0"/>
      <w:marBottom w:val="0"/>
      <w:divBdr>
        <w:top w:val="none" w:sz="0" w:space="0" w:color="auto"/>
        <w:left w:val="none" w:sz="0" w:space="0" w:color="auto"/>
        <w:bottom w:val="none" w:sz="0" w:space="0" w:color="auto"/>
        <w:right w:val="none" w:sz="0" w:space="0" w:color="auto"/>
      </w:divBdr>
    </w:div>
    <w:div w:id="594485260">
      <w:bodyDiv w:val="1"/>
      <w:marLeft w:val="0"/>
      <w:marRight w:val="0"/>
      <w:marTop w:val="0"/>
      <w:marBottom w:val="0"/>
      <w:divBdr>
        <w:top w:val="none" w:sz="0" w:space="0" w:color="auto"/>
        <w:left w:val="none" w:sz="0" w:space="0" w:color="auto"/>
        <w:bottom w:val="none" w:sz="0" w:space="0" w:color="auto"/>
        <w:right w:val="none" w:sz="0" w:space="0" w:color="auto"/>
      </w:divBdr>
    </w:div>
    <w:div w:id="820926903">
      <w:bodyDiv w:val="1"/>
      <w:marLeft w:val="0"/>
      <w:marRight w:val="0"/>
      <w:marTop w:val="0"/>
      <w:marBottom w:val="0"/>
      <w:divBdr>
        <w:top w:val="none" w:sz="0" w:space="0" w:color="auto"/>
        <w:left w:val="none" w:sz="0" w:space="0" w:color="auto"/>
        <w:bottom w:val="none" w:sz="0" w:space="0" w:color="auto"/>
        <w:right w:val="none" w:sz="0" w:space="0" w:color="auto"/>
      </w:divBdr>
    </w:div>
    <w:div w:id="890268688">
      <w:bodyDiv w:val="1"/>
      <w:marLeft w:val="0"/>
      <w:marRight w:val="0"/>
      <w:marTop w:val="0"/>
      <w:marBottom w:val="0"/>
      <w:divBdr>
        <w:top w:val="none" w:sz="0" w:space="0" w:color="auto"/>
        <w:left w:val="none" w:sz="0" w:space="0" w:color="auto"/>
        <w:bottom w:val="none" w:sz="0" w:space="0" w:color="auto"/>
        <w:right w:val="none" w:sz="0" w:space="0" w:color="auto"/>
      </w:divBdr>
    </w:div>
    <w:div w:id="1294754298">
      <w:bodyDiv w:val="1"/>
      <w:marLeft w:val="0"/>
      <w:marRight w:val="0"/>
      <w:marTop w:val="0"/>
      <w:marBottom w:val="0"/>
      <w:divBdr>
        <w:top w:val="none" w:sz="0" w:space="0" w:color="auto"/>
        <w:left w:val="none" w:sz="0" w:space="0" w:color="auto"/>
        <w:bottom w:val="none" w:sz="0" w:space="0" w:color="auto"/>
        <w:right w:val="none" w:sz="0" w:space="0" w:color="auto"/>
      </w:divBdr>
    </w:div>
    <w:div w:id="1680617571">
      <w:bodyDiv w:val="1"/>
      <w:marLeft w:val="0"/>
      <w:marRight w:val="0"/>
      <w:marTop w:val="0"/>
      <w:marBottom w:val="0"/>
      <w:divBdr>
        <w:top w:val="none" w:sz="0" w:space="0" w:color="auto"/>
        <w:left w:val="none" w:sz="0" w:space="0" w:color="auto"/>
        <w:bottom w:val="none" w:sz="0" w:space="0" w:color="auto"/>
        <w:right w:val="none" w:sz="0" w:space="0" w:color="auto"/>
      </w:divBdr>
    </w:div>
    <w:div w:id="1977565254">
      <w:bodyDiv w:val="1"/>
      <w:marLeft w:val="0"/>
      <w:marRight w:val="0"/>
      <w:marTop w:val="0"/>
      <w:marBottom w:val="0"/>
      <w:divBdr>
        <w:top w:val="none" w:sz="0" w:space="0" w:color="auto"/>
        <w:left w:val="none" w:sz="0" w:space="0" w:color="auto"/>
        <w:bottom w:val="none" w:sz="0" w:space="0" w:color="auto"/>
        <w:right w:val="none" w:sz="0" w:space="0" w:color="auto"/>
      </w:divBdr>
    </w:div>
    <w:div w:id="1986079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9CE8B3-CA2C-435F-97E7-5E81F93EC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719</TotalTime>
  <Pages>20</Pages>
  <Words>5774</Words>
  <Characters>31761</Characters>
  <Application>Microsoft Office Word</Application>
  <DocSecurity>0</DocSecurity>
  <Lines>264</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Servicio social</dc:creator>
  <cp:lastModifiedBy>FATIMA</cp:lastModifiedBy>
  <cp:revision>33</cp:revision>
  <cp:lastPrinted>2018-03-14T19:11:00Z</cp:lastPrinted>
  <dcterms:created xsi:type="dcterms:W3CDTF">2017-03-06T20:49:00Z</dcterms:created>
  <dcterms:modified xsi:type="dcterms:W3CDTF">2018-03-14T19:12:00Z</dcterms:modified>
</cp:coreProperties>
</file>