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DF6FE2">
            <w:pPr>
              <w:ind w:left="-108"/>
              <w:rPr>
                <w:rFonts w:ascii="Arial" w:hAnsi="Arial" w:cs="Arial"/>
                <w:lang w:val="es-MX"/>
              </w:rPr>
            </w:pPr>
            <w:r w:rsidRPr="00D02FBD">
              <w:rPr>
                <w:rFonts w:ascii="Arial" w:hAnsi="Arial" w:cs="Arial"/>
                <w:b/>
                <w:lang w:val="es-MX"/>
              </w:rPr>
              <w:t xml:space="preserve">RECURSO DE REVISIÓN: </w:t>
            </w:r>
            <w:r w:rsidR="00D02FBD" w:rsidRPr="00D02FBD">
              <w:rPr>
                <w:rFonts w:ascii="Arial" w:hAnsi="Arial" w:cs="Arial"/>
                <w:lang w:val="es-MX"/>
              </w:rPr>
              <w:t>RR-003/2018</w:t>
            </w:r>
            <w:r w:rsidRPr="00D02FBD">
              <w:rPr>
                <w:rFonts w:ascii="Arial" w:hAnsi="Arial" w:cs="Arial"/>
                <w:lang w:val="es-MX"/>
              </w:rPr>
              <w:t>-3</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D02FBD">
            <w:pPr>
              <w:ind w:left="-108"/>
              <w:rPr>
                <w:rFonts w:ascii="Arial" w:hAnsi="Arial" w:cs="Arial"/>
                <w:lang w:val="es-MX"/>
              </w:rPr>
            </w:pPr>
            <w:r w:rsidRPr="00D02FBD">
              <w:rPr>
                <w:rFonts w:ascii="Arial" w:hAnsi="Arial" w:cs="Arial"/>
                <w:b/>
                <w:lang w:val="es-MX"/>
              </w:rPr>
              <w:t>ENTE OBLIGADO:</w:t>
            </w:r>
            <w:r w:rsidRPr="00D02FBD">
              <w:rPr>
                <w:rFonts w:ascii="Arial" w:hAnsi="Arial" w:cs="Arial"/>
                <w:lang w:val="es-MX"/>
              </w:rPr>
              <w:t xml:space="preserve"> </w:t>
            </w:r>
            <w:r w:rsidR="00F37CF8" w:rsidRPr="00D02FBD">
              <w:rPr>
                <w:rFonts w:ascii="Arial" w:hAnsi="Arial" w:cs="Arial"/>
                <w:lang w:val="es-MX"/>
              </w:rPr>
              <w:t xml:space="preserve">AYUNTAMIENTO DE </w:t>
            </w:r>
            <w:r w:rsidR="00D02FBD" w:rsidRPr="00D02FBD">
              <w:rPr>
                <w:rFonts w:ascii="Arial" w:hAnsi="Arial" w:cs="Arial"/>
                <w:lang w:val="es-MX"/>
              </w:rPr>
              <w:t>XILITLA</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C63190">
            <w:pPr>
              <w:ind w:left="-108"/>
              <w:rPr>
                <w:rFonts w:ascii="Arial" w:hAnsi="Arial" w:cs="Arial"/>
                <w:lang w:val="es-MX"/>
              </w:rPr>
            </w:pPr>
            <w:r w:rsidRPr="00D02FBD">
              <w:rPr>
                <w:rFonts w:ascii="Arial" w:hAnsi="Arial" w:cs="Arial"/>
                <w:b/>
                <w:lang w:val="es-MX"/>
              </w:rPr>
              <w:t xml:space="preserve">COMISIONADO PONENTE: </w:t>
            </w:r>
            <w:r w:rsidRPr="00D02FBD">
              <w:rPr>
                <w:rFonts w:ascii="Arial" w:hAnsi="Arial" w:cs="Arial"/>
                <w:lang w:val="es-MX"/>
              </w:rPr>
              <w:t>CLAUDIA ELIZABETH ÁVALOS CEDILLO</w:t>
            </w:r>
          </w:p>
        </w:tc>
      </w:tr>
    </w:tbl>
    <w:p w:rsidR="00547C44" w:rsidRPr="00D02FBD" w:rsidRDefault="00547C44" w:rsidP="00547C44">
      <w:pPr>
        <w:jc w:val="right"/>
        <w:rPr>
          <w:rFonts w:ascii="Arial" w:hAnsi="Arial" w:cs="Arial"/>
          <w:b/>
          <w:lang w:val="es-MX"/>
        </w:rPr>
      </w:pPr>
    </w:p>
    <w:p w:rsidR="00990C27" w:rsidRPr="00D02FBD" w:rsidRDefault="00547C44" w:rsidP="00990C27">
      <w:pPr>
        <w:pStyle w:val="Textoindependienteprimerasangra"/>
        <w:spacing w:after="0"/>
        <w:ind w:firstLine="0"/>
        <w:rPr>
          <w:rFonts w:ascii="Arial" w:eastAsia="Arial Unicode MS" w:hAnsi="Arial" w:cs="Arial"/>
          <w:szCs w:val="26"/>
          <w:lang w:val="es-MX"/>
        </w:rPr>
      </w:pPr>
      <w:r w:rsidRPr="00D02FBD">
        <w:rPr>
          <w:rFonts w:ascii="Arial" w:hAnsi="Arial" w:cs="Arial"/>
          <w:b/>
          <w:lang w:val="es-MX"/>
        </w:rPr>
        <w:tab/>
      </w:r>
      <w:r w:rsidRPr="00D02FBD">
        <w:rPr>
          <w:rFonts w:ascii="Arial" w:eastAsia="Arial Unicode MS" w:hAnsi="Arial" w:cs="Arial"/>
          <w:szCs w:val="26"/>
          <w:lang w:val="es-MX"/>
        </w:rPr>
        <w:t xml:space="preserve">San Luis Potosí, San Luis Potosí, </w:t>
      </w:r>
      <w:r w:rsidR="00D02FBD" w:rsidRPr="00D02FBD">
        <w:rPr>
          <w:rFonts w:ascii="Arial" w:eastAsia="Arial Unicode MS" w:hAnsi="Arial" w:cs="Arial"/>
          <w:szCs w:val="26"/>
          <w:lang w:val="es-MX"/>
        </w:rPr>
        <w:t>veintiuno de febrero</w:t>
      </w:r>
      <w:r w:rsidR="0089357B" w:rsidRPr="00D02FBD">
        <w:rPr>
          <w:rFonts w:ascii="Arial" w:eastAsia="Arial Unicode MS" w:hAnsi="Arial" w:cs="Arial"/>
          <w:szCs w:val="26"/>
          <w:lang w:val="es-MX"/>
        </w:rPr>
        <w:t xml:space="preserve"> de dos mil dieciocho</w:t>
      </w:r>
      <w:r w:rsidRPr="00D02FBD">
        <w:rPr>
          <w:rFonts w:ascii="Arial" w:eastAsia="Arial Unicode MS" w:hAnsi="Arial" w:cs="Arial"/>
          <w:szCs w:val="26"/>
          <w:lang w:val="es-MX"/>
        </w:rPr>
        <w:t>.</w:t>
      </w:r>
    </w:p>
    <w:p w:rsidR="00547C44" w:rsidRPr="00D02FBD" w:rsidRDefault="00990C27" w:rsidP="00990C27">
      <w:pPr>
        <w:pStyle w:val="Textoindependienteprimerasangra"/>
        <w:spacing w:before="240" w:after="0"/>
        <w:ind w:firstLine="0"/>
        <w:rPr>
          <w:rFonts w:ascii="Arial" w:eastAsia="Arial Unicode MS" w:hAnsi="Arial" w:cs="Arial"/>
          <w:szCs w:val="26"/>
          <w:lang w:val="es-MX"/>
        </w:rPr>
      </w:pPr>
      <w:r w:rsidRPr="00D02FBD">
        <w:rPr>
          <w:rFonts w:ascii="Arial" w:eastAsia="Arial Unicode MS" w:hAnsi="Arial" w:cs="Arial"/>
          <w:szCs w:val="26"/>
          <w:lang w:val="es-MX"/>
        </w:rPr>
        <w:tab/>
      </w:r>
      <w:r w:rsidR="00BB5A3B" w:rsidRPr="00D02FBD">
        <w:rPr>
          <w:rFonts w:ascii="Arial" w:eastAsia="Arial Unicode MS" w:hAnsi="Arial" w:cs="Arial"/>
          <w:b/>
          <w:szCs w:val="26"/>
          <w:lang w:val="es-MX"/>
        </w:rPr>
        <w:t>VIST</w:t>
      </w:r>
      <w:r w:rsidR="00547C44" w:rsidRPr="00D02FBD">
        <w:rPr>
          <w:rFonts w:ascii="Arial" w:eastAsia="Arial Unicode MS" w:hAnsi="Arial" w:cs="Arial"/>
          <w:b/>
          <w:szCs w:val="26"/>
          <w:lang w:val="es-MX"/>
        </w:rPr>
        <w:t>O</w:t>
      </w:r>
      <w:r w:rsidR="00BB5A3B" w:rsidRPr="00D02FBD">
        <w:rPr>
          <w:rFonts w:ascii="Arial" w:eastAsia="Arial Unicode MS" w:hAnsi="Arial" w:cs="Arial"/>
          <w:b/>
          <w:szCs w:val="26"/>
          <w:lang w:val="es-MX"/>
        </w:rPr>
        <w:t>S</w:t>
      </w:r>
      <w:r w:rsidR="00547C44" w:rsidRPr="00D02FBD">
        <w:rPr>
          <w:rFonts w:ascii="Arial" w:eastAsia="Arial Unicode MS" w:hAnsi="Arial" w:cs="Arial"/>
          <w:szCs w:val="26"/>
          <w:lang w:val="es-MX"/>
        </w:rPr>
        <w:t xml:space="preserve"> para resolver los autos que conforman el expediente </w:t>
      </w:r>
      <w:r w:rsidR="00D02FBD" w:rsidRPr="00D02FBD">
        <w:rPr>
          <w:rFonts w:ascii="Arial" w:hAnsi="Arial" w:cs="Arial"/>
          <w:b/>
          <w:lang w:val="es-MX"/>
        </w:rPr>
        <w:t>003</w:t>
      </w:r>
      <w:r w:rsidR="00547C44" w:rsidRPr="00D02FBD">
        <w:rPr>
          <w:rFonts w:ascii="Arial" w:hAnsi="Arial" w:cs="Arial"/>
          <w:b/>
          <w:lang w:val="es-MX"/>
        </w:rPr>
        <w:t>/201</w:t>
      </w:r>
      <w:r w:rsidR="00D02FBD" w:rsidRPr="00D02FBD">
        <w:rPr>
          <w:rFonts w:ascii="Arial" w:hAnsi="Arial" w:cs="Arial"/>
          <w:b/>
          <w:lang w:val="es-MX"/>
        </w:rPr>
        <w:t>8</w:t>
      </w:r>
      <w:r w:rsidR="00547C44" w:rsidRPr="00D02FBD">
        <w:rPr>
          <w:rFonts w:ascii="Arial" w:hAnsi="Arial" w:cs="Arial"/>
          <w:b/>
          <w:lang w:val="es-MX"/>
        </w:rPr>
        <w:t xml:space="preserve">-3 </w:t>
      </w:r>
      <w:r w:rsidR="00547C44" w:rsidRPr="00D02FBD">
        <w:rPr>
          <w:rFonts w:ascii="Arial" w:eastAsia="Arial Unicode MS" w:hAnsi="Arial" w:cs="Arial"/>
          <w:szCs w:val="26"/>
          <w:lang w:val="es-MX"/>
        </w:rPr>
        <w:t xml:space="preserve">del índice de esta comisión, relativo al </w:t>
      </w:r>
      <w:r w:rsidR="00547C44" w:rsidRPr="00D02FBD">
        <w:rPr>
          <w:rFonts w:ascii="Arial" w:eastAsia="Arial Unicode MS" w:hAnsi="Arial" w:cs="Arial"/>
          <w:b/>
          <w:szCs w:val="26"/>
          <w:lang w:val="es-MX"/>
        </w:rPr>
        <w:t>recurso de revisión</w:t>
      </w:r>
      <w:r w:rsidR="00547C44" w:rsidRPr="00D02FBD">
        <w:rPr>
          <w:rFonts w:ascii="Arial" w:eastAsia="Arial Unicode MS" w:hAnsi="Arial" w:cs="Arial"/>
          <w:szCs w:val="26"/>
          <w:lang w:val="es-MX"/>
        </w:rPr>
        <w:t>, interpuesto co</w:t>
      </w:r>
      <w:r w:rsidR="00F37CF8" w:rsidRPr="00D02FBD">
        <w:rPr>
          <w:rFonts w:ascii="Arial" w:eastAsia="Arial Unicode MS" w:hAnsi="Arial" w:cs="Arial"/>
          <w:szCs w:val="26"/>
          <w:lang w:val="es-MX"/>
        </w:rPr>
        <w:t>ntra el</w:t>
      </w:r>
      <w:r w:rsidR="00547C44" w:rsidRPr="00D02FBD">
        <w:rPr>
          <w:rFonts w:ascii="Arial" w:eastAsia="Arial Unicode MS" w:hAnsi="Arial" w:cs="Arial"/>
          <w:szCs w:val="26"/>
          <w:lang w:val="es-MX"/>
        </w:rPr>
        <w:t xml:space="preserve"> </w:t>
      </w:r>
      <w:r w:rsidR="00F37CF8" w:rsidRPr="00D02FBD">
        <w:rPr>
          <w:rFonts w:ascii="Arial" w:eastAsia="Arial Unicode MS" w:hAnsi="Arial" w:cs="Arial"/>
          <w:b/>
          <w:szCs w:val="26"/>
          <w:lang w:val="es-MX"/>
        </w:rPr>
        <w:t xml:space="preserve">AYUNTAMIENTO DE </w:t>
      </w:r>
      <w:r w:rsidR="00D02FBD" w:rsidRPr="00D02FBD">
        <w:rPr>
          <w:rFonts w:ascii="Arial" w:eastAsia="Arial Unicode MS" w:hAnsi="Arial" w:cs="Arial"/>
          <w:b/>
          <w:szCs w:val="26"/>
          <w:lang w:val="es-MX"/>
        </w:rPr>
        <w:t>XILITLA</w:t>
      </w:r>
      <w:r w:rsidR="00547C44" w:rsidRPr="00D02FBD">
        <w:rPr>
          <w:rFonts w:ascii="Arial" w:eastAsia="Arial Unicode MS" w:hAnsi="Arial" w:cs="Arial"/>
          <w:b/>
          <w:szCs w:val="26"/>
          <w:lang w:val="es-MX"/>
        </w:rPr>
        <w:t xml:space="preserve">, </w:t>
      </w:r>
      <w:r w:rsidR="00547C44" w:rsidRPr="00D02FBD">
        <w:rPr>
          <w:rFonts w:ascii="Arial" w:eastAsia="Arial Unicode MS" w:hAnsi="Arial" w:cs="Arial"/>
          <w:szCs w:val="26"/>
          <w:lang w:val="es-MX"/>
        </w:rPr>
        <w:t>y</w:t>
      </w:r>
    </w:p>
    <w:p w:rsidR="00990C27" w:rsidRPr="00D02FBD" w:rsidRDefault="00547C44" w:rsidP="00990C27">
      <w:pPr>
        <w:pStyle w:val="Textoindependienteprimerasangra"/>
        <w:spacing w:before="240"/>
        <w:ind w:firstLine="900"/>
        <w:jc w:val="center"/>
        <w:rPr>
          <w:rFonts w:ascii="Arial" w:eastAsia="Arial Unicode MS" w:hAnsi="Arial" w:cs="Arial"/>
          <w:b/>
          <w:szCs w:val="26"/>
          <w:lang w:val="es-MX"/>
        </w:rPr>
      </w:pPr>
      <w:r w:rsidRPr="00D02FBD">
        <w:rPr>
          <w:rFonts w:ascii="Arial" w:eastAsia="Arial Unicode MS" w:hAnsi="Arial" w:cs="Arial"/>
          <w:b/>
          <w:szCs w:val="26"/>
          <w:lang w:val="es-MX"/>
        </w:rPr>
        <w:t>A N T E C E D E N T E S:</w:t>
      </w:r>
    </w:p>
    <w:p w:rsidR="00547C44" w:rsidRPr="00D02FBD" w:rsidRDefault="00990C27" w:rsidP="00990C27">
      <w:pPr>
        <w:pStyle w:val="Textoindependienteprimerasangra"/>
        <w:spacing w:before="240"/>
        <w:ind w:firstLine="0"/>
        <w:rPr>
          <w:rFonts w:ascii="Arial" w:eastAsia="Arial Unicode MS" w:hAnsi="Arial" w:cs="Arial"/>
          <w:b/>
          <w:szCs w:val="26"/>
          <w:lang w:val="es-MX"/>
        </w:rPr>
      </w:pPr>
      <w:r w:rsidRPr="00D02FBD">
        <w:rPr>
          <w:rFonts w:ascii="Arial" w:eastAsia="Arial Unicode MS" w:hAnsi="Arial" w:cs="Arial"/>
          <w:b/>
          <w:szCs w:val="26"/>
          <w:lang w:val="es-MX"/>
        </w:rPr>
        <w:tab/>
      </w:r>
      <w:r w:rsidR="00547C44" w:rsidRPr="00D02FBD">
        <w:rPr>
          <w:rFonts w:ascii="Arial" w:eastAsia="Arial Unicode MS" w:hAnsi="Arial" w:cs="Arial"/>
          <w:b/>
          <w:szCs w:val="26"/>
          <w:lang w:val="es-MX"/>
        </w:rPr>
        <w:t xml:space="preserve">PRIMERO. Solicitud de Información. </w:t>
      </w:r>
      <w:r w:rsidR="00DF6FE2" w:rsidRPr="00D02FBD">
        <w:rPr>
          <w:rFonts w:ascii="Arial" w:eastAsia="Arial Unicode MS" w:hAnsi="Arial" w:cs="Arial"/>
          <w:b/>
          <w:szCs w:val="26"/>
          <w:lang w:val="es-MX"/>
        </w:rPr>
        <w:t xml:space="preserve">El </w:t>
      </w:r>
      <w:r w:rsidR="00957231" w:rsidRPr="00D02FBD">
        <w:rPr>
          <w:rFonts w:ascii="Arial" w:eastAsia="Arial Unicode MS" w:hAnsi="Arial" w:cs="Arial"/>
          <w:b/>
          <w:szCs w:val="26"/>
          <w:lang w:val="es-MX"/>
        </w:rPr>
        <w:t xml:space="preserve">treinta de </w:t>
      </w:r>
      <w:r w:rsidR="00D02FBD" w:rsidRPr="00D02FBD">
        <w:rPr>
          <w:rFonts w:ascii="Arial" w:eastAsia="Arial Unicode MS" w:hAnsi="Arial" w:cs="Arial"/>
          <w:b/>
          <w:szCs w:val="26"/>
          <w:lang w:val="es-MX"/>
        </w:rPr>
        <w:t>noviembre</w:t>
      </w:r>
      <w:r w:rsidR="00013C06" w:rsidRPr="00D02FBD">
        <w:rPr>
          <w:rFonts w:ascii="Arial" w:eastAsia="Arial Unicode MS" w:hAnsi="Arial" w:cs="Arial"/>
          <w:b/>
          <w:szCs w:val="26"/>
          <w:lang w:val="es-MX"/>
        </w:rPr>
        <w:t xml:space="preserve"> de </w:t>
      </w:r>
      <w:r w:rsidR="00547C44" w:rsidRPr="00D02FBD">
        <w:rPr>
          <w:rFonts w:ascii="Arial" w:eastAsia="Arial Unicode MS" w:hAnsi="Arial" w:cs="Arial"/>
          <w:b/>
          <w:szCs w:val="26"/>
          <w:lang w:val="es-MX"/>
        </w:rPr>
        <w:t xml:space="preserve">dos mil </w:t>
      </w:r>
      <w:r w:rsidRPr="00D02FBD">
        <w:rPr>
          <w:rFonts w:ascii="Arial" w:eastAsia="Arial Unicode MS" w:hAnsi="Arial" w:cs="Arial"/>
          <w:b/>
          <w:szCs w:val="26"/>
          <w:lang w:val="es-MX"/>
        </w:rPr>
        <w:t>diecisiete</w:t>
      </w:r>
      <w:r w:rsidR="00547C44" w:rsidRPr="00D02FBD">
        <w:rPr>
          <w:rFonts w:ascii="Arial" w:eastAsia="Arial Unicode MS" w:hAnsi="Arial" w:cs="Arial"/>
          <w:szCs w:val="26"/>
          <w:lang w:val="es-MX"/>
        </w:rPr>
        <w:t xml:space="preserve">, </w:t>
      </w:r>
      <w:r w:rsidR="0065301A" w:rsidRPr="00D02FBD">
        <w:rPr>
          <w:rFonts w:ascii="Arial" w:hAnsi="Arial" w:cs="Arial"/>
          <w:lang w:val="es-MX"/>
        </w:rPr>
        <w:t>se</w:t>
      </w:r>
      <w:r w:rsidR="00746974" w:rsidRPr="00D02FBD">
        <w:rPr>
          <w:rFonts w:ascii="Arial" w:eastAsia="Arial Unicode MS" w:hAnsi="Arial" w:cs="Arial"/>
          <w:szCs w:val="26"/>
          <w:lang w:val="es-MX"/>
        </w:rPr>
        <w:t xml:space="preserve"> </w:t>
      </w:r>
      <w:r w:rsidR="0065301A" w:rsidRPr="00D02FBD">
        <w:rPr>
          <w:rFonts w:ascii="Arial" w:eastAsia="Arial Unicode MS" w:hAnsi="Arial" w:cs="Arial"/>
          <w:szCs w:val="26"/>
          <w:lang w:val="es-MX"/>
        </w:rPr>
        <w:t>presentó</w:t>
      </w:r>
      <w:r w:rsidR="00C63190" w:rsidRPr="00D02FBD">
        <w:rPr>
          <w:rFonts w:ascii="Arial" w:eastAsia="Arial Unicode MS" w:hAnsi="Arial" w:cs="Arial"/>
          <w:szCs w:val="26"/>
          <w:lang w:val="es-MX"/>
        </w:rPr>
        <w:t xml:space="preserve"> una solicitud de información a</w:t>
      </w:r>
      <w:r w:rsidR="00DC51FF" w:rsidRPr="00D02FBD">
        <w:rPr>
          <w:rFonts w:ascii="Arial" w:eastAsia="Arial Unicode MS" w:hAnsi="Arial" w:cs="Arial"/>
          <w:szCs w:val="26"/>
          <w:lang w:val="es-MX"/>
        </w:rPr>
        <w:t>l</w:t>
      </w:r>
      <w:r w:rsidR="00547C44" w:rsidRPr="00D02FBD">
        <w:rPr>
          <w:rFonts w:ascii="Arial" w:eastAsia="Arial Unicode MS" w:hAnsi="Arial" w:cs="Arial"/>
          <w:szCs w:val="26"/>
          <w:lang w:val="es-MX"/>
        </w:rPr>
        <w:t xml:space="preserve"> </w:t>
      </w:r>
      <w:r w:rsidR="00957231" w:rsidRPr="00D02FBD">
        <w:rPr>
          <w:rFonts w:ascii="Arial" w:eastAsia="Arial Unicode MS" w:hAnsi="Arial" w:cs="Arial"/>
          <w:b/>
          <w:szCs w:val="26"/>
          <w:lang w:val="es-MX"/>
        </w:rPr>
        <w:t xml:space="preserve">AYUNTAMIENTO DE </w:t>
      </w:r>
      <w:r w:rsidR="00D02FBD" w:rsidRPr="00D02FBD">
        <w:rPr>
          <w:rFonts w:ascii="Arial" w:eastAsia="Arial Unicode MS" w:hAnsi="Arial" w:cs="Arial"/>
          <w:b/>
          <w:szCs w:val="26"/>
          <w:lang w:val="es-MX"/>
        </w:rPr>
        <w:t>XILITLA</w:t>
      </w:r>
      <w:r w:rsidR="00746974" w:rsidRPr="00D02FBD">
        <w:rPr>
          <w:rFonts w:ascii="Arial" w:eastAsia="Arial Unicode MS" w:hAnsi="Arial" w:cs="Arial"/>
          <w:b/>
          <w:szCs w:val="26"/>
          <w:lang w:val="es-MX"/>
        </w:rPr>
        <w:t>,</w:t>
      </w:r>
      <w:r w:rsidR="00547C44" w:rsidRPr="00D02FBD">
        <w:rPr>
          <w:rFonts w:ascii="Arial" w:eastAsia="Arial Unicode MS" w:hAnsi="Arial" w:cs="Arial"/>
          <w:b/>
          <w:szCs w:val="26"/>
          <w:lang w:val="es-MX"/>
        </w:rPr>
        <w:t xml:space="preserve"> </w:t>
      </w:r>
      <w:r w:rsidR="00547C44" w:rsidRPr="00D02FBD">
        <w:rPr>
          <w:rFonts w:ascii="Arial" w:eastAsia="Arial Unicode MS" w:hAnsi="Arial" w:cs="Arial"/>
          <w:szCs w:val="26"/>
          <w:lang w:val="es-MX"/>
        </w:rPr>
        <w:t>consistió la petición de</w:t>
      </w:r>
      <w:r w:rsidR="000A6A64" w:rsidRPr="00D02FBD">
        <w:rPr>
          <w:rFonts w:ascii="Arial" w:eastAsia="Arial Unicode MS" w:hAnsi="Arial" w:cs="Arial"/>
          <w:szCs w:val="26"/>
          <w:lang w:val="es-MX"/>
        </w:rPr>
        <w:t xml:space="preserve"> </w:t>
      </w:r>
      <w:r w:rsidR="00547C44" w:rsidRPr="00D02FBD">
        <w:rPr>
          <w:rFonts w:ascii="Arial" w:eastAsia="Arial Unicode MS" w:hAnsi="Arial" w:cs="Arial"/>
          <w:szCs w:val="26"/>
          <w:lang w:val="es-MX"/>
        </w:rPr>
        <w:t>l</w:t>
      </w:r>
      <w:r w:rsidR="000A6A64" w:rsidRPr="00D02FBD">
        <w:rPr>
          <w:rFonts w:ascii="Arial" w:eastAsia="Arial Unicode MS" w:hAnsi="Arial" w:cs="Arial"/>
          <w:szCs w:val="26"/>
          <w:lang w:val="es-MX"/>
        </w:rPr>
        <w:t>a</w:t>
      </w:r>
      <w:r w:rsidR="00547C44" w:rsidRPr="00D02FBD">
        <w:rPr>
          <w:rFonts w:ascii="Arial" w:eastAsia="Arial Unicode MS" w:hAnsi="Arial" w:cs="Arial"/>
          <w:szCs w:val="26"/>
          <w:lang w:val="es-MX"/>
        </w:rPr>
        <w:t xml:space="preserve"> solicitante en lo siguiente:</w:t>
      </w:r>
      <w:r w:rsidR="00547C44" w:rsidRPr="00D02FBD">
        <w:rPr>
          <w:rFonts w:ascii="Arial" w:eastAsia="Arial Unicode MS" w:hAnsi="Arial" w:cs="Arial"/>
          <w:b/>
          <w:szCs w:val="26"/>
          <w:lang w:val="es-MX"/>
        </w:rPr>
        <w:t xml:space="preserve"> </w:t>
      </w:r>
    </w:p>
    <w:p w:rsidR="00C63190" w:rsidRPr="00D02FBD" w:rsidRDefault="00C01D46" w:rsidP="00D02FBD">
      <w:pPr>
        <w:pStyle w:val="Textoindependienteprimerasangra"/>
        <w:spacing w:after="0" w:line="240" w:lineRule="auto"/>
        <w:ind w:left="851" w:firstLine="900"/>
        <w:rPr>
          <w:rFonts w:ascii="Arial" w:eastAsia="Arial Unicode MS" w:hAnsi="Arial" w:cs="Arial"/>
          <w:i/>
          <w:sz w:val="22"/>
          <w:szCs w:val="22"/>
          <w:lang w:val="es-MX"/>
        </w:rPr>
      </w:pPr>
      <w:r w:rsidRPr="00D02FBD">
        <w:rPr>
          <w:rFonts w:ascii="Arial" w:eastAsia="Arial Unicode MS" w:hAnsi="Arial" w:cs="Arial"/>
          <w:i/>
          <w:sz w:val="22"/>
          <w:szCs w:val="22"/>
          <w:lang w:val="es-MX"/>
        </w:rPr>
        <w:t>“</w:t>
      </w:r>
      <w:r w:rsidR="00D02FBD" w:rsidRPr="00D02FBD">
        <w:rPr>
          <w:rFonts w:ascii="Arial" w:eastAsia="Arial Unicode MS" w:hAnsi="Arial" w:cs="Arial"/>
          <w:i/>
          <w:sz w:val="22"/>
          <w:szCs w:val="22"/>
          <w:lang w:val="es-MX"/>
        </w:rPr>
        <w:t>Realización de pago(s) Federal(es), Estatal(es) y/o Municipal(es) a los Condueños ZORRILA SERRANO como compensación económica por autorización de la construcción del Proyecto denominado “Pavimentación de calle ´Cadena-Arroyo’, 2015”, ejecutándose un “Dren” dentro del área (propiedad de los coherederos Zorrilla Serrano)</w:t>
      </w:r>
      <w:r w:rsidR="00A06DD6" w:rsidRPr="00D02FBD">
        <w:rPr>
          <w:rFonts w:ascii="Arial" w:eastAsia="Arial Unicode MS" w:hAnsi="Arial" w:cs="Arial"/>
          <w:i/>
          <w:sz w:val="22"/>
          <w:szCs w:val="22"/>
          <w:lang w:val="es-MX"/>
        </w:rPr>
        <w:t>”</w:t>
      </w:r>
      <w:r w:rsidR="004C0527" w:rsidRPr="00D02FBD">
        <w:rPr>
          <w:rFonts w:ascii="Arial" w:eastAsia="Arial Unicode MS" w:hAnsi="Arial" w:cs="Arial"/>
          <w:i/>
          <w:sz w:val="22"/>
          <w:szCs w:val="22"/>
          <w:lang w:val="es-MX"/>
        </w:rPr>
        <w:t>.</w:t>
      </w:r>
    </w:p>
    <w:p w:rsidR="00935B9B" w:rsidRPr="00D02FBD" w:rsidRDefault="00547C44" w:rsidP="00D02FBD">
      <w:pPr>
        <w:spacing w:before="240"/>
        <w:ind w:firstLine="708"/>
        <w:rPr>
          <w:rFonts w:ascii="Arial" w:hAnsi="Arial" w:cs="Arial"/>
        </w:rPr>
      </w:pPr>
      <w:r w:rsidRPr="00D02FBD">
        <w:rPr>
          <w:rFonts w:ascii="Arial" w:eastAsia="Arial Unicode MS" w:hAnsi="Arial" w:cs="Arial"/>
          <w:b/>
        </w:rPr>
        <w:t xml:space="preserve">SEGUNDO. </w:t>
      </w:r>
      <w:r w:rsidRPr="00D02FBD">
        <w:rPr>
          <w:rFonts w:ascii="Arial" w:hAnsi="Arial" w:cs="Arial"/>
          <w:b/>
        </w:rPr>
        <w:t xml:space="preserve">Respuesta del sujeto obligado. </w:t>
      </w:r>
      <w:r w:rsidR="00033326" w:rsidRPr="00D02FBD">
        <w:rPr>
          <w:rFonts w:ascii="Arial" w:hAnsi="Arial" w:cs="Arial"/>
        </w:rPr>
        <w:t>El</w:t>
      </w:r>
      <w:r w:rsidR="00013C06" w:rsidRPr="00D02FBD">
        <w:rPr>
          <w:rFonts w:ascii="Arial" w:hAnsi="Arial" w:cs="Arial"/>
        </w:rPr>
        <w:t xml:space="preserve"> </w:t>
      </w:r>
      <w:r w:rsidR="00FE16C1" w:rsidRPr="00D02FBD">
        <w:rPr>
          <w:rFonts w:ascii="Arial" w:hAnsi="Arial" w:cs="Arial"/>
          <w:b/>
        </w:rPr>
        <w:t>quince</w:t>
      </w:r>
      <w:r w:rsidR="00935B9B" w:rsidRPr="00D02FBD">
        <w:rPr>
          <w:rFonts w:ascii="Arial" w:hAnsi="Arial" w:cs="Arial"/>
          <w:b/>
        </w:rPr>
        <w:t xml:space="preserve"> de </w:t>
      </w:r>
      <w:r w:rsidR="00D02FBD" w:rsidRPr="00D02FBD">
        <w:rPr>
          <w:rFonts w:ascii="Arial" w:hAnsi="Arial" w:cs="Arial"/>
          <w:b/>
        </w:rPr>
        <w:t>diciembre</w:t>
      </w:r>
      <w:r w:rsidR="00F531C2" w:rsidRPr="00D02FBD">
        <w:rPr>
          <w:rFonts w:ascii="Arial" w:hAnsi="Arial" w:cs="Arial"/>
          <w:b/>
        </w:rPr>
        <w:t xml:space="preserve"> </w:t>
      </w:r>
      <w:r w:rsidR="00013C06" w:rsidRPr="00D02FBD">
        <w:rPr>
          <w:rFonts w:ascii="Arial" w:hAnsi="Arial" w:cs="Arial"/>
          <w:b/>
        </w:rPr>
        <w:t xml:space="preserve">de </w:t>
      </w:r>
      <w:r w:rsidRPr="00D02FBD">
        <w:rPr>
          <w:rFonts w:ascii="Arial" w:hAnsi="Arial" w:cs="Arial"/>
          <w:b/>
        </w:rPr>
        <w:t xml:space="preserve">dos mil </w:t>
      </w:r>
      <w:r w:rsidR="009C6A00" w:rsidRPr="00D02FBD">
        <w:rPr>
          <w:rFonts w:ascii="Arial" w:hAnsi="Arial" w:cs="Arial"/>
          <w:b/>
        </w:rPr>
        <w:t>diecisiete</w:t>
      </w:r>
      <w:r w:rsidRPr="00D02FBD">
        <w:rPr>
          <w:rFonts w:ascii="Arial" w:hAnsi="Arial" w:cs="Arial"/>
        </w:rPr>
        <w:t xml:space="preserve">, </w:t>
      </w:r>
      <w:r w:rsidR="00D02FBD" w:rsidRPr="00D02FBD">
        <w:rPr>
          <w:rFonts w:ascii="Arial" w:hAnsi="Arial" w:cs="Arial"/>
        </w:rPr>
        <w:t>el Titular de la Unidad de Transparencia acompañó al particular un documento por el cual le informó que el área ante la cual se gestionó la solicitud no dio contestación a éste.</w:t>
      </w:r>
      <w:r w:rsidR="003C3862" w:rsidRPr="00D02FBD">
        <w:rPr>
          <w:rFonts w:ascii="Arial" w:hAnsi="Arial" w:cs="Arial"/>
          <w:sz w:val="22"/>
          <w:szCs w:val="22"/>
        </w:rPr>
        <w:tab/>
      </w:r>
      <w:r w:rsidR="003C3862" w:rsidRPr="00D02FBD">
        <w:rPr>
          <w:rFonts w:ascii="Arial" w:hAnsi="Arial" w:cs="Arial"/>
          <w:sz w:val="22"/>
          <w:szCs w:val="22"/>
        </w:rPr>
        <w:tab/>
      </w:r>
    </w:p>
    <w:p w:rsidR="00935B9B" w:rsidRPr="00D02FBD" w:rsidRDefault="00935B9B" w:rsidP="00935B9B">
      <w:pPr>
        <w:spacing w:line="240" w:lineRule="auto"/>
        <w:ind w:left="709" w:hanging="1"/>
        <w:rPr>
          <w:rFonts w:ascii="Arial" w:hAnsi="Arial" w:cs="Arial"/>
          <w:i/>
          <w:sz w:val="22"/>
          <w:szCs w:val="22"/>
        </w:rPr>
      </w:pPr>
    </w:p>
    <w:p w:rsidR="00C9337E" w:rsidRPr="00D02FBD" w:rsidRDefault="00547C44" w:rsidP="00D02FBD">
      <w:pPr>
        <w:pStyle w:val="Textoindependienteprimerasangra"/>
        <w:spacing w:after="0"/>
        <w:ind w:firstLine="708"/>
        <w:rPr>
          <w:rFonts w:ascii="Arial" w:eastAsia="Arial Unicode MS" w:hAnsi="Arial" w:cs="Arial"/>
          <w:szCs w:val="26"/>
          <w:lang w:val="es-MX"/>
        </w:rPr>
      </w:pPr>
      <w:r w:rsidRPr="00D02FBD">
        <w:rPr>
          <w:rFonts w:ascii="Arial" w:hAnsi="Arial" w:cs="Arial"/>
          <w:b/>
          <w:szCs w:val="26"/>
        </w:rPr>
        <w:t xml:space="preserve">TERCERO. Interposición del recurso de revisión. </w:t>
      </w:r>
      <w:r w:rsidRPr="00D02FBD">
        <w:rPr>
          <w:rFonts w:ascii="Arial" w:hAnsi="Arial" w:cs="Arial"/>
          <w:szCs w:val="26"/>
        </w:rPr>
        <w:t xml:space="preserve">El </w:t>
      </w:r>
      <w:r w:rsidR="00D02FBD" w:rsidRPr="00D02FBD">
        <w:rPr>
          <w:rFonts w:ascii="Arial" w:hAnsi="Arial" w:cs="Arial"/>
          <w:b/>
          <w:szCs w:val="26"/>
        </w:rPr>
        <w:t>quince</w:t>
      </w:r>
      <w:r w:rsidR="00FE16C1" w:rsidRPr="00D02FBD">
        <w:rPr>
          <w:rFonts w:ascii="Arial" w:hAnsi="Arial" w:cs="Arial"/>
          <w:b/>
          <w:szCs w:val="26"/>
        </w:rPr>
        <w:t xml:space="preserve"> de diciembre</w:t>
      </w:r>
      <w:r w:rsidR="00A26A62" w:rsidRPr="00D02FBD">
        <w:rPr>
          <w:rFonts w:ascii="Arial" w:hAnsi="Arial" w:cs="Arial"/>
          <w:b/>
          <w:szCs w:val="26"/>
        </w:rPr>
        <w:t xml:space="preserve"> de </w:t>
      </w:r>
      <w:r w:rsidR="00033326" w:rsidRPr="00D02FBD">
        <w:rPr>
          <w:rFonts w:ascii="Arial" w:hAnsi="Arial" w:cs="Arial"/>
          <w:b/>
          <w:szCs w:val="26"/>
        </w:rPr>
        <w:t>dos mil diecisiete</w:t>
      </w:r>
      <w:r w:rsidRPr="00D02FBD">
        <w:rPr>
          <w:rFonts w:ascii="Arial" w:hAnsi="Arial" w:cs="Arial"/>
          <w:szCs w:val="26"/>
        </w:rPr>
        <w:t>,</w:t>
      </w:r>
      <w:r w:rsidR="00D02FBD" w:rsidRPr="00D02FBD">
        <w:rPr>
          <w:rFonts w:ascii="Arial" w:hAnsi="Arial" w:cs="Arial"/>
          <w:szCs w:val="26"/>
        </w:rPr>
        <w:t xml:space="preserve"> la</w:t>
      </w:r>
      <w:r w:rsidR="00FF4E67" w:rsidRPr="00D02FBD">
        <w:rPr>
          <w:rFonts w:ascii="Arial" w:hAnsi="Arial" w:cs="Arial"/>
          <w:szCs w:val="26"/>
        </w:rPr>
        <w:t xml:space="preserve"> recurrente interpuso el presente medio de impugnación,</w:t>
      </w:r>
      <w:r w:rsidR="00D02FBD" w:rsidRPr="00D02FBD">
        <w:rPr>
          <w:rFonts w:ascii="Arial" w:hAnsi="Arial" w:cs="Arial"/>
          <w:szCs w:val="26"/>
        </w:rPr>
        <w:t xml:space="preserve"> mismo que se recibió ante esta Comisión el cuatro de enero de dos mil dieciocho,</w:t>
      </w:r>
      <w:r w:rsidR="00935B9B" w:rsidRPr="00D02FBD">
        <w:rPr>
          <w:rFonts w:ascii="Arial" w:hAnsi="Arial" w:cs="Arial"/>
          <w:szCs w:val="26"/>
        </w:rPr>
        <w:t xml:space="preserve"> </w:t>
      </w:r>
      <w:r w:rsidR="00662D15" w:rsidRPr="00D02FBD">
        <w:rPr>
          <w:rFonts w:ascii="Arial" w:hAnsi="Arial" w:cs="Arial"/>
          <w:szCs w:val="26"/>
        </w:rPr>
        <w:t xml:space="preserve">por </w:t>
      </w:r>
      <w:r w:rsidR="00FF4E67" w:rsidRPr="00D02FBD">
        <w:rPr>
          <w:rFonts w:ascii="Arial" w:hAnsi="Arial" w:cs="Arial"/>
          <w:szCs w:val="26"/>
        </w:rPr>
        <w:t xml:space="preserve">el cual </w:t>
      </w:r>
      <w:r w:rsidR="00662D15" w:rsidRPr="00D02FBD">
        <w:rPr>
          <w:rFonts w:ascii="Arial" w:hAnsi="Arial" w:cs="Arial"/>
          <w:szCs w:val="26"/>
        </w:rPr>
        <w:t>impugnó</w:t>
      </w:r>
      <w:r w:rsidR="00FF4E67" w:rsidRPr="00D02FBD">
        <w:rPr>
          <w:rFonts w:ascii="Arial" w:hAnsi="Arial" w:cs="Arial"/>
          <w:szCs w:val="26"/>
        </w:rPr>
        <w:t xml:space="preserve"> la </w:t>
      </w:r>
      <w:r w:rsidR="00D02FBD" w:rsidRPr="00D02FBD">
        <w:rPr>
          <w:rFonts w:ascii="Arial" w:hAnsi="Arial" w:cs="Arial"/>
          <w:szCs w:val="26"/>
        </w:rPr>
        <w:t>falta de respuesta dentro del plazo que reconoce el artículo 164 de la Ley  de Transparencia y Acceso a la Información Pública del Estado.</w:t>
      </w:r>
    </w:p>
    <w:p w:rsidR="00547C44" w:rsidRPr="00D02FBD" w:rsidRDefault="00547C44" w:rsidP="00662D15">
      <w:pPr>
        <w:spacing w:before="240"/>
        <w:rPr>
          <w:rFonts w:ascii="Arial" w:hAnsi="Arial" w:cs="Arial"/>
        </w:rPr>
      </w:pPr>
      <w:r w:rsidRPr="00D02FBD">
        <w:rPr>
          <w:rFonts w:ascii="Arial" w:hAnsi="Arial" w:cs="Arial"/>
        </w:rPr>
        <w:lastRenderedPageBreak/>
        <w:tab/>
      </w:r>
      <w:r w:rsidRPr="00D02FBD">
        <w:rPr>
          <w:rFonts w:ascii="Arial" w:hAnsi="Arial" w:cs="Arial"/>
          <w:b/>
        </w:rPr>
        <w:t>CUARTO. Turno.</w:t>
      </w:r>
      <w:r w:rsidRPr="00D02FBD">
        <w:rPr>
          <w:rFonts w:ascii="Arial" w:hAnsi="Arial" w:cs="Arial"/>
        </w:rPr>
        <w:t xml:space="preserve"> De conformidad con el artículo 174, fracción I</w:t>
      </w:r>
      <w:r w:rsidR="005F332C" w:rsidRPr="00D02FBD">
        <w:rPr>
          <w:rFonts w:ascii="Arial" w:hAnsi="Arial" w:cs="Arial"/>
        </w:rPr>
        <w:t>,</w:t>
      </w:r>
      <w:r w:rsidRPr="00D02FBD">
        <w:rPr>
          <w:rFonts w:ascii="Arial" w:hAnsi="Arial" w:cs="Arial"/>
        </w:rPr>
        <w:t xml:space="preserve"> de la Ley de Transparencia y Acceso a la Información Pública del Estado, el recurso de revisión R</w:t>
      </w:r>
      <w:r w:rsidR="00D02FBD" w:rsidRPr="00D02FBD">
        <w:rPr>
          <w:rFonts w:ascii="Arial" w:hAnsi="Arial" w:cs="Arial"/>
        </w:rPr>
        <w:t>R-003/2018</w:t>
      </w:r>
      <w:r w:rsidRPr="00D02FBD">
        <w:rPr>
          <w:rFonts w:ascii="Arial" w:hAnsi="Arial" w:cs="Arial"/>
        </w:rPr>
        <w:t>-3 fue t</w:t>
      </w:r>
      <w:r w:rsidR="00013C06" w:rsidRPr="00D02FBD">
        <w:rPr>
          <w:rFonts w:ascii="Arial" w:hAnsi="Arial" w:cs="Arial"/>
        </w:rPr>
        <w:t>urnado a la Comisionada Ponente</w:t>
      </w:r>
      <w:r w:rsidRPr="00D02FBD">
        <w:rPr>
          <w:rFonts w:ascii="Arial" w:hAnsi="Arial" w:cs="Arial"/>
        </w:rPr>
        <w:t xml:space="preserve"> para que sustanciara el periodo de instrucción, y en su momento presentara al Pleno el proyecto de resolución correspondiente.</w:t>
      </w:r>
    </w:p>
    <w:p w:rsidR="00547C44" w:rsidRPr="00D02FBD" w:rsidRDefault="00547C44" w:rsidP="00033326">
      <w:pPr>
        <w:spacing w:before="240" w:after="240"/>
        <w:rPr>
          <w:rFonts w:ascii="Arial" w:hAnsi="Arial" w:cs="Arial"/>
        </w:rPr>
      </w:pPr>
      <w:r w:rsidRPr="00D02FBD">
        <w:rPr>
          <w:rFonts w:ascii="Arial" w:hAnsi="Arial" w:cs="Arial"/>
          <w:b/>
        </w:rPr>
        <w:tab/>
        <w:t xml:space="preserve">QUINTO. Admisión. </w:t>
      </w:r>
      <w:r w:rsidRPr="00D02FBD">
        <w:rPr>
          <w:rFonts w:ascii="Arial" w:hAnsi="Arial" w:cs="Arial"/>
        </w:rPr>
        <w:t xml:space="preserve">El </w:t>
      </w:r>
      <w:r w:rsidR="00FE16C1" w:rsidRPr="00D02FBD">
        <w:rPr>
          <w:rFonts w:ascii="Arial" w:hAnsi="Arial" w:cs="Arial"/>
          <w:b/>
        </w:rPr>
        <w:t xml:space="preserve">ocho de </w:t>
      </w:r>
      <w:r w:rsidR="00D02FBD" w:rsidRPr="00D02FBD">
        <w:rPr>
          <w:rFonts w:ascii="Arial" w:hAnsi="Arial" w:cs="Arial"/>
          <w:b/>
        </w:rPr>
        <w:t>enero</w:t>
      </w:r>
      <w:r w:rsidR="00033326" w:rsidRPr="00D02FBD">
        <w:rPr>
          <w:rFonts w:ascii="Arial" w:hAnsi="Arial" w:cs="Arial"/>
          <w:b/>
        </w:rPr>
        <w:t xml:space="preserve"> de dos mil </w:t>
      </w:r>
      <w:r w:rsidR="00D02FBD" w:rsidRPr="00D02FBD">
        <w:rPr>
          <w:rFonts w:ascii="Arial" w:hAnsi="Arial" w:cs="Arial"/>
          <w:b/>
        </w:rPr>
        <w:t>dieciocho</w:t>
      </w:r>
      <w:r w:rsidRPr="00D02FBD">
        <w:rPr>
          <w:rFonts w:ascii="Arial" w:hAnsi="Arial" w:cs="Arial"/>
        </w:rPr>
        <w:t>, esta Comisión, con base en el artículo 174, fracción II</w:t>
      </w:r>
      <w:r w:rsidR="00424DB5" w:rsidRPr="00D02FBD">
        <w:rPr>
          <w:rFonts w:ascii="Arial" w:hAnsi="Arial" w:cs="Arial"/>
        </w:rPr>
        <w:t>,</w:t>
      </w:r>
      <w:r w:rsidRPr="00D02FBD">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D02FBD" w:rsidRDefault="00547C44" w:rsidP="00AE265B">
      <w:pPr>
        <w:rPr>
          <w:rFonts w:ascii="Arial" w:hAnsi="Arial" w:cs="Arial"/>
        </w:rPr>
      </w:pPr>
      <w:r w:rsidRPr="00D02FBD">
        <w:rPr>
          <w:rFonts w:ascii="Arial" w:hAnsi="Arial" w:cs="Arial"/>
          <w:b/>
        </w:rPr>
        <w:tab/>
        <w:t xml:space="preserve">SEXTO. </w:t>
      </w:r>
      <w:r w:rsidR="00457939" w:rsidRPr="00D02FBD">
        <w:rPr>
          <w:rFonts w:ascii="Arial" w:hAnsi="Arial" w:cs="Arial"/>
          <w:b/>
        </w:rPr>
        <w:t>Manifestaciones de las partes</w:t>
      </w:r>
      <w:r w:rsidRPr="00D02FBD">
        <w:rPr>
          <w:rFonts w:ascii="Arial" w:hAnsi="Arial" w:cs="Arial"/>
          <w:b/>
        </w:rPr>
        <w:t xml:space="preserve">. </w:t>
      </w:r>
      <w:r w:rsidRPr="00D02FBD">
        <w:rPr>
          <w:rFonts w:ascii="Arial" w:hAnsi="Arial" w:cs="Arial"/>
        </w:rPr>
        <w:t xml:space="preserve">El </w:t>
      </w:r>
      <w:r w:rsidR="00D02FBD" w:rsidRPr="00D02FBD">
        <w:rPr>
          <w:rFonts w:ascii="Arial" w:hAnsi="Arial" w:cs="Arial"/>
          <w:b/>
        </w:rPr>
        <w:t>nueve de febrero</w:t>
      </w:r>
      <w:r w:rsidR="00935B9B" w:rsidRPr="00D02FBD">
        <w:rPr>
          <w:rFonts w:ascii="Arial" w:hAnsi="Arial" w:cs="Arial"/>
          <w:b/>
        </w:rPr>
        <w:t xml:space="preserve"> de dos mil dieciocho</w:t>
      </w:r>
      <w:r w:rsidRPr="00D02FBD">
        <w:rPr>
          <w:rFonts w:ascii="Arial" w:hAnsi="Arial" w:cs="Arial"/>
        </w:rPr>
        <w:t>, se emitió un acuerdo po</w:t>
      </w:r>
      <w:r w:rsidR="00C9337E" w:rsidRPr="00D02FBD">
        <w:rPr>
          <w:rFonts w:ascii="Arial" w:hAnsi="Arial" w:cs="Arial"/>
        </w:rPr>
        <w:t>r el cual se tuvo por recibido</w:t>
      </w:r>
      <w:r w:rsidR="00E76911" w:rsidRPr="00D02FBD">
        <w:rPr>
          <w:rFonts w:ascii="Arial" w:hAnsi="Arial" w:cs="Arial"/>
        </w:rPr>
        <w:t xml:space="preserve"> el escrito signado por </w:t>
      </w:r>
      <w:r w:rsidR="00D02FBD" w:rsidRPr="00D02FBD">
        <w:rPr>
          <w:rFonts w:ascii="Arial" w:hAnsi="Arial" w:cs="Arial"/>
        </w:rPr>
        <w:t>el</w:t>
      </w:r>
      <w:r w:rsidR="00E76911" w:rsidRPr="00D02FBD">
        <w:rPr>
          <w:rFonts w:ascii="Arial" w:hAnsi="Arial" w:cs="Arial"/>
        </w:rPr>
        <w:t xml:space="preserve"> </w:t>
      </w:r>
      <w:r w:rsidR="004026B8" w:rsidRPr="00D02FBD">
        <w:rPr>
          <w:rFonts w:ascii="Arial" w:hAnsi="Arial" w:cs="Arial"/>
        </w:rPr>
        <w:t>Titular de la Unidad de Transparencia</w:t>
      </w:r>
      <w:r w:rsidR="00D02FBD" w:rsidRPr="00D02FBD">
        <w:rPr>
          <w:rFonts w:ascii="Arial" w:hAnsi="Arial" w:cs="Arial"/>
        </w:rPr>
        <w:t xml:space="preserve"> y el Director de Desarrollo Social.</w:t>
      </w:r>
    </w:p>
    <w:p w:rsidR="00547C44" w:rsidRPr="00D02FBD" w:rsidRDefault="00547C44" w:rsidP="00A64E84">
      <w:pPr>
        <w:spacing w:before="240"/>
        <w:rPr>
          <w:rFonts w:ascii="Arial" w:hAnsi="Arial" w:cs="Arial"/>
        </w:rPr>
      </w:pPr>
      <w:r w:rsidRPr="00D02FBD">
        <w:rPr>
          <w:rFonts w:ascii="Arial" w:hAnsi="Arial" w:cs="Arial"/>
        </w:rPr>
        <w:tab/>
        <w:t xml:space="preserve">Por lo que toca al </w:t>
      </w:r>
      <w:r w:rsidR="00545919" w:rsidRPr="00D02FBD">
        <w:rPr>
          <w:rFonts w:ascii="Arial" w:hAnsi="Arial" w:cs="Arial"/>
        </w:rPr>
        <w:t>inconforme</w:t>
      </w:r>
      <w:r w:rsidRPr="00D02FBD">
        <w:rPr>
          <w:rFonts w:ascii="Arial" w:hAnsi="Arial" w:cs="Arial"/>
        </w:rPr>
        <w:t>, éste no hizo uso de su derecho contenido en el artículo 174, fracción III</w:t>
      </w:r>
      <w:r w:rsidR="00935B9B" w:rsidRPr="00D02FBD">
        <w:rPr>
          <w:rFonts w:ascii="Arial" w:hAnsi="Arial" w:cs="Arial"/>
        </w:rPr>
        <w:t>,</w:t>
      </w:r>
      <w:r w:rsidRPr="00D02FBD">
        <w:rPr>
          <w:rFonts w:ascii="Arial" w:hAnsi="Arial" w:cs="Arial"/>
        </w:rPr>
        <w:t xml:space="preserve"> de la Ley de Transparencia del Estado.</w:t>
      </w:r>
    </w:p>
    <w:p w:rsidR="003C3862" w:rsidRPr="00D02FBD" w:rsidRDefault="00547C44" w:rsidP="00547C44">
      <w:pPr>
        <w:spacing w:before="240"/>
        <w:rPr>
          <w:rFonts w:ascii="Arial" w:hAnsi="Arial" w:cs="Arial"/>
        </w:rPr>
      </w:pPr>
      <w:r w:rsidRPr="00D02FBD">
        <w:rPr>
          <w:rFonts w:ascii="Arial" w:hAnsi="Arial" w:cs="Arial"/>
        </w:rPr>
        <w:tab/>
      </w:r>
      <w:r w:rsidR="00720E84" w:rsidRPr="00D02FBD">
        <w:rPr>
          <w:rFonts w:ascii="Arial" w:hAnsi="Arial" w:cs="Arial"/>
          <w:b/>
        </w:rPr>
        <w:t>SÉ</w:t>
      </w:r>
      <w:r w:rsidRPr="00D02FBD">
        <w:rPr>
          <w:rFonts w:ascii="Arial" w:hAnsi="Arial" w:cs="Arial"/>
          <w:b/>
        </w:rPr>
        <w:t xml:space="preserve">PTIMO. Cierre de Instrucción. </w:t>
      </w:r>
      <w:r w:rsidRPr="00D02FBD">
        <w:rPr>
          <w:rFonts w:ascii="Arial" w:hAnsi="Arial" w:cs="Arial"/>
        </w:rPr>
        <w:t xml:space="preserve">El </w:t>
      </w:r>
      <w:r w:rsidR="00D02FBD" w:rsidRPr="00D02FBD">
        <w:rPr>
          <w:rFonts w:ascii="Arial" w:hAnsi="Arial" w:cs="Arial"/>
          <w:b/>
        </w:rPr>
        <w:t>nueve de febrero</w:t>
      </w:r>
      <w:r w:rsidR="00935B9B" w:rsidRPr="00D02FBD">
        <w:rPr>
          <w:rFonts w:ascii="Arial" w:hAnsi="Arial" w:cs="Arial"/>
          <w:b/>
        </w:rPr>
        <w:t xml:space="preserve"> de dos mil dieciocho</w:t>
      </w:r>
      <w:r w:rsidRPr="00D02FBD">
        <w:rPr>
          <w:rFonts w:ascii="Arial" w:hAnsi="Arial" w:cs="Arial"/>
        </w:rPr>
        <w:t>, se decretó el Cierre de Instrucción del expediente formado con motivo del presente recurso de revisión, a fin de que la ponente presentara el proyecto de resolución correspondiente.</w:t>
      </w:r>
    </w:p>
    <w:p w:rsidR="00547C44" w:rsidRPr="00D02FBD" w:rsidRDefault="00547C44" w:rsidP="00547C44">
      <w:pPr>
        <w:spacing w:before="240"/>
        <w:jc w:val="center"/>
        <w:rPr>
          <w:rFonts w:ascii="Arial" w:hAnsi="Arial" w:cs="Arial"/>
          <w:b/>
        </w:rPr>
      </w:pPr>
      <w:r w:rsidRPr="00D02FBD">
        <w:rPr>
          <w:rFonts w:ascii="Arial" w:hAnsi="Arial" w:cs="Arial"/>
          <w:b/>
        </w:rPr>
        <w:t xml:space="preserve">C O N S I D E R A N D O </w:t>
      </w:r>
    </w:p>
    <w:p w:rsidR="0072714A" w:rsidRPr="00D02FBD" w:rsidRDefault="00547C44" w:rsidP="00545919">
      <w:pPr>
        <w:pStyle w:val="Textoindependienteprimerasangra"/>
        <w:spacing w:before="240"/>
        <w:ind w:firstLine="900"/>
        <w:rPr>
          <w:rFonts w:ascii="Arial" w:hAnsi="Arial" w:cs="Arial"/>
        </w:rPr>
      </w:pPr>
      <w:r w:rsidRPr="00D02FBD">
        <w:rPr>
          <w:rFonts w:ascii="Arial" w:eastAsia="Arial Unicode MS" w:hAnsi="Arial" w:cs="Arial"/>
          <w:b/>
        </w:rPr>
        <w:t>PRIMERO. Competencia.</w:t>
      </w:r>
      <w:r w:rsidRPr="00D02FBD">
        <w:rPr>
          <w:rFonts w:ascii="Arial" w:eastAsia="Arial Unicode MS" w:hAnsi="Arial" w:cs="Arial"/>
        </w:rPr>
        <w:t xml:space="preserve"> El Pleno de esta Comisión Estatal de Garantía de Acceso a la Información Pública es competente para resolver el presente recurso de revisión de conformidad con los artículos 6°, apartado A., fracción IV</w:t>
      </w:r>
      <w:r w:rsidR="00424DB5" w:rsidRPr="00D02FBD">
        <w:rPr>
          <w:rFonts w:ascii="Arial" w:eastAsia="Arial Unicode MS" w:hAnsi="Arial" w:cs="Arial"/>
        </w:rPr>
        <w:t>,</w:t>
      </w:r>
      <w:r w:rsidRPr="00D02FBD">
        <w:rPr>
          <w:rFonts w:ascii="Arial" w:eastAsia="Arial Unicode MS" w:hAnsi="Arial" w:cs="Arial"/>
        </w:rPr>
        <w:t xml:space="preserve"> de la Constitución Política de los Estados Unidos Mexicanos; 17, fracción III, párrafo tercero</w:t>
      </w:r>
      <w:r w:rsidR="00424DB5" w:rsidRPr="00D02FBD">
        <w:rPr>
          <w:rFonts w:ascii="Arial" w:eastAsia="Arial Unicode MS" w:hAnsi="Arial" w:cs="Arial"/>
        </w:rPr>
        <w:t>,</w:t>
      </w:r>
      <w:r w:rsidRPr="00D02FBD">
        <w:rPr>
          <w:rFonts w:ascii="Arial" w:eastAsia="Arial Unicode MS" w:hAnsi="Arial" w:cs="Arial"/>
        </w:rPr>
        <w:t xml:space="preserve"> de la Constitución Política del Estado Libre y Soberano de San Luis Po</w:t>
      </w:r>
      <w:r w:rsidR="00424DB5" w:rsidRPr="00D02FBD">
        <w:rPr>
          <w:rFonts w:ascii="Arial" w:eastAsia="Arial Unicode MS" w:hAnsi="Arial" w:cs="Arial"/>
        </w:rPr>
        <w:t>tosí; 37, 42, fracciones I y II;</w:t>
      </w:r>
      <w:r w:rsidRPr="00D02FBD">
        <w:rPr>
          <w:rFonts w:ascii="Arial" w:eastAsia="Arial Unicode MS" w:hAnsi="Arial" w:cs="Arial"/>
        </w:rPr>
        <w:t xml:space="preserve"> 142 </w:t>
      </w:r>
      <w:r w:rsidRPr="00D02FBD">
        <w:rPr>
          <w:rFonts w:ascii="Arial" w:eastAsia="Arial Unicode MS" w:hAnsi="Arial" w:cs="Arial"/>
        </w:rPr>
        <w:lastRenderedPageBreak/>
        <w:t>y 151 de la Ley General de Transparencia y Acceso a la Información Púb</w:t>
      </w:r>
      <w:r w:rsidR="00424DB5" w:rsidRPr="00D02FBD">
        <w:rPr>
          <w:rFonts w:ascii="Arial" w:eastAsia="Arial Unicode MS" w:hAnsi="Arial" w:cs="Arial"/>
        </w:rPr>
        <w:t>lica; 27, 34, fracciones I y II;</w:t>
      </w:r>
      <w:r w:rsidRPr="00D02FBD">
        <w:rPr>
          <w:rFonts w:ascii="Arial" w:eastAsia="Arial Unicode MS" w:hAnsi="Arial" w:cs="Arial"/>
        </w:rPr>
        <w:t xml:space="preserve"> 166 y 175 de la Ley de Transparencia y Acceso a la Información Pública del Estado de San Luis potosí, así</w:t>
      </w:r>
      <w:r w:rsidR="00FA039E" w:rsidRPr="00D02FBD">
        <w:rPr>
          <w:rFonts w:ascii="Arial" w:eastAsia="Arial Unicode MS" w:hAnsi="Arial" w:cs="Arial"/>
        </w:rPr>
        <w:t xml:space="preserve"> como</w:t>
      </w:r>
      <w:r w:rsidRPr="00D02FBD">
        <w:rPr>
          <w:rFonts w:ascii="Arial" w:eastAsia="Arial Unicode MS" w:hAnsi="Arial" w:cs="Arial"/>
        </w:rPr>
        <w:t xml:space="preserve"> de los artículos 1, 2, 4</w:t>
      </w:r>
      <w:r w:rsidR="00424DB5" w:rsidRPr="00D02FBD">
        <w:rPr>
          <w:rFonts w:ascii="Arial" w:eastAsia="Arial Unicode MS" w:hAnsi="Arial" w:cs="Arial"/>
        </w:rPr>
        <w:t>, fracción IV;</w:t>
      </w:r>
      <w:r w:rsidRPr="00D02FBD">
        <w:rPr>
          <w:rFonts w:ascii="Arial" w:eastAsia="Arial Unicode MS" w:hAnsi="Arial" w:cs="Arial"/>
        </w:rPr>
        <w:t xml:space="preserve"> 6 fracciones I y II; 7, 9 y 10</w:t>
      </w:r>
      <w:r w:rsidR="00424DB5" w:rsidRPr="00D02FBD">
        <w:rPr>
          <w:rFonts w:ascii="Arial" w:eastAsia="Arial Unicode MS" w:hAnsi="Arial" w:cs="Arial"/>
        </w:rPr>
        <w:t>,</w:t>
      </w:r>
      <w:r w:rsidRPr="00D02FBD">
        <w:rPr>
          <w:rFonts w:ascii="Arial" w:eastAsia="Arial Unicode MS" w:hAnsi="Arial" w:cs="Arial"/>
        </w:rPr>
        <w:t xml:space="preserve"> fracción XXVIII</w:t>
      </w:r>
      <w:r w:rsidR="00424DB5" w:rsidRPr="00D02FBD">
        <w:rPr>
          <w:rFonts w:ascii="Arial" w:eastAsia="Arial Unicode MS" w:hAnsi="Arial" w:cs="Arial"/>
        </w:rPr>
        <w:t>,</w:t>
      </w:r>
      <w:r w:rsidRPr="00D02FBD">
        <w:rPr>
          <w:rFonts w:ascii="Arial" w:eastAsia="Arial Unicode MS" w:hAnsi="Arial" w:cs="Arial"/>
        </w:rPr>
        <w:t xml:space="preserve"> del Reglamento Interior de la Comisión Estatal de Garantía de A</w:t>
      </w:r>
      <w:r w:rsidR="007D4729" w:rsidRPr="00D02FBD">
        <w:rPr>
          <w:rFonts w:ascii="Arial" w:eastAsia="Arial Unicode MS" w:hAnsi="Arial" w:cs="Arial"/>
        </w:rPr>
        <w:t>cceso a la Información Pública</w:t>
      </w:r>
      <w:r w:rsidR="00545919" w:rsidRPr="00D02FBD">
        <w:rPr>
          <w:rFonts w:ascii="Arial" w:eastAsia="Arial Unicode MS" w:hAnsi="Arial" w:cs="Arial"/>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b/>
          <w:color w:val="262626" w:themeColor="text1" w:themeTint="D9"/>
        </w:rPr>
        <w:t xml:space="preserve">SEGUNDO. Procedibilidad y Oportunidad. </w:t>
      </w:r>
      <w:r w:rsidRPr="00D02FBD">
        <w:rPr>
          <w:rFonts w:ascii="Arial" w:eastAsia="Arial Unicode MS" w:hAnsi="Arial" w:cs="Arial"/>
          <w:color w:val="262626" w:themeColor="text1" w:themeTint="D9"/>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02FBD" w:rsidRPr="00D02FBD" w:rsidRDefault="00D02FBD" w:rsidP="00D02FBD">
      <w:pPr>
        <w:pStyle w:val="Textoindependienteprimerasangra"/>
        <w:spacing w:before="240"/>
        <w:ind w:firstLine="900"/>
        <w:rPr>
          <w:rFonts w:ascii="Arial" w:eastAsia="Arial Unicode MS" w:hAnsi="Arial" w:cs="Arial"/>
          <w:b/>
          <w:color w:val="262626" w:themeColor="text1" w:themeTint="D9"/>
        </w:rPr>
      </w:pPr>
      <w:r w:rsidRPr="00D02FBD">
        <w:rPr>
          <w:rFonts w:ascii="Arial" w:eastAsia="Arial Unicode MS" w:hAnsi="Arial" w:cs="Arial"/>
          <w:color w:val="262626" w:themeColor="text1" w:themeTint="D9"/>
        </w:rPr>
        <w:t xml:space="preserve">La solicitud de información se presentó el </w:t>
      </w:r>
      <w:r w:rsidRPr="00D02FBD">
        <w:rPr>
          <w:rFonts w:ascii="Arial" w:eastAsia="Arial Unicode MS" w:hAnsi="Arial" w:cs="Arial"/>
          <w:b/>
          <w:color w:val="262626" w:themeColor="text1" w:themeTint="D9"/>
        </w:rPr>
        <w:t>treinta de noviembre de dos mil diecisiete</w:t>
      </w:r>
      <w:r w:rsidRPr="00D02FBD">
        <w:rPr>
          <w:rFonts w:ascii="Arial" w:eastAsia="Arial Unicode MS" w:hAnsi="Arial" w:cs="Arial"/>
          <w:color w:val="262626" w:themeColor="text1" w:themeTint="D9"/>
        </w:rPr>
        <w:t xml:space="preserve">, por lo que el plazo para que el sujeto obligado emitiera una respuesta se integró por los días </w:t>
      </w:r>
      <w:r w:rsidRPr="00D02FBD">
        <w:rPr>
          <w:rFonts w:ascii="Arial" w:eastAsia="Arial Unicode MS" w:hAnsi="Arial" w:cs="Arial"/>
          <w:b/>
          <w:color w:val="262626" w:themeColor="text1" w:themeTint="D9"/>
        </w:rPr>
        <w:t>uno, cuatro, cinco, seis, siete, ocho, once, doce, trece y catorce de diciembre</w:t>
      </w:r>
      <w:r w:rsidRPr="00D02FBD">
        <w:rPr>
          <w:rFonts w:ascii="Arial" w:eastAsia="Arial Unicode MS" w:hAnsi="Arial" w:cs="Arial"/>
          <w:color w:val="262626" w:themeColor="text1" w:themeTint="D9"/>
        </w:rPr>
        <w:t xml:space="preserve"> </w:t>
      </w:r>
      <w:r w:rsidRPr="00D02FBD">
        <w:rPr>
          <w:rFonts w:ascii="Arial" w:eastAsia="Arial Unicode MS" w:hAnsi="Arial" w:cs="Arial"/>
          <w:b/>
          <w:color w:val="262626" w:themeColor="text1" w:themeTint="D9"/>
        </w:rPr>
        <w:t xml:space="preserve">de dos mil diecisiete, </w:t>
      </w:r>
      <w:r w:rsidRPr="00D02FBD">
        <w:rPr>
          <w:rFonts w:ascii="Arial" w:eastAsia="Arial Unicode MS" w:hAnsi="Arial" w:cs="Arial"/>
          <w:color w:val="262626" w:themeColor="text1" w:themeTint="D9"/>
        </w:rPr>
        <w:t>sin que fueran hábiles el</w:t>
      </w:r>
      <w:r w:rsidRPr="00D02FBD">
        <w:rPr>
          <w:rFonts w:ascii="Arial" w:eastAsia="Arial Unicode MS" w:hAnsi="Arial" w:cs="Arial"/>
          <w:b/>
          <w:color w:val="262626" w:themeColor="text1" w:themeTint="D9"/>
        </w:rPr>
        <w:t xml:space="preserve"> dos, tres, nueve y diez del mismo mes y año </w:t>
      </w:r>
      <w:r w:rsidRPr="00D02FBD">
        <w:rPr>
          <w:rFonts w:ascii="Arial" w:eastAsia="Arial Unicode MS" w:hAnsi="Arial" w:cs="Arial"/>
          <w:color w:val="262626" w:themeColor="text1" w:themeTint="D9"/>
        </w:rPr>
        <w:t>por corresponde a sábados y domingos</w:t>
      </w:r>
      <w:r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color w:val="262626" w:themeColor="text1" w:themeTint="D9"/>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Pr="00D02FBD">
        <w:rPr>
          <w:rFonts w:ascii="Arial" w:eastAsia="Arial Unicode MS" w:hAnsi="Arial" w:cs="Arial"/>
          <w:b/>
          <w:color w:val="262626" w:themeColor="text1" w:themeTint="D9"/>
        </w:rPr>
        <w:t>catorce de diciembre de dos mil diecisiete</w:t>
      </w:r>
      <w:r w:rsidRPr="00D02FBD">
        <w:rPr>
          <w:rFonts w:ascii="Arial" w:eastAsia="Arial Unicode MS" w:hAnsi="Arial" w:cs="Arial"/>
          <w:color w:val="262626" w:themeColor="text1" w:themeTint="D9"/>
        </w:rPr>
        <w:t xml:space="preserve">; por tanto, al ser presentado el recurso el </w:t>
      </w:r>
      <w:r w:rsidRPr="00D02FBD">
        <w:rPr>
          <w:rFonts w:ascii="Arial" w:eastAsia="Arial Unicode MS" w:hAnsi="Arial" w:cs="Arial"/>
          <w:b/>
          <w:color w:val="262626" w:themeColor="text1" w:themeTint="D9"/>
        </w:rPr>
        <w:t>quince de diciembre de ese mismo año</w:t>
      </w:r>
      <w:r w:rsidRPr="00D02FBD">
        <w:rPr>
          <w:rFonts w:ascii="Arial" w:eastAsia="Arial Unicode MS" w:hAnsi="Arial" w:cs="Arial"/>
          <w:color w:val="262626" w:themeColor="text1" w:themeTint="D9"/>
        </w:rPr>
        <w:t>, se advierte que lo interpuso al décimo día con que contaba para ello, es decir, dentro del plazo reconocido por el numeral</w:t>
      </w:r>
      <w:r w:rsidRPr="00D02FBD">
        <w:rPr>
          <w:rFonts w:ascii="Arial" w:hAnsi="Arial" w:cs="Arial"/>
          <w:color w:val="262626" w:themeColor="text1" w:themeTint="D9"/>
          <w:lang w:val="es-MX"/>
        </w:rPr>
        <w:t xml:space="preserve"> 166 de la Ley de Transparencia del Estado, por lo que se concluye que se encuentra dentro de los márgenes temporales previstos en el precepto legal citado.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 xml:space="preserve">Asimismo, tras la revisión del escrito de interposición, se concluye que se acreditan de manera satisfactoria los extremos a que alude el </w:t>
      </w:r>
      <w:r w:rsidRPr="00D02FBD">
        <w:rPr>
          <w:rFonts w:ascii="Arial" w:hAnsi="Arial" w:cs="Arial"/>
          <w:color w:val="262626" w:themeColor="text1" w:themeTint="D9"/>
          <w:lang w:val="es-MX"/>
        </w:rPr>
        <w:lastRenderedPageBreak/>
        <w:t>artículo 168 de la Ley de Transparencia y Acceso a la Información Pública del Estado de San Luis Potosí.</w:t>
      </w:r>
    </w:p>
    <w:p w:rsidR="00AE265B" w:rsidRPr="00D02FBD" w:rsidRDefault="003C3862" w:rsidP="00AE265B">
      <w:pPr>
        <w:pStyle w:val="Textoindependienteprimerasangra"/>
        <w:spacing w:before="240"/>
        <w:ind w:firstLine="900"/>
        <w:rPr>
          <w:rFonts w:ascii="Arial" w:hAnsi="Arial" w:cs="Arial"/>
          <w:lang w:val="es-MX"/>
        </w:rPr>
      </w:pPr>
      <w:r w:rsidRPr="00D02FBD">
        <w:rPr>
          <w:rFonts w:ascii="Arial" w:hAnsi="Arial" w:cs="Arial"/>
          <w:b/>
          <w:sz w:val="24"/>
          <w:lang w:val="es-MX"/>
        </w:rPr>
        <w:t xml:space="preserve">TERCERO. </w:t>
      </w:r>
      <w:r w:rsidR="00AE265B" w:rsidRPr="00D02FBD">
        <w:rPr>
          <w:rFonts w:ascii="Arial" w:hAnsi="Arial" w:cs="Arial"/>
          <w:b/>
          <w:sz w:val="24"/>
          <w:lang w:val="es-MX"/>
        </w:rPr>
        <w:t xml:space="preserve">Estudio y análisis de fondo. </w:t>
      </w:r>
      <w:r w:rsidR="00AE265B" w:rsidRPr="00D02FBD">
        <w:rPr>
          <w:rFonts w:ascii="Arial" w:hAnsi="Arial" w:cs="Arial"/>
          <w:lang w:val="es-MX"/>
        </w:rPr>
        <w:t>Esta Comisión procede, con fundamento en el artículo 144, fracción VI, de la Ley General de Transparencia y Acceso a la Información Pública, al estudio de l</w:t>
      </w:r>
      <w:r w:rsidR="00D02FBD" w:rsidRPr="00D02FBD">
        <w:rPr>
          <w:rFonts w:ascii="Arial" w:hAnsi="Arial" w:cs="Arial"/>
          <w:lang w:val="es-MX"/>
        </w:rPr>
        <w:t>a inconformidad planteada por la</w:t>
      </w:r>
      <w:r w:rsidR="00AE265B" w:rsidRPr="00D02FBD">
        <w:rPr>
          <w:rFonts w:ascii="Arial" w:hAnsi="Arial" w:cs="Arial"/>
          <w:lang w:val="es-MX"/>
        </w:rPr>
        <w:t xml:space="preserve"> hoy recurrente, en la que esencialmente expresó que la autoridad </w:t>
      </w:r>
      <w:r w:rsidR="00D02FBD" w:rsidRPr="00D02FBD">
        <w:rPr>
          <w:rFonts w:ascii="Arial" w:hAnsi="Arial" w:cs="Arial"/>
          <w:lang w:val="es-MX"/>
        </w:rPr>
        <w:t>no dio contestación a su petición</w:t>
      </w:r>
      <w:r w:rsidR="00AE265B" w:rsidRPr="00D02FBD">
        <w:rPr>
          <w:rFonts w:ascii="Arial" w:hAnsi="Arial" w:cs="Arial"/>
          <w:lang w:val="es-MX"/>
        </w:rPr>
        <w:t>.</w:t>
      </w:r>
    </w:p>
    <w:p w:rsidR="005F4682" w:rsidRPr="00D02FBD" w:rsidRDefault="00AE265B" w:rsidP="00AE265B">
      <w:pPr>
        <w:pStyle w:val="Textoindependienteprimerasangra"/>
        <w:spacing w:before="240"/>
        <w:ind w:firstLine="900"/>
        <w:rPr>
          <w:rFonts w:ascii="Arial" w:hAnsi="Arial" w:cs="Arial"/>
          <w:lang w:val="es-MX"/>
        </w:rPr>
      </w:pPr>
      <w:r w:rsidRPr="00D02FBD">
        <w:rPr>
          <w:rFonts w:ascii="Arial" w:hAnsi="Arial" w:cs="Arial"/>
          <w:lang w:val="es-MX"/>
        </w:rPr>
        <w:t>Del an</w:t>
      </w:r>
      <w:r w:rsidR="00427660" w:rsidRPr="00D02FBD">
        <w:rPr>
          <w:rFonts w:ascii="Arial" w:hAnsi="Arial" w:cs="Arial"/>
          <w:lang w:val="es-MX"/>
        </w:rPr>
        <w:t>álisis de</w:t>
      </w:r>
      <w:r w:rsidR="00D02FBD" w:rsidRPr="00D02FBD">
        <w:rPr>
          <w:rFonts w:ascii="Arial" w:hAnsi="Arial" w:cs="Arial"/>
          <w:lang w:val="es-MX"/>
        </w:rPr>
        <w:t>l planteamiento formulado por la</w:t>
      </w:r>
      <w:r w:rsidR="00427660" w:rsidRPr="00D02FBD">
        <w:rPr>
          <w:rFonts w:ascii="Arial" w:hAnsi="Arial" w:cs="Arial"/>
          <w:lang w:val="es-MX"/>
        </w:rPr>
        <w:t xml:space="preserve"> recurrente, se advierte que </w:t>
      </w:r>
      <w:r w:rsidRPr="00D02FBD">
        <w:rPr>
          <w:rFonts w:ascii="Arial" w:hAnsi="Arial" w:cs="Arial"/>
          <w:lang w:val="es-MX"/>
        </w:rPr>
        <w:t xml:space="preserve">resulta </w:t>
      </w:r>
      <w:r w:rsidR="00424DB5" w:rsidRPr="00D02FBD">
        <w:rPr>
          <w:rFonts w:ascii="Arial" w:hAnsi="Arial" w:cs="Arial"/>
          <w:lang w:val="es-MX"/>
        </w:rPr>
        <w:t>fundado</w:t>
      </w:r>
      <w:r w:rsidRPr="00D02FBD">
        <w:rPr>
          <w:rFonts w:ascii="Arial" w:hAnsi="Arial" w:cs="Arial"/>
          <w:lang w:val="es-MX"/>
        </w:rPr>
        <w:t xml:space="preserve">, toda vez que, como se logra apreciar </w:t>
      </w:r>
      <w:r w:rsidR="003A292F" w:rsidRPr="00D02FBD">
        <w:rPr>
          <w:rFonts w:ascii="Arial" w:hAnsi="Arial" w:cs="Arial"/>
          <w:lang w:val="es-MX"/>
        </w:rPr>
        <w:t>el sujeto obligado</w:t>
      </w:r>
      <w:r w:rsidR="00AC73E9" w:rsidRPr="00D02FBD">
        <w:rPr>
          <w:rFonts w:ascii="Arial" w:hAnsi="Arial" w:cs="Arial"/>
          <w:lang w:val="es-MX"/>
        </w:rPr>
        <w:t xml:space="preserve">, si bien es cierto emitió una </w:t>
      </w:r>
      <w:r w:rsidR="00D02FBD" w:rsidRPr="00D02FBD">
        <w:rPr>
          <w:rFonts w:ascii="Arial" w:hAnsi="Arial" w:cs="Arial"/>
          <w:lang w:val="es-MX"/>
        </w:rPr>
        <w:t>contestación</w:t>
      </w:r>
      <w:r w:rsidR="00AC73E9" w:rsidRPr="00D02FBD">
        <w:rPr>
          <w:rFonts w:ascii="Arial" w:hAnsi="Arial" w:cs="Arial"/>
          <w:lang w:val="es-MX"/>
        </w:rPr>
        <w:t xml:space="preserve">, </w:t>
      </w:r>
      <w:r w:rsidR="00D02FBD" w:rsidRPr="00D02FBD">
        <w:rPr>
          <w:rFonts w:ascii="Arial" w:hAnsi="Arial" w:cs="Arial"/>
          <w:lang w:val="es-MX"/>
        </w:rPr>
        <w:t>en ésta se limitó a afirmar que el área no atendió el requerimiento formulado por la Unidad de Transparencia.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De conformidad con el artículo 154 de la Ley de Transparencia y Acceso a la Información Pública del Estado, el sujeto obligado cuenta con un plazo ordinario de diez días hábiles para dar respuesta a las solicitudes de información que se presenten, el cual podrá ser ampliado cuando exista causa justificada para ello.</w:t>
      </w:r>
    </w:p>
    <w:p w:rsidR="00D02FBD" w:rsidRPr="00D02FBD" w:rsidRDefault="00D02FBD" w:rsidP="00D02FBD">
      <w:pPr>
        <w:pStyle w:val="Textoindependienteprimerasangra"/>
        <w:spacing w:before="240"/>
        <w:ind w:firstLine="900"/>
        <w:rPr>
          <w:rFonts w:ascii="Arial" w:eastAsia="Arial Unicode MS" w:hAnsi="Arial" w:cs="Arial"/>
          <w:b/>
          <w:color w:val="262626" w:themeColor="text1" w:themeTint="D9"/>
        </w:rPr>
      </w:pPr>
      <w:r w:rsidRPr="00D02FBD">
        <w:rPr>
          <w:rFonts w:ascii="Arial" w:hAnsi="Arial" w:cs="Arial"/>
          <w:color w:val="262626" w:themeColor="text1" w:themeTint="D9"/>
          <w:lang w:val="es-MX"/>
        </w:rPr>
        <w:t xml:space="preserve">La solicitud fue presentada ante el sujeto obligado el </w:t>
      </w:r>
      <w:r w:rsidRPr="00D02FBD">
        <w:rPr>
          <w:rFonts w:ascii="Arial" w:hAnsi="Arial" w:cs="Arial"/>
          <w:b/>
          <w:color w:val="262626" w:themeColor="text1" w:themeTint="D9"/>
          <w:lang w:val="es-MX"/>
        </w:rPr>
        <w:t>treinta de noviembre de dos mil dieciocho</w:t>
      </w:r>
      <w:r w:rsidRPr="00D02FBD">
        <w:rPr>
          <w:rFonts w:ascii="Arial" w:hAnsi="Arial" w:cs="Arial"/>
          <w:color w:val="262626" w:themeColor="text1" w:themeTint="D9"/>
          <w:lang w:val="es-MX"/>
        </w:rPr>
        <w:t xml:space="preserve">; consecuentemente, los días que integraron el plazo para que la autoridad respondiera fueron: </w:t>
      </w:r>
      <w:r w:rsidRPr="00D02FBD">
        <w:rPr>
          <w:rFonts w:ascii="Arial" w:eastAsia="Arial Unicode MS" w:hAnsi="Arial" w:cs="Arial"/>
          <w:b/>
          <w:color w:val="262626" w:themeColor="text1" w:themeTint="D9"/>
        </w:rPr>
        <w:t>uno, cuatro, cinco, seis, siete, ocho, once, doce, trece y catorce de diciembre</w:t>
      </w:r>
      <w:r w:rsidRPr="00D02FBD">
        <w:rPr>
          <w:rFonts w:ascii="Arial" w:eastAsia="Arial Unicode MS" w:hAnsi="Arial" w:cs="Arial"/>
          <w:color w:val="262626" w:themeColor="text1" w:themeTint="D9"/>
        </w:rPr>
        <w:t xml:space="preserve"> </w:t>
      </w:r>
      <w:r w:rsidRPr="00D02FBD">
        <w:rPr>
          <w:rFonts w:ascii="Arial" w:eastAsia="Arial Unicode MS" w:hAnsi="Arial" w:cs="Arial"/>
          <w:b/>
          <w:color w:val="262626" w:themeColor="text1" w:themeTint="D9"/>
        </w:rPr>
        <w:t xml:space="preserve">de dos mil diecisiete, </w:t>
      </w:r>
      <w:r w:rsidRPr="00D02FBD">
        <w:rPr>
          <w:rFonts w:ascii="Arial" w:eastAsia="Arial Unicode MS" w:hAnsi="Arial" w:cs="Arial"/>
          <w:color w:val="262626" w:themeColor="text1" w:themeTint="D9"/>
        </w:rPr>
        <w:t>sin que fueran hábiles el</w:t>
      </w:r>
      <w:r w:rsidRPr="00D02FBD">
        <w:rPr>
          <w:rFonts w:ascii="Arial" w:eastAsia="Arial Unicode MS" w:hAnsi="Arial" w:cs="Arial"/>
          <w:b/>
          <w:color w:val="262626" w:themeColor="text1" w:themeTint="D9"/>
        </w:rPr>
        <w:t xml:space="preserve"> dos, tres, nueve y diez del mismo mes y año </w:t>
      </w:r>
      <w:r w:rsidRPr="00D02FBD">
        <w:rPr>
          <w:rFonts w:ascii="Arial" w:eastAsia="Arial Unicode MS" w:hAnsi="Arial" w:cs="Arial"/>
          <w:color w:val="262626" w:themeColor="text1" w:themeTint="D9"/>
        </w:rPr>
        <w:t>por corresponde a sábados y domingos</w:t>
      </w:r>
      <w:r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eastAsia="Arial Unicode MS" w:hAnsi="Arial" w:cs="Arial"/>
          <w:color w:val="262626" w:themeColor="text1" w:themeTint="D9"/>
        </w:rPr>
        <w:t xml:space="preserve">Al quedar dilucidada la fecha de vencimiento de la solicitud, es necesario precisar que no existe constancia que acredite la emisión de una respuesta por parte del sujeto obligado, puesto que </w:t>
      </w:r>
      <w:r w:rsidRPr="00D02FBD">
        <w:rPr>
          <w:rFonts w:ascii="Arial" w:hAnsi="Arial" w:cs="Arial"/>
          <w:color w:val="262626" w:themeColor="text1" w:themeTint="D9"/>
          <w:lang w:val="es-MX"/>
        </w:rPr>
        <w:t xml:space="preserve">no existen constancias que acrediten la emisión de una contestación, </w:t>
      </w:r>
      <w:r w:rsidRPr="00D02FBD">
        <w:rPr>
          <w:rFonts w:ascii="Arial" w:eastAsia="Arial Unicode MS" w:hAnsi="Arial" w:cs="Arial"/>
          <w:color w:val="262626" w:themeColor="text1" w:themeTint="D9"/>
        </w:rPr>
        <w:t xml:space="preserve">por lo que no realizó alegaciones tendientes a acreditar o justificar su cumplimiento al </w:t>
      </w:r>
      <w:r w:rsidRPr="00D02FBD">
        <w:rPr>
          <w:rFonts w:ascii="Arial" w:eastAsia="Arial Unicode MS" w:hAnsi="Arial" w:cs="Arial"/>
          <w:color w:val="262626" w:themeColor="text1" w:themeTint="D9"/>
        </w:rPr>
        <w:lastRenderedPageBreak/>
        <w:t>numeral 154 de la Ley de Transparencia y Acceso a la Información Pública del Estado</w:t>
      </w:r>
      <w:r w:rsidRPr="00D02FBD">
        <w:rPr>
          <w:rFonts w:ascii="Arial" w:hAnsi="Arial" w:cs="Arial"/>
          <w:color w:val="262626" w:themeColor="text1" w:themeTint="D9"/>
          <w:lang w:val="es-MX"/>
        </w:rPr>
        <w:t>.</w:t>
      </w:r>
    </w:p>
    <w:p w:rsidR="00D02FBD" w:rsidRPr="00D02FBD" w:rsidRDefault="00D02FBD" w:rsidP="00D02FBD">
      <w:pPr>
        <w:pStyle w:val="Textoindependienteprimerasangra"/>
        <w:ind w:firstLine="900"/>
        <w:rPr>
          <w:rFonts w:ascii="Arial" w:hAnsi="Arial" w:cs="Arial"/>
          <w:color w:val="262626" w:themeColor="text1" w:themeTint="D9"/>
          <w:lang w:val="es-MX"/>
        </w:rPr>
      </w:pPr>
      <w:r w:rsidRPr="00D02FBD">
        <w:rPr>
          <w:rFonts w:ascii="Arial" w:hAnsi="Arial" w:cs="Arial"/>
          <w:color w:val="262626" w:themeColor="text1" w:themeTint="D9"/>
          <w:lang w:val="es-MX"/>
        </w:rPr>
        <w:t>Es así que se concluye que el ente responsable, no dio contestación a la solicitud de información en cuestión, en el tiempo determinado por la Ley de Transparencia y Acceso a la Información Pública del Estado,</w:t>
      </w:r>
      <w:r w:rsidRPr="00D02FBD">
        <w:rPr>
          <w:rFonts w:ascii="Arial" w:eastAsia="Arial Unicode MS" w:hAnsi="Arial" w:cs="Arial"/>
          <w:color w:val="262626" w:themeColor="text1" w:themeTint="D9"/>
        </w:rPr>
        <w:t xml:space="preserve"> en consecuencia, al no mediar constancia que acredite el cumplimiento a la aludida disposición normativa es que, con fundamento en el artículo 164 de la Ley Local de la Materia, se configura contra  la autoridad el </w:t>
      </w:r>
      <w:r w:rsidRPr="00D02FBD">
        <w:rPr>
          <w:rFonts w:ascii="Arial" w:eastAsia="Arial Unicode MS" w:hAnsi="Arial" w:cs="Arial"/>
          <w:b/>
          <w:color w:val="262626" w:themeColor="text1" w:themeTint="D9"/>
        </w:rPr>
        <w:t>Principio de Afirmativa Ficta</w:t>
      </w:r>
      <w:r w:rsidRPr="00D02FBD">
        <w:rPr>
          <w:rFonts w:ascii="Arial" w:eastAsia="Arial Unicode MS" w:hAnsi="Arial" w:cs="Arial"/>
          <w:color w:val="262626" w:themeColor="text1" w:themeTint="D9"/>
        </w:rPr>
        <w:t xml:space="preserve"> y se le constriñe a emitir una contestación a favor del peticionario, la cual deberá tutelar de la manera más efectiva el derecho de acceso a la información pública.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Ahora bien, al configurarse contra el sujeto obligado el principio de afirmativa ficta, es que se actualiza la fracción VI del artículo 167 de la Ley de Transparencia y Acceso a la Información pública del Estado; sin embargo, es necesario recalcar las siguientes precisiones:</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Hablar de afirmativa ficta es hacer referencia a la doctrina según la cual, el legislador le da un valor concreto y determinado a la inactividad, inercia o pasividad de la administración frente a la solicitud de un particular, que hace presumir la existencia de una decisión administrativa en sentido afirmativo.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La conveniencia de incorporar la afirmativa ficta en casos en que los entes obligados no se pronuncien dentro del plazo legal, radica en que su actuación no es conformadora del contenido mismo del acto de respuesta, es decir, que no concurre de manera necesaria en la formación de la voluntad administrativa, sino que únicamente se ocupa de constatar su conformidad con el ordenamiento jurídico. Dicho de otra forma, el silencio de la autoridad se traduce, por disposición normativa en una decisión administrativa que reúne en si misma todas las condiciones necesarias para subsistir sin un pronunciamiento expreso que la dote de eficacia y obliga a la autoridad que la emitió por su inactividad a colmar los extremos en que dicha figura se modula.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Los efectos de la aplicación de la afirmativa ficta, atento al contenido del artículo 164 de la Ley de Transparencia y Acceso a la Información pública del Estado, para el ente obligado son:</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entregue de forma gratuita la información y en la modalidad en que le fue solicitada.</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por el sólo hecho de no responder la solicitud de información se entiende en sentido positivo y éste se comprende de dos formas:</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Que posee la información</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La información es pública.</w:t>
      </w:r>
    </w:p>
    <w:p w:rsidR="00D02FBD" w:rsidRPr="00D02FBD" w:rsidRDefault="00D02FBD" w:rsidP="00D02FBD">
      <w:pPr>
        <w:spacing w:before="240"/>
        <w:rPr>
          <w:rFonts w:ascii="Arial" w:hAnsi="Arial" w:cs="Arial"/>
          <w:color w:val="262626" w:themeColor="text1" w:themeTint="D9"/>
          <w:lang w:val="es-MX"/>
        </w:rPr>
      </w:pPr>
      <w:r w:rsidRPr="00D02FBD">
        <w:rPr>
          <w:rFonts w:ascii="Arial" w:hAnsi="Arial" w:cs="Arial"/>
          <w:color w:val="262626" w:themeColor="text1" w:themeTint="D9"/>
          <w:lang w:val="es-MX"/>
        </w:rPr>
        <w:tab/>
        <w:t>Pese a lo anterior, los efectos de la afirmativa ficta en la presente materia se ven limitados bajo las siguientes excepciones:</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Cuando en términos de los dispuesto por los artículos 18 y 19 no exista obligación de generar, administrar o poseer la información solicitada.</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La información es clasificada en sus dos vertientes: confidencial y reservada.</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Por todo lo anterior, es que en materia de transparencia se debe entender la expresión “respuesta” desde un punto de vista amplio y garantista, lo que forzosamente implica que en términos de la Ley General de Transparencia y Acceso a la Información Pública, así como la Ley de Transparencia y Acceso a la Información Pública del Estado de San Luis Potosí, la respuesta es el nexo entre el ente obligado y la solicitante para que ésta vea satisfecho un derecho, lo que conlleva a que es el medio que lleva al fin; en otras palabras, la respuesta documenta el cumplimiento al derecho a la información por lo que su ausencia implica forzosamente eludir el medio de comunicación que tiene el ciudadano para acceder a lo que requirió. </w:t>
      </w:r>
    </w:p>
    <w:p w:rsidR="00D02FBD" w:rsidRPr="00D02FBD" w:rsidRDefault="00D02FBD" w:rsidP="00D02FBD">
      <w:pPr>
        <w:spacing w:after="240"/>
        <w:ind w:firstLine="708"/>
        <w:rPr>
          <w:rFonts w:ascii="Arial" w:hAnsi="Arial" w:cs="Arial"/>
          <w:color w:val="262626" w:themeColor="text1" w:themeTint="D9"/>
          <w:lang w:val="es-MX"/>
        </w:rPr>
      </w:pPr>
      <w:r w:rsidRPr="00D02FBD">
        <w:rPr>
          <w:rFonts w:ascii="Arial" w:hAnsi="Arial" w:cs="Arial"/>
          <w:color w:val="262626" w:themeColor="text1" w:themeTint="D9"/>
          <w:lang w:val="es-MX"/>
        </w:rPr>
        <w:lastRenderedPageBreak/>
        <w:t>No obstante, su emisión no garantiza la satisfacción del derecho tutelado por esta Comisión, pero la construcción normativa de la actual ley constriñe el entendimiento de la afirmativa ficta sólo como la ausencia del instrumento de interacción entre el ciudadano y los entes obligados, en términos del derecho a tutelar; consecuentemente, al estar previsto el aludido principio en nuestra legislación implica que en el medio de impugnación en el cual se determine su configuración se analicé si se colman los efectos de su aplicación, ya que de otra forma se dejaría en estado de inseguridad jurídica al solicitante, ya que no vería cumplidos los extremos del invocado principio, y a su vez, se entraría en conflicto con el contenido del artículo 8° de la Ley local.</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El aludido conflicto seria en virtud de que no se respetarían los principios de Certeza, Eficacia, Legalidad y Máxima Publicidad, los cuales interpretados armónicamente con el principio de afirmativa ficta implican que esta Comisión garantice el cumplimiento de sus efectos, porque de otra manera no se permitirá el acceso a la información de forma eficaz, ya que se establecerían impedimentos que obstaculizarían el ejercicio del derecho, y consecuentemente, que las resoluciones que emite esta Comisión no constriñan al respeto pronto de las prerrogativas del ciudadano; aunado a ello, al configurarse este principio no es posible sobreseer la presente causa pues esta Comisión está obligada a verificar que se actúa dentro del marco del principio de afirmativa ficta.</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Precisado lo anterior, es menester señalar que la autoridad, en sus manifestaciones, acompañó dos oficios identificados como 013 y CDSM-2015-2018/1346, signados respectivamente por el Titular de la Unidad de Transparencia y el Presidente Municipal, por los cuales pretenden acreditar que se dio respuesta a la petición que formuló la particular. </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Del análisis del mismo, se advierte que niegan la posesión de la información; sin embargo, en ningún momento se justificó el cómo se llegó a dicha determinación, es decir, se violentó el perjuicio de la particular su garantía de certeza y seguridad jurídica.</w:t>
      </w:r>
    </w:p>
    <w:p w:rsidR="00D02FBD" w:rsidRPr="00D02FBD" w:rsidRDefault="00D02FBD" w:rsidP="00D02FBD">
      <w:pPr>
        <w:spacing w:before="240" w:after="240"/>
        <w:rPr>
          <w:rFonts w:ascii="Arial" w:hAnsi="Arial" w:cs="Arial"/>
          <w:szCs w:val="26"/>
        </w:rPr>
      </w:pPr>
      <w:r w:rsidRPr="00D02FBD">
        <w:rPr>
          <w:rFonts w:ascii="Arial" w:hAnsi="Arial" w:cs="Arial"/>
          <w:szCs w:val="26"/>
        </w:rPr>
        <w:lastRenderedPageBreak/>
        <w:tab/>
        <w:t xml:space="preserve">Conforme al artículo 7°, segundo párrafo, de la Ley de Transparencia y Acceso a la Información Pública del Estado, resulta patente hacer mención de lo establecido por la Corte Interamericana de Derechos Humanos en el caso Gomes </w:t>
      </w:r>
      <w:proofErr w:type="spellStart"/>
      <w:r w:rsidRPr="00D02FBD">
        <w:rPr>
          <w:rFonts w:ascii="Arial" w:hAnsi="Arial" w:cs="Arial"/>
          <w:szCs w:val="26"/>
        </w:rPr>
        <w:t>Lund</w:t>
      </w:r>
      <w:proofErr w:type="spellEnd"/>
      <w:r w:rsidRPr="00D02FBD">
        <w:rPr>
          <w:rFonts w:ascii="Arial" w:hAnsi="Arial" w:cs="Arial"/>
          <w:szCs w:val="26"/>
        </w:rPr>
        <w:t xml:space="preserve"> y otros (“</w:t>
      </w:r>
      <w:proofErr w:type="spellStart"/>
      <w:r w:rsidRPr="00D02FBD">
        <w:rPr>
          <w:rFonts w:ascii="Arial" w:hAnsi="Arial" w:cs="Arial"/>
          <w:szCs w:val="26"/>
        </w:rPr>
        <w:t>Guerrilha</w:t>
      </w:r>
      <w:proofErr w:type="spellEnd"/>
      <w:r w:rsidRPr="00D02FBD">
        <w:rPr>
          <w:rFonts w:ascii="Arial" w:hAnsi="Arial" w:cs="Arial"/>
          <w:szCs w:val="26"/>
        </w:rPr>
        <w:t xml:space="preserve"> do </w:t>
      </w:r>
      <w:proofErr w:type="spellStart"/>
      <w:r w:rsidRPr="00D02FBD">
        <w:rPr>
          <w:rFonts w:ascii="Arial" w:hAnsi="Arial" w:cs="Arial"/>
          <w:szCs w:val="26"/>
        </w:rPr>
        <w:t>Araguaia</w:t>
      </w:r>
      <w:proofErr w:type="spellEnd"/>
      <w:r w:rsidRPr="00D02FBD">
        <w:rPr>
          <w:rFonts w:ascii="Arial" w:hAnsi="Arial" w:cs="Arial"/>
          <w:szCs w:val="26"/>
        </w:rPr>
        <w:t xml:space="preserve">”): </w:t>
      </w:r>
      <w:r w:rsidRPr="00D02FBD">
        <w:rPr>
          <w:rFonts w:ascii="Arial" w:hAnsi="Arial" w:cs="Arial"/>
          <w:sz w:val="22"/>
          <w:szCs w:val="22"/>
        </w:rPr>
        <w:t xml:space="preserve">“(…) </w:t>
      </w:r>
      <w:r w:rsidRPr="00D02FBD">
        <w:rPr>
          <w:rFonts w:ascii="Arial" w:hAnsi="Arial" w:cs="Arial"/>
          <w:i/>
          <w:sz w:val="22"/>
          <w:szCs w:val="22"/>
        </w:rPr>
        <w:t>el Estado no puede ampararse en la falta de prueba de la existencia de los documentos solicitados sino que, por el contrario, debe fundamentar la negativa a proveerlos, demostrando que ha adoptado todas las medidas a su alcance para comprobar que, efectivamente, la información solicitada no existía. Resulta esencial que, para garantizar el derecho a la información, los poderes públicos actúen de buena fe y realicen diligentemente las acciones necesarias para asegurar la efectividad de ese derecho (…). La falta de prueba sobre la existencia de cierta información, sin haber indicado, al menos, cuáles fueron las diligencias que realizó para confirmar o no su existencia, posibilita la actuación discrecional y arbitraria del Estado de facilitar o no determinada información, generando con ello inseguridad jurídica respecto al ejercicio de ese derecho (…)</w:t>
      </w:r>
      <w:r w:rsidRPr="00D02FBD">
        <w:rPr>
          <w:rStyle w:val="Refdenotaalpie"/>
          <w:rFonts w:ascii="Arial" w:hAnsi="Arial" w:cs="Arial"/>
          <w:i/>
          <w:sz w:val="22"/>
          <w:szCs w:val="22"/>
        </w:rPr>
        <w:footnoteReference w:id="1"/>
      </w:r>
      <w:r w:rsidRPr="00D02FBD">
        <w:rPr>
          <w:rFonts w:ascii="Arial" w:hAnsi="Arial" w:cs="Arial"/>
          <w:i/>
          <w:sz w:val="22"/>
          <w:szCs w:val="22"/>
        </w:rPr>
        <w:t>”.</w:t>
      </w:r>
      <w:r w:rsidRPr="00D02FBD">
        <w:rPr>
          <w:rFonts w:ascii="Arial" w:hAnsi="Arial" w:cs="Arial"/>
          <w:i/>
          <w:szCs w:val="26"/>
        </w:rPr>
        <w:t xml:space="preserve"> </w:t>
      </w:r>
      <w:r w:rsidRPr="00D02FBD">
        <w:rPr>
          <w:rFonts w:ascii="Arial" w:hAnsi="Arial" w:cs="Arial"/>
          <w:szCs w:val="26"/>
        </w:rPr>
        <w:t>Esta determinación de la Corte, resulta aplicable como interpretación a lo preceptuado por los artículos 20 y 161 de la Ley de Transparencia y Acceso a la Información Pública del Estado.</w:t>
      </w:r>
    </w:p>
    <w:p w:rsidR="00D02FBD" w:rsidRPr="00D02FBD" w:rsidRDefault="00D02FBD" w:rsidP="00D02FBD">
      <w:pPr>
        <w:spacing w:after="240"/>
        <w:rPr>
          <w:rFonts w:ascii="Arial" w:hAnsi="Arial" w:cs="Arial"/>
          <w:szCs w:val="26"/>
        </w:rPr>
      </w:pPr>
      <w:r w:rsidRPr="00D02FBD">
        <w:rPr>
          <w:rFonts w:ascii="Arial" w:hAnsi="Arial" w:cs="Arial"/>
          <w:szCs w:val="26"/>
        </w:rPr>
        <w:tab/>
        <w:t>Por otra parte, se estima deficiente la determinación de la autoridad, puesto que el sujeto obligado no justificó ni precisó de manera clara las consideraciones que lo llevaron a emitir su respuesta, pues no estableció los alcances ni los criterios en que se fijó la búsqueda exhaustiva, y tampoco explicó de manera razonada los argumentos que lo llevaron a determinar la inexistencia de la información. Resulta prudente invocar la tesis de jurisprudencia I.4o.A. J/43, emitida en la Novena Época por el Cuarto Tribunal Colegiado en Materia Administrativa del Primer Circuito, que señala:</w:t>
      </w:r>
    </w:p>
    <w:p w:rsidR="00D02FBD" w:rsidRPr="00D02FBD" w:rsidRDefault="00D02FBD" w:rsidP="00D02FBD">
      <w:pPr>
        <w:tabs>
          <w:tab w:val="left" w:pos="709"/>
        </w:tabs>
        <w:spacing w:line="240" w:lineRule="auto"/>
        <w:ind w:left="709" w:firstLine="709"/>
        <w:rPr>
          <w:rFonts w:ascii="Arial" w:hAnsi="Arial" w:cs="Arial"/>
          <w:b/>
          <w:bCs/>
          <w:i/>
          <w:sz w:val="20"/>
          <w:szCs w:val="20"/>
          <w:lang w:eastAsia="es-MX"/>
        </w:rPr>
      </w:pPr>
      <w:r w:rsidRPr="00D02FBD">
        <w:rPr>
          <w:rFonts w:ascii="Arial" w:hAnsi="Arial" w:cs="Arial"/>
          <w:b/>
          <w:bCs/>
          <w:i/>
          <w:sz w:val="20"/>
          <w:szCs w:val="20"/>
          <w:lang w:eastAsia="es-MX"/>
        </w:rPr>
        <w:t>“FUNDAMENTACIÓN Y MOTIVACIÓN. EL ASPECTO FORMAL DE LA GARANTÍA Y SU FINALIDAD SE TRADUCEN EN EXPLICAR, JUSTIFICAR, POSIBILITAR LA DEFENSA Y COMUNICAR LA DECISIÓN.</w:t>
      </w:r>
    </w:p>
    <w:p w:rsidR="00D02FBD" w:rsidRPr="00D02FBD" w:rsidRDefault="00D02FBD" w:rsidP="00D02FBD">
      <w:pPr>
        <w:tabs>
          <w:tab w:val="left" w:pos="709"/>
        </w:tabs>
        <w:spacing w:line="240" w:lineRule="auto"/>
        <w:ind w:left="709" w:firstLine="709"/>
        <w:rPr>
          <w:rFonts w:ascii="Arial" w:hAnsi="Arial" w:cs="Arial"/>
          <w:i/>
          <w:sz w:val="20"/>
          <w:szCs w:val="20"/>
          <w:lang w:eastAsia="es-MX"/>
        </w:rPr>
      </w:pPr>
    </w:p>
    <w:p w:rsidR="00D02FBD" w:rsidRPr="00D02FBD" w:rsidRDefault="00D02FBD" w:rsidP="00D02FBD">
      <w:pPr>
        <w:tabs>
          <w:tab w:val="left" w:pos="709"/>
        </w:tabs>
        <w:spacing w:line="240" w:lineRule="auto"/>
        <w:ind w:left="709" w:firstLine="709"/>
        <w:rPr>
          <w:rFonts w:ascii="Arial" w:hAnsi="Arial" w:cs="Arial"/>
          <w:i/>
          <w:sz w:val="20"/>
          <w:szCs w:val="20"/>
          <w:lang w:eastAsia="es-MX"/>
        </w:rPr>
      </w:pPr>
      <w:r w:rsidRPr="00D02FBD">
        <w:rPr>
          <w:rFonts w:ascii="Arial" w:hAnsi="Arial" w:cs="Arial"/>
          <w:i/>
          <w:sz w:val="20"/>
          <w:szCs w:val="20"/>
          <w:lang w:eastAsia="es-MX"/>
        </w:rPr>
        <w:t>El contenido formal de la garantía de legalidad prevista en el artículo </w:t>
      </w:r>
      <w:hyperlink r:id="rId8" w:history="1">
        <w:r w:rsidRPr="00D02FBD">
          <w:rPr>
            <w:rFonts w:ascii="Arial" w:hAnsi="Arial" w:cs="Arial"/>
            <w:i/>
            <w:sz w:val="20"/>
            <w:szCs w:val="20"/>
            <w:u w:val="single"/>
            <w:lang w:eastAsia="es-MX"/>
          </w:rPr>
          <w:t>16 constitucional</w:t>
        </w:r>
      </w:hyperlink>
      <w:r w:rsidRPr="00D02FBD">
        <w:rPr>
          <w:rFonts w:ascii="Arial" w:hAnsi="Arial" w:cs="Arial"/>
          <w:i/>
          <w:sz w:val="20"/>
          <w:szCs w:val="20"/>
          <w:lang w:eastAsia="es-MX"/>
        </w:rPr>
        <w:t xml:space="preserve"> relativa a la fundamentación y motivación tiene como propósito primordial y ratio que el justiciable conozca el "para qué" de la conducta de la autoridad, lo que se traduce en darle a conocer en detalle y de manera completa la esencia de todas las </w:t>
      </w:r>
      <w:r w:rsidRPr="00D02FBD">
        <w:rPr>
          <w:rFonts w:ascii="Arial" w:hAnsi="Arial" w:cs="Arial"/>
          <w:i/>
          <w:sz w:val="20"/>
          <w:szCs w:val="20"/>
          <w:lang w:eastAsia="es-MX"/>
        </w:rPr>
        <w:lastRenderedPageBreak/>
        <w:t>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D02FBD" w:rsidRPr="00D02FBD" w:rsidRDefault="00D02FBD" w:rsidP="00D02FBD">
      <w:pPr>
        <w:spacing w:before="240"/>
        <w:rPr>
          <w:rFonts w:ascii="Arial" w:hAnsi="Arial" w:cs="Arial"/>
          <w:szCs w:val="26"/>
        </w:rPr>
      </w:pPr>
      <w:r w:rsidRPr="00D02FBD">
        <w:rPr>
          <w:rFonts w:ascii="Arial" w:hAnsi="Arial" w:cs="Arial"/>
        </w:rPr>
        <w:tab/>
      </w:r>
      <w:r w:rsidRPr="00D02FBD">
        <w:rPr>
          <w:rFonts w:ascii="Arial" w:hAnsi="Arial" w:cs="Arial"/>
          <w:szCs w:val="26"/>
        </w:rPr>
        <w:t>Al caso particular, la tesis invocada resulta aplicable en virtud de que la autoridad no explicó, ni justificó los alcances del análisis normativo que efectuó para efectos de llevar a cabo la búsqueda exhaustiva, puesto que de conformidad con los artículos 18 y 19 de la Ley de Transparencia y Acceso a la Información Pública del Estado, el ejercicio de las atribuciones, competencias y funciones de los sujetos obligados debe ser documentado, y además, si se refiere a la esfera de competencia del sujeto obligado, se presume que existe un medio documental que respalde y de constancia de la actuación de la autoridad; es por ello, que la autoridad, al momento de recibir una solicitud de información, debe efectuar un proceso de adecuación normativa, entendido como aquel razonamiento lógico jurídico por el que se determine de manera fundada y motivada si existen condiciones que presuman su generación o posesión.</w:t>
      </w:r>
    </w:p>
    <w:p w:rsidR="00D02FBD" w:rsidRPr="00D02FBD" w:rsidRDefault="00D02FBD" w:rsidP="00D02FBD">
      <w:pPr>
        <w:spacing w:before="240"/>
        <w:rPr>
          <w:rFonts w:ascii="Arial" w:hAnsi="Arial" w:cs="Arial"/>
          <w:szCs w:val="26"/>
        </w:rPr>
      </w:pPr>
      <w:r w:rsidRPr="00D02FBD">
        <w:rPr>
          <w:rFonts w:ascii="Arial" w:hAnsi="Arial" w:cs="Arial"/>
          <w:szCs w:val="26"/>
        </w:rPr>
        <w:tab/>
        <w:t>Por otra parte, no debe perderse de vista que la determinación por la que se afirme la ausencia de un documento es un proceso exhaustivo, ya que con fundamento en el artículo 54, fracciones II y IV de la Ley de Transparencia Local, deben efectuarse las gestiones internas necesarias ante las áreas que por su configuración normativa, reglamentaria o administrativa estén en condiciones poseer la información para que éstas realicen la búsqueda correspondiente y den certeza de la causa por la cual no poseen la información.</w:t>
      </w:r>
    </w:p>
    <w:p w:rsidR="00D02FBD" w:rsidRPr="00D02FBD" w:rsidRDefault="00D02FBD" w:rsidP="00D02FBD">
      <w:pPr>
        <w:spacing w:before="240" w:after="240"/>
        <w:rPr>
          <w:rFonts w:ascii="Arial" w:hAnsi="Arial" w:cs="Arial"/>
          <w:szCs w:val="26"/>
        </w:rPr>
      </w:pPr>
      <w:r w:rsidRPr="00D02FBD">
        <w:rPr>
          <w:rFonts w:ascii="Arial" w:hAnsi="Arial" w:cs="Arial"/>
          <w:szCs w:val="26"/>
        </w:rPr>
        <w:tab/>
        <w:t xml:space="preserve">Para reforzar lo expuesto, es de señalar que conforme al numeral 151 en correlación con los artículos 18, 19 y 153 de la Ley de Transparencia y Acceso a la Información Pública, corresponde a los </w:t>
      </w:r>
      <w:r w:rsidRPr="00D02FBD">
        <w:rPr>
          <w:rFonts w:ascii="Arial" w:hAnsi="Arial" w:cs="Arial"/>
          <w:szCs w:val="26"/>
        </w:rPr>
        <w:lastRenderedPageBreak/>
        <w:t xml:space="preserve">sujetos obligados adoptar las medidas necesarias para localizar la documentación solicitada, ya que como lo estableció el Comité Jurídico Interamericano en la resolución sobre los “Principios sobre el Derecho de Acceso a la Información” la carga de la prueba para justificar cualquier negativa de acceso debe recaer en el órgano al cual fue solicitada, y así también debe asegurar la </w:t>
      </w:r>
      <w:r w:rsidRPr="00D02FBD">
        <w:rPr>
          <w:rFonts w:ascii="Arial" w:hAnsi="Arial" w:cs="Arial"/>
        </w:rPr>
        <w:t>difusión de información sobre sus funciones y actividades,</w:t>
      </w:r>
      <w:r w:rsidRPr="00D02FBD">
        <w:rPr>
          <w:rFonts w:ascii="Arial" w:hAnsi="Arial" w:cs="Arial"/>
          <w:szCs w:val="26"/>
        </w:rPr>
        <w:t xml:space="preserve"> ya que de otra forma se correría el riesgo de que las autoridades pretendan eludir su obligación al dejarle a esta Comisión la carga de probar y determinar si deben generar o no la información. Contrario sensu, al no ser justificada la ausencia de las constancias materia de la petición, se presume su existencia, y por ende la eventual entrega de esta.</w:t>
      </w:r>
    </w:p>
    <w:p w:rsidR="00D02FBD" w:rsidRPr="00D02FBD" w:rsidRDefault="00D02FBD" w:rsidP="00D02FBD">
      <w:pPr>
        <w:pStyle w:val="Textoindependienteprimerasangra"/>
        <w:ind w:right="-10" w:firstLine="708"/>
        <w:rPr>
          <w:rFonts w:ascii="Arial" w:hAnsi="Arial" w:cs="Arial"/>
          <w:lang w:val="es-MX"/>
        </w:rPr>
      </w:pPr>
      <w:r w:rsidRPr="00D02FBD">
        <w:rPr>
          <w:rFonts w:ascii="Arial" w:hAnsi="Arial" w:cs="Arial"/>
          <w:szCs w:val="26"/>
        </w:rPr>
        <w:t xml:space="preserve">Por ello, la autoridad deberá de entregar al particular la información que requirió la particular o, en su defecto, justificar que llevó a cabo las gestiones necesarias para localizar la información y explicar </w:t>
      </w:r>
      <w:proofErr w:type="spellStart"/>
      <w:r w:rsidRPr="00D02FBD">
        <w:rPr>
          <w:rFonts w:ascii="Arial" w:hAnsi="Arial" w:cs="Arial"/>
          <w:szCs w:val="26"/>
        </w:rPr>
        <w:t>como</w:t>
      </w:r>
      <w:proofErr w:type="spellEnd"/>
      <w:r w:rsidRPr="00D02FBD">
        <w:rPr>
          <w:rFonts w:ascii="Arial" w:hAnsi="Arial" w:cs="Arial"/>
          <w:szCs w:val="26"/>
        </w:rPr>
        <w:t xml:space="preserve"> llegó a la determinación de que no obraba en sus archivos, los cual debe hacer de manera fundada y motivada</w:t>
      </w:r>
    </w:p>
    <w:p w:rsidR="00AC73E9" w:rsidRPr="00D02FBD" w:rsidRDefault="00AC73E9" w:rsidP="00AC73E9">
      <w:pPr>
        <w:pStyle w:val="Textoindependienteprimerasangra"/>
        <w:spacing w:before="240"/>
        <w:ind w:firstLine="0"/>
        <w:rPr>
          <w:rFonts w:ascii="Arial" w:hAnsi="Arial" w:cs="Arial"/>
          <w:lang w:val="es-MX"/>
        </w:rPr>
      </w:pPr>
      <w:r w:rsidRPr="00D02FBD">
        <w:rPr>
          <w:rFonts w:ascii="Arial" w:hAnsi="Arial" w:cs="Arial"/>
          <w:lang w:val="es-MX"/>
        </w:rPr>
        <w:tab/>
        <w:t xml:space="preserve">Por lo expuesto, es que esta Comisión, con fundamento en lo dispuesto por el artículo </w:t>
      </w:r>
      <w:r w:rsidR="00D02FBD" w:rsidRPr="00D02FBD">
        <w:rPr>
          <w:rFonts w:ascii="Arial" w:hAnsi="Arial" w:cs="Arial"/>
          <w:lang w:val="es-MX"/>
        </w:rPr>
        <w:t>164</w:t>
      </w:r>
      <w:r w:rsidRPr="00D02FBD">
        <w:rPr>
          <w:rFonts w:ascii="Arial" w:hAnsi="Arial" w:cs="Arial"/>
          <w:lang w:val="es-MX"/>
        </w:rPr>
        <w:t xml:space="preserve"> de la Ley de Transparencia y Acceso a la Información Pública del Estado, </w:t>
      </w:r>
      <w:r w:rsidR="00D02FBD" w:rsidRPr="00D02FBD">
        <w:rPr>
          <w:rFonts w:ascii="Arial" w:hAnsi="Arial" w:cs="Arial"/>
          <w:lang w:val="es-MX"/>
        </w:rPr>
        <w:t>se aplica contra la autoridad el principio de afirmativa ficta</w:t>
      </w:r>
      <w:r w:rsidRPr="00D02FBD">
        <w:rPr>
          <w:rFonts w:ascii="Arial" w:hAnsi="Arial" w:cs="Arial"/>
          <w:lang w:val="es-MX"/>
        </w:rPr>
        <w:t xml:space="preserve"> para efectos de que el sujeto obligado: </w:t>
      </w:r>
    </w:p>
    <w:p w:rsidR="00D02FBD" w:rsidRPr="00D02FBD" w:rsidRDefault="00AC73E9" w:rsidP="00D02FBD">
      <w:pPr>
        <w:pStyle w:val="Textoindependienteprimerasangra"/>
        <w:numPr>
          <w:ilvl w:val="0"/>
          <w:numId w:val="21"/>
        </w:numPr>
        <w:shd w:val="clear" w:color="auto" w:fill="FFFFFF"/>
        <w:spacing w:before="240" w:after="240"/>
        <w:ind w:left="709"/>
        <w:outlineLvl w:val="0"/>
        <w:rPr>
          <w:rFonts w:ascii="Arial" w:hAnsi="Arial" w:cs="Arial"/>
          <w:szCs w:val="26"/>
          <w:lang w:eastAsia="es-MX"/>
        </w:rPr>
      </w:pPr>
      <w:r w:rsidRPr="00D02FBD">
        <w:rPr>
          <w:rFonts w:ascii="Arial" w:hAnsi="Arial" w:cs="Arial"/>
          <w:lang w:val="es-MX"/>
        </w:rPr>
        <w:t xml:space="preserve">Entregue la información </w:t>
      </w:r>
      <w:r w:rsidR="005E1FFF" w:rsidRPr="00D02FBD">
        <w:rPr>
          <w:rFonts w:ascii="Arial" w:hAnsi="Arial" w:cs="Arial"/>
          <w:lang w:val="es-MX"/>
        </w:rPr>
        <w:t>solicitada</w:t>
      </w:r>
      <w:r w:rsidR="000A6A64" w:rsidRPr="00D02FBD">
        <w:rPr>
          <w:rFonts w:ascii="Arial" w:hAnsi="Arial" w:cs="Arial"/>
          <w:lang w:val="es-MX"/>
        </w:rPr>
        <w:t xml:space="preserve"> o</w:t>
      </w:r>
      <w:r w:rsidR="00D02FBD" w:rsidRPr="00D02FBD">
        <w:rPr>
          <w:rFonts w:ascii="Arial" w:hAnsi="Arial" w:cs="Arial"/>
          <w:lang w:val="es-MX"/>
        </w:rPr>
        <w:t>, en su defecto, justifique las causas y razones por las cuales no obra dentro de sus archivos.</w:t>
      </w:r>
    </w:p>
    <w:p w:rsidR="00B815B9" w:rsidRPr="00D02FBD" w:rsidRDefault="00D02FBD" w:rsidP="00D02FBD">
      <w:pPr>
        <w:pStyle w:val="Textoindependienteprimerasangra"/>
        <w:shd w:val="clear" w:color="auto" w:fill="FFFFFF"/>
        <w:spacing w:before="240" w:after="240"/>
        <w:ind w:firstLine="0"/>
        <w:outlineLvl w:val="0"/>
        <w:rPr>
          <w:rFonts w:ascii="Arial" w:hAnsi="Arial" w:cs="Arial"/>
          <w:szCs w:val="26"/>
          <w:lang w:eastAsia="es-MX"/>
        </w:rPr>
      </w:pPr>
      <w:r w:rsidRPr="00D02FBD">
        <w:rPr>
          <w:rFonts w:ascii="Arial" w:hAnsi="Arial" w:cs="Arial"/>
          <w:lang w:val="es-MX"/>
        </w:rPr>
        <w:tab/>
      </w:r>
      <w:r w:rsidR="00B815B9" w:rsidRPr="00D02FBD">
        <w:rPr>
          <w:rFonts w:ascii="Arial" w:eastAsia="Arial Unicode MS" w:hAnsi="Arial" w:cs="Arial"/>
        </w:rPr>
        <w:t>Para efectos del cumplimiento de la presente resolución resulta pertinente tomar en cuenta las siguientes precisiones:</w:t>
      </w:r>
      <w:r w:rsidR="00B815B9" w:rsidRPr="00D02FBD">
        <w:rPr>
          <w:rFonts w:ascii="Arial" w:eastAsia="Arial Unicode MS" w:hAnsi="Arial" w:cs="Arial"/>
          <w:szCs w:val="26"/>
          <w:lang w:eastAsia="es-MX"/>
        </w:rPr>
        <w:t> </w:t>
      </w:r>
    </w:p>
    <w:p w:rsidR="00B815B9" w:rsidRPr="00D02FBD" w:rsidRDefault="00B815B9" w:rsidP="00B815B9">
      <w:pPr>
        <w:spacing w:before="240"/>
        <w:rPr>
          <w:rFonts w:ascii="Arial" w:hAnsi="Arial" w:cs="Arial"/>
          <w:b/>
        </w:rPr>
      </w:pPr>
      <w:r w:rsidRPr="00D02FBD">
        <w:rPr>
          <w:rFonts w:ascii="Arial" w:hAnsi="Arial" w:cs="Arial"/>
          <w:szCs w:val="26"/>
          <w:lang w:eastAsia="es-MX"/>
        </w:rPr>
        <w:tab/>
      </w:r>
      <w:r w:rsidRPr="00D02FBD">
        <w:rPr>
          <w:rFonts w:ascii="Arial" w:hAnsi="Arial" w:cs="Arial"/>
        </w:rPr>
        <w:t xml:space="preserve">Con fundamento en los artículos 175, último párrafo y 183 de la Ley de Transparencia y Acceso a la Información Pública del Estado, se le concede al ente obligado el término de </w:t>
      </w:r>
      <w:r w:rsidRPr="00D02FBD">
        <w:rPr>
          <w:rFonts w:ascii="Arial" w:hAnsi="Arial" w:cs="Arial"/>
          <w:b/>
        </w:rPr>
        <w:t xml:space="preserve">10 diez días, </w:t>
      </w:r>
      <w:r w:rsidRPr="00D02FBD">
        <w:rPr>
          <w:rFonts w:ascii="Arial" w:hAnsi="Arial" w:cs="Arial"/>
          <w:b/>
          <w:bCs/>
          <w:szCs w:val="26"/>
          <w:lang w:val="es-MX" w:eastAsia="es-MX"/>
        </w:rPr>
        <w:t>contados a partir del día siguiente de su notificación,</w:t>
      </w:r>
      <w:r w:rsidRPr="00D02FBD">
        <w:rPr>
          <w:rFonts w:ascii="Arial" w:hAnsi="Arial" w:cs="Arial"/>
          <w:b/>
        </w:rPr>
        <w:t xml:space="preserve"> para que de cumplimiento a lo ordenado en la presente resolución.</w:t>
      </w:r>
    </w:p>
    <w:p w:rsidR="00B815B9" w:rsidRPr="00D02FBD" w:rsidRDefault="00B815B9" w:rsidP="00B815B9">
      <w:pPr>
        <w:spacing w:before="240"/>
        <w:rPr>
          <w:rFonts w:ascii="Arial" w:hAnsi="Arial" w:cs="Arial"/>
        </w:rPr>
      </w:pPr>
      <w:r w:rsidRPr="00D02FBD">
        <w:rPr>
          <w:rFonts w:ascii="Arial" w:hAnsi="Arial" w:cs="Arial"/>
        </w:rPr>
        <w:lastRenderedPageBreak/>
        <w:tab/>
        <w:t>Se estima el plazo de 10 diez días, puesto que el ente obligado deberá entregar al particular lo requerido, por lo que en analogía al artículo 154 de la Ley de Transparencia y Acceso a la Información Pública es que se concede dicho término.</w:t>
      </w:r>
    </w:p>
    <w:p w:rsidR="00B815B9" w:rsidRPr="00D02FBD" w:rsidRDefault="00B815B9" w:rsidP="00B815B9">
      <w:pPr>
        <w:shd w:val="clear" w:color="auto" w:fill="FFFFFF"/>
        <w:spacing w:before="240"/>
        <w:ind w:firstLine="708"/>
        <w:rPr>
          <w:rFonts w:ascii="Arial" w:hAnsi="Arial" w:cs="Arial"/>
          <w:b/>
          <w:bCs/>
          <w:szCs w:val="26"/>
          <w:lang w:val="es-MX" w:eastAsia="es-MX"/>
        </w:rPr>
      </w:pPr>
      <w:r w:rsidRPr="00D02FBD">
        <w:rPr>
          <w:rFonts w:ascii="Arial" w:hAnsi="Arial" w:cs="Arial"/>
          <w:b/>
          <w:bCs/>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B815B9" w:rsidRPr="00D02FBD" w:rsidRDefault="00B815B9" w:rsidP="00B815B9">
      <w:pPr>
        <w:shd w:val="clear" w:color="auto" w:fill="FFFFFF"/>
        <w:spacing w:before="240"/>
        <w:ind w:firstLine="708"/>
        <w:rPr>
          <w:rFonts w:ascii="Arial" w:hAnsi="Arial" w:cs="Arial"/>
          <w:b/>
          <w:bCs/>
          <w:szCs w:val="26"/>
          <w:lang w:val="es-MX" w:eastAsia="es-MX"/>
        </w:rPr>
      </w:pPr>
      <w:r w:rsidRPr="00D02FBD">
        <w:rPr>
          <w:rFonts w:ascii="Arial" w:hAnsi="Arial" w:cs="Arial"/>
          <w:b/>
          <w:bCs/>
          <w:szCs w:val="26"/>
          <w:lang w:val="es-MX" w:eastAsia="es-MX"/>
        </w:rPr>
        <w:t xml:space="preserve">Una vez concluido dicho plazo, </w:t>
      </w:r>
      <w:r w:rsidRPr="00D02FBD">
        <w:rPr>
          <w:rFonts w:ascii="Arial" w:hAnsi="Arial" w:cs="Arial"/>
          <w:szCs w:val="26"/>
          <w:lang w:val="es-MX" w:eastAsia="es-MX"/>
        </w:rPr>
        <w:t>dentro de los 03 tres días hábiles siguientes, deberá</w:t>
      </w:r>
      <w:r w:rsidRPr="00D02FBD">
        <w:rPr>
          <w:rFonts w:ascii="Arial" w:hAnsi="Arial" w:cs="Arial"/>
          <w:b/>
          <w:bCs/>
          <w:szCs w:val="26"/>
          <w:lang w:val="es-MX" w:eastAsia="es-MX"/>
        </w:rPr>
        <w:t xml:space="preserve"> </w:t>
      </w:r>
      <w:r w:rsidRPr="00D02FBD">
        <w:rPr>
          <w:rFonts w:ascii="Arial" w:hAnsi="Arial" w:cs="Arial"/>
          <w:szCs w:val="26"/>
          <w:lang w:val="es-MX" w:eastAsia="es-MX"/>
        </w:rPr>
        <w:t>informar el cumplimiento al presente fallo con los documentos fehacientes</w:t>
      </w:r>
      <w:r w:rsidRPr="00D02FBD">
        <w:rPr>
          <w:rFonts w:ascii="Arial" w:hAnsi="Arial" w:cs="Arial"/>
          <w:lang w:val="es-MX" w:eastAsia="es-MX"/>
        </w:rPr>
        <w:t> </w:t>
      </w:r>
      <w:r w:rsidRPr="00D02FBD">
        <w:rPr>
          <w:rFonts w:ascii="Arial" w:hAnsi="Arial" w:cs="Arial"/>
          <w:b/>
          <w:bCs/>
          <w:szCs w:val="26"/>
          <w:lang w:val="es-MX" w:eastAsia="es-MX"/>
        </w:rPr>
        <w:t>(</w:t>
      </w:r>
      <w:r w:rsidRPr="00D02FBD">
        <w:rPr>
          <w:rFonts w:ascii="Arial" w:hAnsi="Arial" w:cs="Arial"/>
          <w:b/>
          <w:bCs/>
          <w:sz w:val="28"/>
          <w:szCs w:val="26"/>
          <w:u w:val="single"/>
          <w:lang w:val="es-MX" w:eastAsia="es-MX"/>
        </w:rPr>
        <w:t>originales o copia certificada de documentos y bandeja de salida del correo electrónico</w:t>
      </w:r>
      <w:r w:rsidRPr="00D02FBD">
        <w:rPr>
          <w:rFonts w:ascii="Arial" w:hAnsi="Arial" w:cs="Arial"/>
          <w:b/>
          <w:bCs/>
          <w:szCs w:val="26"/>
          <w:lang w:val="es-MX" w:eastAsia="es-MX"/>
        </w:rPr>
        <w:t>),</w:t>
      </w:r>
      <w:r w:rsidRPr="00D02FBD">
        <w:rPr>
          <w:rFonts w:ascii="Arial" w:hAnsi="Arial" w:cs="Arial"/>
          <w:lang w:val="es-MX" w:eastAsia="es-MX"/>
        </w:rPr>
        <w:t> </w:t>
      </w:r>
      <w:r w:rsidRPr="00D02FBD">
        <w:rPr>
          <w:rFonts w:ascii="Arial" w:hAnsi="Arial" w:cs="Arial"/>
          <w:szCs w:val="26"/>
          <w:lang w:val="es-MX" w:eastAsia="es-MX"/>
        </w:rPr>
        <w:t>con fundamento en los artículos 177 184 de la Ley de Transparencia y Acceso a la Información Pública</w:t>
      </w:r>
      <w:r w:rsidRPr="00D02FBD">
        <w:rPr>
          <w:rFonts w:ascii="Arial" w:hAnsi="Arial" w:cs="Arial"/>
          <w:lang w:val="es-MX" w:eastAsia="es-MX"/>
        </w:rPr>
        <w:t> </w:t>
      </w:r>
      <w:r w:rsidRPr="00D02FBD">
        <w:rPr>
          <w:rFonts w:ascii="Arial" w:hAnsi="Arial" w:cs="Arial"/>
          <w:b/>
          <w:bCs/>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w:t>
      </w:r>
      <w:r w:rsidR="00F012A1" w:rsidRPr="00D02FBD">
        <w:rPr>
          <w:rFonts w:ascii="Arial" w:hAnsi="Arial" w:cs="Arial"/>
          <w:b/>
          <w:bCs/>
          <w:szCs w:val="26"/>
          <w:lang w:val="es-MX" w:eastAsia="es-MX"/>
        </w:rPr>
        <w:t>,</w:t>
      </w:r>
      <w:r w:rsidRPr="00D02FBD">
        <w:rPr>
          <w:rFonts w:ascii="Arial" w:hAnsi="Arial" w:cs="Arial"/>
          <w:b/>
          <w:bCs/>
          <w:szCs w:val="26"/>
          <w:lang w:val="es-MX" w:eastAsia="es-MX"/>
        </w:rPr>
        <w:t xml:space="preserve"> de la Ley de Transparencia y Acceso a la información Pública del Estado. Lo anterior, sin perjuicio de que esta Comisión realicé lo necesario para que se dé el debido cumplimiento a la presente resolución.</w:t>
      </w:r>
    </w:p>
    <w:p w:rsidR="00F012A1" w:rsidRPr="00D02FBD" w:rsidRDefault="00F012A1" w:rsidP="00F012A1">
      <w:pPr>
        <w:spacing w:before="240"/>
        <w:rPr>
          <w:rFonts w:ascii="Arial" w:hAnsi="Arial" w:cs="Arial"/>
          <w:bCs/>
          <w:szCs w:val="26"/>
          <w:u w:val="single"/>
          <w:lang w:val="es-MX" w:eastAsia="es-MX"/>
        </w:rPr>
      </w:pPr>
      <w:r w:rsidRPr="00D02FBD">
        <w:rPr>
          <w:rFonts w:ascii="Arial" w:hAnsi="Arial" w:cs="Arial"/>
          <w:bCs/>
          <w:szCs w:val="26"/>
          <w:lang w:val="es-MX" w:eastAsia="es-MX"/>
        </w:rPr>
        <w:tab/>
      </w:r>
      <w:r w:rsidRPr="00D02FBD">
        <w:rPr>
          <w:rFonts w:ascii="Arial" w:hAnsi="Arial" w:cs="Arial"/>
          <w:bCs/>
          <w:szCs w:val="26"/>
          <w:u w:val="single"/>
          <w:lang w:val="es-MX" w:eastAsia="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w:t>
      </w:r>
      <w:r w:rsidRPr="00D02FBD">
        <w:rPr>
          <w:rFonts w:ascii="Arial" w:hAnsi="Arial" w:cs="Arial"/>
          <w:bCs/>
          <w:szCs w:val="26"/>
          <w:u w:val="single"/>
          <w:lang w:val="es-MX" w:eastAsia="es-MX"/>
        </w:rPr>
        <w:lastRenderedPageBreak/>
        <w:t>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D02FBD" w:rsidRPr="00D02FBD" w:rsidRDefault="00D02FBD" w:rsidP="00D02FBD">
      <w:pPr>
        <w:spacing w:before="240"/>
        <w:rPr>
          <w:rFonts w:ascii="Arial" w:hAnsi="Arial" w:cs="Arial"/>
          <w:szCs w:val="26"/>
        </w:rPr>
      </w:pPr>
      <w:r w:rsidRPr="00D02FBD">
        <w:rPr>
          <w:rFonts w:ascii="Arial" w:hAnsi="Arial" w:cs="Arial"/>
          <w:b/>
          <w:bCs/>
          <w:szCs w:val="26"/>
          <w:lang w:val="es-MX" w:eastAsia="es-MX"/>
        </w:rPr>
        <w:tab/>
        <w:t xml:space="preserve">CUARTO. Responsabilidad Administrativa. </w:t>
      </w:r>
      <w:r w:rsidRPr="00D02FBD">
        <w:rPr>
          <w:rFonts w:ascii="Arial" w:hAnsi="Arial" w:cs="Arial"/>
          <w:bCs/>
          <w:szCs w:val="26"/>
          <w:lang w:val="es-MX" w:eastAsia="es-MX"/>
        </w:rPr>
        <w:t>Del análisis de las constancias que integran el presente sumario, se advierte que el departamento responsable ante el cual se gestionó la solicitud,</w:t>
      </w:r>
      <w:r w:rsidRPr="00D02FBD">
        <w:rPr>
          <w:rFonts w:ascii="Arial" w:hAnsi="Arial" w:cs="Arial"/>
          <w:szCs w:val="26"/>
        </w:rPr>
        <w:t xml:space="preserve"> no atendió el requerimiento que realizó el Titular de la Unidad de Transparencia, pues no emitió su respuesta dentro del término que marca la Ley, es decir, de manera posterior al vencimiento del plazo para responder la solicitud, lo cual se acredita con la manifestaciones que realizó el mencionado funcionario.</w:t>
      </w:r>
    </w:p>
    <w:p w:rsidR="00D02FBD" w:rsidRPr="00D02FBD" w:rsidRDefault="00D02FBD" w:rsidP="00F012A1">
      <w:pPr>
        <w:spacing w:before="240"/>
        <w:rPr>
          <w:rFonts w:ascii="Arial" w:hAnsi="Arial" w:cs="Arial"/>
          <w:szCs w:val="26"/>
        </w:rPr>
      </w:pPr>
      <w:r w:rsidRPr="00D02FBD">
        <w:rPr>
          <w:rFonts w:ascii="Arial" w:hAnsi="Arial" w:cs="Arial"/>
          <w:szCs w:val="26"/>
        </w:rPr>
        <w:tab/>
        <w:t>De lo anterior, se puede verificar que dicha área administrativa fue omisa en atender la petición en el plazo que reconoce la Ley de Transparencia y Acceso a la Información Pública del Estado; por ello, esta Comisión ordena darle vista a la Contraloría Interna del Ayuntamiento de Xilitla para que, dentro de ámbito de su competencia determine, en caso de ser necesario, la apertura de un procedimiento de responsabilidad ante el incumplimiento en que incurrió y para ello se remitirán en copia certificada las constancias que acreditan la omisión de atender la petición en tiempo.</w:t>
      </w:r>
    </w:p>
    <w:p w:rsidR="00AE265B" w:rsidRPr="00D02FBD" w:rsidRDefault="00D02FBD" w:rsidP="00427660">
      <w:pPr>
        <w:spacing w:before="240" w:after="240"/>
        <w:rPr>
          <w:rFonts w:ascii="Arial" w:hAnsi="Arial" w:cs="Arial"/>
          <w:szCs w:val="26"/>
          <w:lang w:val="es-MX" w:eastAsia="es-MX"/>
        </w:rPr>
      </w:pPr>
      <w:r w:rsidRPr="00D02FBD">
        <w:rPr>
          <w:rFonts w:ascii="Arial" w:hAnsi="Arial" w:cs="Arial"/>
          <w:szCs w:val="26"/>
          <w:lang w:val="es-MX" w:eastAsia="es-MX"/>
        </w:rPr>
        <w:tab/>
      </w:r>
      <w:r w:rsidR="00B815B9" w:rsidRPr="00D02FBD">
        <w:rPr>
          <w:rFonts w:ascii="Arial" w:hAnsi="Arial" w:cs="Arial"/>
          <w:szCs w:val="26"/>
          <w:lang w:val="es-MX" w:eastAsia="es-MX"/>
        </w:rPr>
        <w:t>Por lo anteriormente expuesto y fundado se:</w:t>
      </w:r>
    </w:p>
    <w:p w:rsidR="00F85D7B" w:rsidRPr="00D02FBD" w:rsidRDefault="00F85D7B" w:rsidP="00F85D7B">
      <w:pPr>
        <w:shd w:val="clear" w:color="auto" w:fill="FFFFFF"/>
        <w:jc w:val="center"/>
        <w:outlineLvl w:val="0"/>
        <w:rPr>
          <w:rFonts w:ascii="Arial" w:hAnsi="Arial" w:cs="Arial"/>
          <w:b/>
          <w:bCs/>
          <w:szCs w:val="26"/>
          <w:lang w:val="es-MX" w:eastAsia="es-MX"/>
        </w:rPr>
      </w:pPr>
      <w:r w:rsidRPr="00D02FBD">
        <w:rPr>
          <w:rFonts w:ascii="Arial" w:hAnsi="Arial" w:cs="Arial"/>
          <w:b/>
          <w:bCs/>
          <w:szCs w:val="26"/>
          <w:lang w:val="es-MX" w:eastAsia="es-MX"/>
        </w:rPr>
        <w:t>R E S U E L V E:</w:t>
      </w:r>
    </w:p>
    <w:p w:rsidR="000967F2" w:rsidRPr="00D02FBD" w:rsidRDefault="00F85D7B" w:rsidP="000967F2">
      <w:pPr>
        <w:spacing w:before="240" w:after="240"/>
        <w:rPr>
          <w:rFonts w:ascii="Arial" w:hAnsi="Arial" w:cs="Arial"/>
        </w:rPr>
      </w:pPr>
      <w:r w:rsidRPr="00D02FBD">
        <w:rPr>
          <w:rFonts w:ascii="Arial" w:hAnsi="Arial" w:cs="Arial"/>
          <w:b/>
        </w:rPr>
        <w:tab/>
      </w:r>
      <w:r w:rsidR="000967F2" w:rsidRPr="00D02FBD">
        <w:rPr>
          <w:rFonts w:ascii="Arial" w:hAnsi="Arial" w:cs="Arial"/>
          <w:b/>
        </w:rPr>
        <w:t xml:space="preserve">ÚNICO. </w:t>
      </w:r>
      <w:r w:rsidR="000967F2" w:rsidRPr="00D02FBD">
        <w:rPr>
          <w:rFonts w:ascii="Arial" w:hAnsi="Arial" w:cs="Arial"/>
        </w:rPr>
        <w:t xml:space="preserve">Se </w:t>
      </w:r>
      <w:r w:rsidR="00D02FBD" w:rsidRPr="00D02FBD">
        <w:rPr>
          <w:rFonts w:ascii="Arial" w:hAnsi="Arial" w:cs="Arial"/>
        </w:rPr>
        <w:t>aplica contra la autoridad el</w:t>
      </w:r>
      <w:r w:rsidR="00D02FBD" w:rsidRPr="00D02FBD">
        <w:rPr>
          <w:rFonts w:ascii="Arial" w:hAnsi="Arial" w:cs="Arial"/>
          <w:b/>
        </w:rPr>
        <w:t xml:space="preserve"> </w:t>
      </w:r>
      <w:r w:rsidR="00D02FBD" w:rsidRPr="00D02FBD">
        <w:rPr>
          <w:rFonts w:ascii="Arial" w:hAnsi="Arial" w:cs="Arial"/>
        </w:rPr>
        <w:t>principio de</w:t>
      </w:r>
      <w:r w:rsidR="00D02FBD" w:rsidRPr="00D02FBD">
        <w:rPr>
          <w:rFonts w:ascii="Arial" w:hAnsi="Arial" w:cs="Arial"/>
          <w:b/>
        </w:rPr>
        <w:t xml:space="preserve"> afirmativa ficta</w:t>
      </w:r>
      <w:r w:rsidR="000967F2" w:rsidRPr="00D02FBD">
        <w:rPr>
          <w:rFonts w:ascii="Arial" w:hAnsi="Arial" w:cs="Arial"/>
        </w:rPr>
        <w:t xml:space="preserve"> </w:t>
      </w:r>
      <w:r w:rsidR="00F012A1" w:rsidRPr="00D02FBD">
        <w:rPr>
          <w:rFonts w:ascii="Arial" w:hAnsi="Arial" w:cs="Arial"/>
        </w:rPr>
        <w:t>la respuesta emitida por el sujeto obligado por las razones expuestas en el considerando tercero de la presente resolución.</w:t>
      </w:r>
    </w:p>
    <w:p w:rsidR="00F85D7B" w:rsidRPr="00D02FBD" w:rsidRDefault="00F85D7B" w:rsidP="00F85D7B">
      <w:pPr>
        <w:spacing w:before="240" w:after="240"/>
        <w:rPr>
          <w:rFonts w:ascii="Arial" w:hAnsi="Arial" w:cs="Arial"/>
        </w:rPr>
      </w:pPr>
      <w:r w:rsidRPr="00D02FBD">
        <w:rPr>
          <w:rFonts w:ascii="Arial" w:hAnsi="Arial" w:cs="Arial"/>
        </w:rPr>
        <w:tab/>
        <w:t>Notifíquese personalmente a las partes el contenido de la presente resolución, de conformidad con el artículo 177 de la Ley de Transparencia y Acceso a la Información Pública del Estado.</w:t>
      </w:r>
      <w:bookmarkStart w:id="0" w:name="_GoBack"/>
      <w:bookmarkEnd w:id="0"/>
    </w:p>
    <w:p w:rsidR="00F85D7B" w:rsidRPr="00D02FBD" w:rsidRDefault="00F85D7B" w:rsidP="00F85D7B">
      <w:pPr>
        <w:spacing w:before="240" w:after="240"/>
        <w:rPr>
          <w:rFonts w:ascii="Arial" w:hAnsi="Arial" w:cs="Arial"/>
        </w:rPr>
      </w:pPr>
      <w:r w:rsidRPr="00D02FBD">
        <w:rPr>
          <w:rFonts w:ascii="Arial" w:hAnsi="Arial" w:cs="Arial"/>
        </w:rPr>
        <w:lastRenderedPageBreak/>
        <w:tab/>
        <w:t>La notificación que se realice al sujeto obligado será, con fundamento en el artículo 58 de la Ley de Transparencia y Acceso a la Información Pública del Estado, a través de la Unidad de Transparencia.</w:t>
      </w:r>
    </w:p>
    <w:p w:rsidR="00F85D7B" w:rsidRPr="00D02FBD" w:rsidRDefault="00F85D7B" w:rsidP="00F85D7B">
      <w:pPr>
        <w:spacing w:before="240" w:after="240"/>
        <w:rPr>
          <w:rFonts w:ascii="Arial" w:hAnsi="Arial" w:cs="Arial"/>
        </w:rPr>
      </w:pPr>
      <w:r w:rsidRPr="00D02FBD">
        <w:rPr>
          <w:rFonts w:ascii="Arial" w:hAnsi="Arial" w:cs="Arial"/>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D02FBD" w:rsidRDefault="00F85D7B" w:rsidP="00F85D7B">
      <w:pPr>
        <w:spacing w:before="240" w:after="240"/>
        <w:rPr>
          <w:rFonts w:ascii="Arial" w:hAnsi="Arial" w:cs="Arial"/>
        </w:rPr>
      </w:pPr>
      <w:r w:rsidRPr="00D02FBD">
        <w:rPr>
          <w:rFonts w:ascii="Arial" w:hAnsi="Arial" w:cs="Arial"/>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D02FBD">
        <w:rPr>
          <w:rFonts w:ascii="Arial" w:hAnsi="Arial" w:cs="Arial"/>
        </w:rPr>
        <w:t>extraordinaria</w:t>
      </w:r>
      <w:r w:rsidRPr="00D02FBD">
        <w:rPr>
          <w:rFonts w:ascii="Arial" w:hAnsi="Arial" w:cs="Arial"/>
        </w:rPr>
        <w:t xml:space="preserve"> del </w:t>
      </w:r>
      <w:r w:rsidR="00DC3D52">
        <w:rPr>
          <w:rFonts w:ascii="Arial" w:hAnsi="Arial" w:cs="Arial"/>
        </w:rPr>
        <w:t>veintiuno de febrero</w:t>
      </w:r>
      <w:r w:rsidR="005E1FFF" w:rsidRPr="00D02FBD">
        <w:rPr>
          <w:rFonts w:ascii="Arial" w:hAnsi="Arial" w:cs="Arial"/>
        </w:rPr>
        <w:t xml:space="preserve"> de dos mil dieciocho</w:t>
      </w:r>
      <w:r w:rsidRPr="00D02FBD">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D02FBD" w:rsidTr="005001E9">
        <w:tc>
          <w:tcPr>
            <w:tcW w:w="4219" w:type="dxa"/>
          </w:tcPr>
          <w:p w:rsidR="00F85D7B" w:rsidRPr="00D02FBD" w:rsidRDefault="00F85D7B" w:rsidP="000E3570">
            <w:pPr>
              <w:spacing w:after="240"/>
              <w:jc w:val="center"/>
              <w:rPr>
                <w:rFonts w:ascii="Arial" w:hAnsi="Arial" w:cs="Arial"/>
                <w:b/>
                <w:sz w:val="24"/>
                <w:szCs w:val="26"/>
              </w:rPr>
            </w:pPr>
            <w:r w:rsidRPr="00D02FBD">
              <w:rPr>
                <w:rFonts w:ascii="Arial" w:hAnsi="Arial" w:cs="Arial"/>
                <w:b/>
                <w:sz w:val="24"/>
                <w:szCs w:val="26"/>
              </w:rPr>
              <w:t>COMISIONADO PRESIDENTE</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rPr>
            </w:pPr>
            <w:r w:rsidRPr="00D02FBD">
              <w:rPr>
                <w:rFonts w:ascii="Arial" w:hAnsi="Arial" w:cs="Arial"/>
                <w:b/>
                <w:sz w:val="24"/>
                <w:szCs w:val="26"/>
              </w:rPr>
              <w:t>ALEJANDRO LAFUENTE TORRES</w:t>
            </w:r>
          </w:p>
        </w:tc>
        <w:tc>
          <w:tcPr>
            <w:tcW w:w="4678" w:type="dxa"/>
          </w:tcPr>
          <w:p w:rsidR="00F85D7B" w:rsidRPr="00D02FBD" w:rsidRDefault="00F85D7B" w:rsidP="000E3570">
            <w:pPr>
              <w:spacing w:after="240"/>
              <w:ind w:left="48"/>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b/>
                <w:sz w:val="24"/>
                <w:szCs w:val="26"/>
              </w:rPr>
            </w:pPr>
            <w:r w:rsidRPr="00D02FBD">
              <w:rPr>
                <w:rFonts w:ascii="Arial" w:hAnsi="Arial" w:cs="Arial"/>
                <w:b/>
                <w:sz w:val="24"/>
                <w:szCs w:val="26"/>
              </w:rPr>
              <w:t>PAULINA SÁNCHEZ PÉREZ DEL POZO</w:t>
            </w:r>
          </w:p>
          <w:p w:rsidR="00F85D7B" w:rsidRPr="00D02FBD" w:rsidRDefault="00F85D7B" w:rsidP="000E3570">
            <w:pPr>
              <w:spacing w:before="240" w:after="240"/>
              <w:jc w:val="center"/>
              <w:rPr>
                <w:rFonts w:ascii="Arial" w:hAnsi="Arial" w:cs="Arial"/>
              </w:rPr>
            </w:pPr>
          </w:p>
        </w:tc>
      </w:tr>
      <w:tr w:rsidR="00F85D7B" w:rsidRPr="00D02FBD" w:rsidTr="005001E9">
        <w:trPr>
          <w:trHeight w:val="2075"/>
        </w:trPr>
        <w:tc>
          <w:tcPr>
            <w:tcW w:w="4219" w:type="dxa"/>
          </w:tcPr>
          <w:p w:rsidR="00F85D7B" w:rsidRPr="00D02FBD" w:rsidRDefault="00F85D7B" w:rsidP="000E3570">
            <w:pPr>
              <w:spacing w:after="240" w:line="276" w:lineRule="auto"/>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line="276" w:lineRule="auto"/>
              <w:rPr>
                <w:rFonts w:ascii="Arial" w:hAnsi="Arial" w:cs="Arial"/>
                <w:b/>
                <w:sz w:val="24"/>
                <w:szCs w:val="26"/>
              </w:rPr>
            </w:pPr>
          </w:p>
          <w:p w:rsidR="00F85D7B" w:rsidRPr="00D02FBD" w:rsidRDefault="00F85D7B" w:rsidP="000E3570">
            <w:pPr>
              <w:rPr>
                <w:rFonts w:ascii="Arial" w:hAnsi="Arial" w:cs="Arial"/>
                <w:b/>
                <w:sz w:val="24"/>
                <w:szCs w:val="26"/>
              </w:rPr>
            </w:pPr>
          </w:p>
          <w:p w:rsidR="00F85D7B" w:rsidRPr="00D02FBD" w:rsidRDefault="00F85D7B" w:rsidP="000E3570">
            <w:pPr>
              <w:spacing w:before="240" w:after="240" w:line="276" w:lineRule="auto"/>
              <w:jc w:val="center"/>
              <w:rPr>
                <w:rFonts w:ascii="Arial" w:hAnsi="Arial" w:cs="Arial"/>
              </w:rPr>
            </w:pPr>
            <w:r w:rsidRPr="00D02FBD">
              <w:rPr>
                <w:rFonts w:ascii="Arial" w:hAnsi="Arial" w:cs="Arial"/>
                <w:b/>
                <w:sz w:val="24"/>
                <w:szCs w:val="26"/>
              </w:rPr>
              <w:t>CLAUDIA ELIZABETH ÁVALOS CEDILLO</w:t>
            </w:r>
          </w:p>
        </w:tc>
        <w:tc>
          <w:tcPr>
            <w:tcW w:w="4678" w:type="dxa"/>
          </w:tcPr>
          <w:p w:rsidR="00F85D7B" w:rsidRPr="00D02FBD" w:rsidRDefault="00F85D7B" w:rsidP="000E3570">
            <w:pPr>
              <w:ind w:left="48" w:firstLine="2"/>
              <w:jc w:val="center"/>
              <w:rPr>
                <w:rFonts w:ascii="Arial" w:hAnsi="Arial" w:cs="Arial"/>
                <w:b/>
                <w:sz w:val="24"/>
                <w:szCs w:val="26"/>
              </w:rPr>
            </w:pPr>
            <w:r w:rsidRPr="00D02FBD">
              <w:rPr>
                <w:rFonts w:ascii="Arial" w:hAnsi="Arial" w:cs="Arial"/>
                <w:b/>
                <w:sz w:val="24"/>
                <w:szCs w:val="26"/>
              </w:rPr>
              <w:t>SECRETARIA DE PLENO</w:t>
            </w:r>
          </w:p>
          <w:p w:rsidR="00F85D7B" w:rsidRPr="00D02FBD" w:rsidRDefault="00F85D7B" w:rsidP="000E3570">
            <w:pPr>
              <w:ind w:left="48"/>
              <w:jc w:val="center"/>
              <w:rPr>
                <w:rFonts w:ascii="Arial" w:hAnsi="Arial" w:cs="Arial"/>
                <w:b/>
                <w:sz w:val="24"/>
                <w:szCs w:val="26"/>
              </w:rPr>
            </w:pPr>
          </w:p>
          <w:p w:rsidR="00F85D7B" w:rsidRPr="00D02FBD" w:rsidRDefault="00F85D7B" w:rsidP="000E3570">
            <w:pPr>
              <w:spacing w:before="240"/>
              <w:rPr>
                <w:rFonts w:ascii="Arial" w:hAnsi="Arial" w:cs="Arial"/>
                <w:b/>
                <w:sz w:val="24"/>
                <w:szCs w:val="26"/>
              </w:rPr>
            </w:pPr>
          </w:p>
          <w:p w:rsidR="00F85D7B" w:rsidRPr="00D02FBD" w:rsidRDefault="00F85D7B" w:rsidP="000E3570">
            <w:pPr>
              <w:ind w:left="48"/>
              <w:jc w:val="center"/>
              <w:rPr>
                <w:rFonts w:ascii="Arial" w:hAnsi="Arial" w:cs="Arial"/>
                <w:b/>
                <w:sz w:val="24"/>
                <w:szCs w:val="26"/>
              </w:rPr>
            </w:pPr>
            <w:r w:rsidRPr="00D02FBD">
              <w:rPr>
                <w:rFonts w:ascii="Arial" w:hAnsi="Arial" w:cs="Arial"/>
                <w:b/>
                <w:sz w:val="24"/>
                <w:szCs w:val="26"/>
              </w:rPr>
              <w:t>ROSA MARÍA MOTILLA GARCÍA</w:t>
            </w:r>
          </w:p>
        </w:tc>
      </w:tr>
    </w:tbl>
    <w:tbl>
      <w:tblPr>
        <w:tblW w:w="10613" w:type="dxa"/>
        <w:jc w:val="center"/>
        <w:tblLook w:val="01E0"/>
      </w:tblPr>
      <w:tblGrid>
        <w:gridCol w:w="4880"/>
        <w:gridCol w:w="358"/>
        <w:gridCol w:w="5375"/>
      </w:tblGrid>
      <w:tr w:rsidR="00F85D7B" w:rsidRPr="00D02FBD" w:rsidTr="005001E9">
        <w:trPr>
          <w:trHeight w:val="126"/>
          <w:jc w:val="center"/>
        </w:trPr>
        <w:tc>
          <w:tcPr>
            <w:tcW w:w="4880" w:type="dxa"/>
          </w:tcPr>
          <w:p w:rsidR="00F85D7B" w:rsidRPr="00D02FBD" w:rsidRDefault="00F85D7B" w:rsidP="000E3570">
            <w:pPr>
              <w:ind w:left="97"/>
              <w:jc w:val="center"/>
              <w:rPr>
                <w:rFonts w:ascii="Arial" w:hAnsi="Arial" w:cs="Arial"/>
                <w:b/>
                <w:szCs w:val="26"/>
              </w:rPr>
            </w:pPr>
          </w:p>
        </w:tc>
        <w:tc>
          <w:tcPr>
            <w:tcW w:w="358" w:type="dxa"/>
          </w:tcPr>
          <w:p w:rsidR="00F85D7B" w:rsidRPr="00D02FBD" w:rsidRDefault="00F85D7B" w:rsidP="000E3570">
            <w:pPr>
              <w:ind w:left="360" w:firstLine="708"/>
              <w:jc w:val="center"/>
              <w:rPr>
                <w:rFonts w:ascii="Arial" w:hAnsi="Arial" w:cs="Arial"/>
                <w:b/>
                <w:szCs w:val="26"/>
              </w:rPr>
            </w:pPr>
          </w:p>
        </w:tc>
        <w:tc>
          <w:tcPr>
            <w:tcW w:w="5375" w:type="dxa"/>
          </w:tcPr>
          <w:p w:rsidR="00F85D7B" w:rsidRPr="00D02FBD" w:rsidRDefault="00F85D7B" w:rsidP="000E3570">
            <w:pPr>
              <w:jc w:val="center"/>
              <w:rPr>
                <w:rFonts w:ascii="Arial" w:hAnsi="Arial" w:cs="Arial"/>
                <w:b/>
                <w:szCs w:val="26"/>
              </w:rPr>
            </w:pPr>
          </w:p>
        </w:tc>
      </w:tr>
    </w:tbl>
    <w:p w:rsidR="00F85D7B" w:rsidRPr="00D02FBD" w:rsidRDefault="00F85D7B" w:rsidP="00F85D7B">
      <w:pPr>
        <w:spacing w:after="240" w:line="240" w:lineRule="auto"/>
        <w:rPr>
          <w:rFonts w:ascii="Arial" w:hAnsi="Arial" w:cs="Arial"/>
          <w:sz w:val="18"/>
        </w:rPr>
      </w:pPr>
      <w:r w:rsidRPr="00D02FBD">
        <w:rPr>
          <w:rFonts w:ascii="Arial" w:hAnsi="Arial" w:cs="Arial"/>
          <w:sz w:val="18"/>
        </w:rPr>
        <w:tab/>
        <w:t>Estas firmas pertenecen a la última foja de la resolución pronunciad</w:t>
      </w:r>
      <w:r w:rsidR="00D02FBD" w:rsidRPr="00D02FBD">
        <w:rPr>
          <w:rFonts w:ascii="Arial" w:hAnsi="Arial" w:cs="Arial"/>
          <w:sz w:val="18"/>
        </w:rPr>
        <w:t>a en el recurso de revisión  003/2018</w:t>
      </w:r>
      <w:r w:rsidRPr="00D02FBD">
        <w:rPr>
          <w:rFonts w:ascii="Arial" w:hAnsi="Arial" w:cs="Arial"/>
          <w:sz w:val="18"/>
        </w:rPr>
        <w:t>-3 a</w:t>
      </w:r>
      <w:r w:rsidR="006120B7" w:rsidRPr="00D02FBD">
        <w:rPr>
          <w:rFonts w:ascii="Arial" w:hAnsi="Arial" w:cs="Arial"/>
          <w:sz w:val="18"/>
        </w:rPr>
        <w:t xml:space="preserve">probada en sesión </w:t>
      </w:r>
      <w:r w:rsidR="004A0B15" w:rsidRPr="00D02FBD">
        <w:rPr>
          <w:rFonts w:ascii="Arial" w:hAnsi="Arial" w:cs="Arial"/>
          <w:sz w:val="18"/>
        </w:rPr>
        <w:t xml:space="preserve">extraordinaria del </w:t>
      </w:r>
      <w:r w:rsidR="00D02FBD" w:rsidRPr="00D02FBD">
        <w:rPr>
          <w:rFonts w:ascii="Arial" w:hAnsi="Arial" w:cs="Arial"/>
          <w:sz w:val="18"/>
        </w:rPr>
        <w:t xml:space="preserve">veintiuno de </w:t>
      </w:r>
      <w:r w:rsidR="006E6E52">
        <w:rPr>
          <w:rFonts w:ascii="Arial" w:hAnsi="Arial" w:cs="Arial"/>
          <w:sz w:val="18"/>
        </w:rPr>
        <w:t>febrero</w:t>
      </w:r>
      <w:r w:rsidR="005E1FFF" w:rsidRPr="00D02FBD">
        <w:rPr>
          <w:rFonts w:ascii="Arial" w:hAnsi="Arial" w:cs="Arial"/>
          <w:sz w:val="18"/>
        </w:rPr>
        <w:t xml:space="preserve"> de dos mil dieciocho</w:t>
      </w:r>
      <w:r w:rsidRPr="00D02FBD">
        <w:rPr>
          <w:rFonts w:ascii="Arial" w:hAnsi="Arial" w:cs="Arial"/>
          <w:sz w:val="18"/>
        </w:rPr>
        <w:t>.</w:t>
      </w:r>
    </w:p>
    <w:p w:rsidR="005001E9" w:rsidRPr="00D02FBD" w:rsidRDefault="00F85D7B" w:rsidP="005001E9">
      <w:pPr>
        <w:spacing w:after="240" w:line="240" w:lineRule="auto"/>
        <w:rPr>
          <w:rFonts w:ascii="Arial" w:hAnsi="Arial" w:cs="Arial"/>
          <w:sz w:val="18"/>
        </w:rPr>
      </w:pPr>
      <w:r w:rsidRPr="00D02FBD">
        <w:rPr>
          <w:rFonts w:ascii="Arial" w:hAnsi="Arial" w:cs="Arial"/>
          <w:sz w:val="18"/>
        </w:rPr>
        <w:t xml:space="preserve">Elaboró y Cotejó: </w:t>
      </w:r>
    </w:p>
    <w:p w:rsidR="00F85D7B" w:rsidRPr="00D02FBD" w:rsidRDefault="00F85D7B" w:rsidP="005001E9">
      <w:pPr>
        <w:spacing w:after="240" w:line="240" w:lineRule="auto"/>
        <w:rPr>
          <w:rFonts w:ascii="Arial" w:hAnsi="Arial" w:cs="Arial"/>
        </w:rPr>
      </w:pPr>
      <w:r w:rsidRPr="00D02FBD">
        <w:rPr>
          <w:rFonts w:ascii="Arial" w:hAnsi="Arial" w:cs="Arial"/>
          <w:sz w:val="18"/>
        </w:rPr>
        <w:t>EAGL</w:t>
      </w:r>
      <w:r w:rsidRPr="00D02FBD">
        <w:rPr>
          <w:rFonts w:ascii="Arial" w:hAnsi="Arial" w:cs="Arial"/>
        </w:rPr>
        <w:tab/>
      </w: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p w:rsidR="00037408" w:rsidRPr="00D02FBD" w:rsidRDefault="00037408" w:rsidP="005001E9">
      <w:pPr>
        <w:spacing w:after="240" w:line="240" w:lineRule="auto"/>
        <w:rPr>
          <w:rFonts w:ascii="Arial" w:hAnsi="Arial" w:cs="Arial"/>
        </w:rPr>
      </w:pPr>
    </w:p>
    <w:sectPr w:rsidR="00037408" w:rsidRPr="00D02FBD"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1AC" w:rsidRDefault="00D131AC" w:rsidP="00EE69A4">
      <w:pPr>
        <w:spacing w:line="240" w:lineRule="auto"/>
      </w:pPr>
      <w:r>
        <w:separator/>
      </w:r>
    </w:p>
  </w:endnote>
  <w:endnote w:type="continuationSeparator" w:id="0">
    <w:p w:rsidR="00D131AC" w:rsidRDefault="00D131AC"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1AC" w:rsidRDefault="00D131AC" w:rsidP="00EE69A4">
      <w:pPr>
        <w:spacing w:line="240" w:lineRule="auto"/>
      </w:pPr>
      <w:r>
        <w:separator/>
      </w:r>
    </w:p>
  </w:footnote>
  <w:footnote w:type="continuationSeparator" w:id="0">
    <w:p w:rsidR="00D131AC" w:rsidRDefault="00D131AC" w:rsidP="00EE69A4">
      <w:pPr>
        <w:spacing w:line="240" w:lineRule="auto"/>
      </w:pPr>
      <w:r>
        <w:continuationSeparator/>
      </w:r>
    </w:p>
  </w:footnote>
  <w:footnote w:id="1">
    <w:p w:rsidR="00D02FBD" w:rsidRDefault="00D02FBD" w:rsidP="00D02FBD">
      <w:pPr>
        <w:pStyle w:val="Textonotapie"/>
        <w:jc w:val="both"/>
      </w:pPr>
      <w:r>
        <w:rPr>
          <w:rStyle w:val="Refdenotaalpie"/>
        </w:rPr>
        <w:footnoteRef/>
      </w:r>
      <w:r>
        <w:t xml:space="preserve"> </w:t>
      </w:r>
      <w:hyperlink r:id="rId1" w:history="1">
        <w:r w:rsidRPr="00E35E2F">
          <w:rPr>
            <w:rStyle w:val="Hipervnculo"/>
          </w:rPr>
          <w:t>http://www.corteidh.or.cr/docs/casos/articulos/seriec_219_esp.pdf</w:t>
        </w:r>
      </w:hyperlink>
      <w:r w:rsidRPr="00E35E2F">
        <w:t>, páginas 96 y 97 de la sentencia emitida por la Corte interamericana de Derechos Humanos el veinticuatro de noviembre de dos mil diez, en el caso GOMES LUND Y OTROS (“GUERRILHA DO ARAGUAIA”) VS. BRASIL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297933" w:rsidRDefault="00E42B0A">
        <w:pPr>
          <w:pStyle w:val="Encabezado"/>
          <w:jc w:val="center"/>
        </w:pPr>
        <w:fldSimple w:instr=" PAGE   \* MERGEFORMAT ">
          <w:r w:rsidR="00297933">
            <w:rPr>
              <w:noProof/>
            </w:rPr>
            <w:t>2</w:t>
          </w:r>
        </w:fldSimple>
      </w:p>
    </w:sdtContent>
  </w:sdt>
  <w:p w:rsidR="00297933" w:rsidRDefault="00297933">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297933" w:rsidRDefault="00E42B0A">
        <w:pPr>
          <w:pStyle w:val="Encabezado"/>
          <w:jc w:val="center"/>
        </w:pPr>
        <w:fldSimple w:instr=" PAGE   \* MERGEFORMAT ">
          <w:r w:rsidR="00AB35B5">
            <w:rPr>
              <w:noProof/>
            </w:rPr>
            <w:t>14</w:t>
          </w:r>
        </w:fldSimple>
      </w:p>
    </w:sdtContent>
  </w:sdt>
  <w:p w:rsidR="00297933" w:rsidRPr="00EE69A4" w:rsidRDefault="00D02FBD">
    <w:pPr>
      <w:pStyle w:val="Encabezado"/>
      <w:rPr>
        <w:lang w:val="es-MX"/>
      </w:rPr>
    </w:pPr>
    <w:r>
      <w:rPr>
        <w:lang w:val="es-MX"/>
      </w:rPr>
      <w:t>CEGAIP-RR-003/201</w:t>
    </w:r>
    <w:r w:rsidR="006E6E52">
      <w:rPr>
        <w:lang w:val="es-MX"/>
      </w:rPr>
      <w:t>8</w:t>
    </w:r>
    <w:r w:rsidR="00297933">
      <w:rPr>
        <w:lang w:val="es-MX"/>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297933" w:rsidRDefault="00E42B0A">
        <w:pPr>
          <w:pStyle w:val="Encabezado"/>
          <w:jc w:val="center"/>
        </w:pPr>
        <w:fldSimple w:instr=" PAGE   \* MERGEFORMAT ">
          <w:r w:rsidR="00AB35B5">
            <w:rPr>
              <w:noProof/>
            </w:rPr>
            <w:t>1</w:t>
          </w:r>
        </w:fldSimple>
      </w:p>
    </w:sdtContent>
  </w:sdt>
  <w:p w:rsidR="00297933" w:rsidRDefault="0029793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4">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9">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7"/>
  </w:num>
  <w:num w:numId="4">
    <w:abstractNumId w:val="3"/>
  </w:num>
  <w:num w:numId="5">
    <w:abstractNumId w:val="5"/>
  </w:num>
  <w:num w:numId="6">
    <w:abstractNumId w:val="14"/>
  </w:num>
  <w:num w:numId="7">
    <w:abstractNumId w:val="1"/>
  </w:num>
  <w:num w:numId="8">
    <w:abstractNumId w:val="6"/>
  </w:num>
  <w:num w:numId="9">
    <w:abstractNumId w:val="24"/>
  </w:num>
  <w:num w:numId="10">
    <w:abstractNumId w:val="20"/>
  </w:num>
  <w:num w:numId="11">
    <w:abstractNumId w:val="13"/>
  </w:num>
  <w:num w:numId="12">
    <w:abstractNumId w:val="15"/>
  </w:num>
  <w:num w:numId="13">
    <w:abstractNumId w:val="10"/>
  </w:num>
  <w:num w:numId="14">
    <w:abstractNumId w:val="11"/>
  </w:num>
  <w:num w:numId="15">
    <w:abstractNumId w:val="8"/>
  </w:num>
  <w:num w:numId="16">
    <w:abstractNumId w:val="19"/>
  </w:num>
  <w:num w:numId="17">
    <w:abstractNumId w:val="16"/>
  </w:num>
  <w:num w:numId="18">
    <w:abstractNumId w:val="9"/>
  </w:num>
  <w:num w:numId="19">
    <w:abstractNumId w:val="7"/>
  </w:num>
  <w:num w:numId="20">
    <w:abstractNumId w:val="12"/>
  </w:num>
  <w:num w:numId="21">
    <w:abstractNumId w:val="0"/>
  </w:num>
  <w:num w:numId="22">
    <w:abstractNumId w:val="21"/>
  </w:num>
  <w:num w:numId="23">
    <w:abstractNumId w:val="18"/>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81250"/>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DD"/>
    <w:rsid w:val="00033326"/>
    <w:rsid w:val="00037408"/>
    <w:rsid w:val="000425FE"/>
    <w:rsid w:val="0004354C"/>
    <w:rsid w:val="000451BF"/>
    <w:rsid w:val="00061128"/>
    <w:rsid w:val="00062D73"/>
    <w:rsid w:val="00072340"/>
    <w:rsid w:val="00077E33"/>
    <w:rsid w:val="000967F2"/>
    <w:rsid w:val="00096C1B"/>
    <w:rsid w:val="000A1D16"/>
    <w:rsid w:val="000A33AA"/>
    <w:rsid w:val="000A6A64"/>
    <w:rsid w:val="000B38D3"/>
    <w:rsid w:val="000B4951"/>
    <w:rsid w:val="000B55A2"/>
    <w:rsid w:val="000C6676"/>
    <w:rsid w:val="000D5428"/>
    <w:rsid w:val="000D7425"/>
    <w:rsid w:val="000E16E9"/>
    <w:rsid w:val="000E3570"/>
    <w:rsid w:val="000E7BEA"/>
    <w:rsid w:val="0011496B"/>
    <w:rsid w:val="001205B0"/>
    <w:rsid w:val="001271CF"/>
    <w:rsid w:val="00132933"/>
    <w:rsid w:val="00160177"/>
    <w:rsid w:val="00177EE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20BFA"/>
    <w:rsid w:val="00225A33"/>
    <w:rsid w:val="00244E9C"/>
    <w:rsid w:val="00247D45"/>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6FD2"/>
    <w:rsid w:val="00345ACF"/>
    <w:rsid w:val="00346A88"/>
    <w:rsid w:val="00351465"/>
    <w:rsid w:val="0036724E"/>
    <w:rsid w:val="003709F8"/>
    <w:rsid w:val="003779B1"/>
    <w:rsid w:val="00380455"/>
    <w:rsid w:val="003A292F"/>
    <w:rsid w:val="003A29F0"/>
    <w:rsid w:val="003B7E57"/>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45F5F"/>
    <w:rsid w:val="00451CBA"/>
    <w:rsid w:val="0045344E"/>
    <w:rsid w:val="00456AF3"/>
    <w:rsid w:val="00457939"/>
    <w:rsid w:val="00467FDA"/>
    <w:rsid w:val="00472A1D"/>
    <w:rsid w:val="00484038"/>
    <w:rsid w:val="00487331"/>
    <w:rsid w:val="0049249D"/>
    <w:rsid w:val="004A0B15"/>
    <w:rsid w:val="004A6542"/>
    <w:rsid w:val="004A72C3"/>
    <w:rsid w:val="004B19A3"/>
    <w:rsid w:val="004C0527"/>
    <w:rsid w:val="004C4E6F"/>
    <w:rsid w:val="004C50E3"/>
    <w:rsid w:val="004C5F45"/>
    <w:rsid w:val="004C6FDE"/>
    <w:rsid w:val="004C7A7C"/>
    <w:rsid w:val="004C7F4B"/>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1D06"/>
    <w:rsid w:val="00572717"/>
    <w:rsid w:val="00576423"/>
    <w:rsid w:val="005911F6"/>
    <w:rsid w:val="005A114A"/>
    <w:rsid w:val="005A2FAB"/>
    <w:rsid w:val="005B2591"/>
    <w:rsid w:val="005B517E"/>
    <w:rsid w:val="005B677D"/>
    <w:rsid w:val="005C6336"/>
    <w:rsid w:val="005E1FFF"/>
    <w:rsid w:val="005F2715"/>
    <w:rsid w:val="005F332C"/>
    <w:rsid w:val="005F4682"/>
    <w:rsid w:val="005F7945"/>
    <w:rsid w:val="006001C8"/>
    <w:rsid w:val="0060038E"/>
    <w:rsid w:val="006120B7"/>
    <w:rsid w:val="0061318A"/>
    <w:rsid w:val="00622A2D"/>
    <w:rsid w:val="00626DC5"/>
    <w:rsid w:val="006375C8"/>
    <w:rsid w:val="006429AA"/>
    <w:rsid w:val="006466EF"/>
    <w:rsid w:val="00652AEB"/>
    <w:rsid w:val="0065301A"/>
    <w:rsid w:val="00655772"/>
    <w:rsid w:val="00656316"/>
    <w:rsid w:val="00662D15"/>
    <w:rsid w:val="00672CA7"/>
    <w:rsid w:val="006738A0"/>
    <w:rsid w:val="00686EF6"/>
    <w:rsid w:val="00694542"/>
    <w:rsid w:val="006A0884"/>
    <w:rsid w:val="006A78E2"/>
    <w:rsid w:val="006B03C4"/>
    <w:rsid w:val="006B187E"/>
    <w:rsid w:val="006D109C"/>
    <w:rsid w:val="006E50C7"/>
    <w:rsid w:val="006E6E52"/>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90D00"/>
    <w:rsid w:val="00792D04"/>
    <w:rsid w:val="007940FA"/>
    <w:rsid w:val="007C4897"/>
    <w:rsid w:val="007D4729"/>
    <w:rsid w:val="007D483F"/>
    <w:rsid w:val="007E10ED"/>
    <w:rsid w:val="007E2B63"/>
    <w:rsid w:val="007F2B1C"/>
    <w:rsid w:val="007F5719"/>
    <w:rsid w:val="008018B5"/>
    <w:rsid w:val="00817DAC"/>
    <w:rsid w:val="00837CB2"/>
    <w:rsid w:val="00837EE4"/>
    <w:rsid w:val="008452A0"/>
    <w:rsid w:val="00846369"/>
    <w:rsid w:val="0085044F"/>
    <w:rsid w:val="008538D6"/>
    <w:rsid w:val="008613B8"/>
    <w:rsid w:val="008648D5"/>
    <w:rsid w:val="00866A3C"/>
    <w:rsid w:val="008676C0"/>
    <w:rsid w:val="0086779C"/>
    <w:rsid w:val="00867F9F"/>
    <w:rsid w:val="00876ED9"/>
    <w:rsid w:val="0089357B"/>
    <w:rsid w:val="008A5335"/>
    <w:rsid w:val="008B50B6"/>
    <w:rsid w:val="008C36CD"/>
    <w:rsid w:val="008C7AEA"/>
    <w:rsid w:val="008E3DDB"/>
    <w:rsid w:val="00905453"/>
    <w:rsid w:val="00907924"/>
    <w:rsid w:val="00914838"/>
    <w:rsid w:val="00916B75"/>
    <w:rsid w:val="00923F15"/>
    <w:rsid w:val="0093242E"/>
    <w:rsid w:val="00935B9B"/>
    <w:rsid w:val="009437B2"/>
    <w:rsid w:val="009459EB"/>
    <w:rsid w:val="0095249E"/>
    <w:rsid w:val="00957231"/>
    <w:rsid w:val="00964445"/>
    <w:rsid w:val="0096783D"/>
    <w:rsid w:val="009823E9"/>
    <w:rsid w:val="009832EB"/>
    <w:rsid w:val="00983F39"/>
    <w:rsid w:val="009871C6"/>
    <w:rsid w:val="009906FE"/>
    <w:rsid w:val="00990C27"/>
    <w:rsid w:val="00995BC8"/>
    <w:rsid w:val="009A0D56"/>
    <w:rsid w:val="009A52EC"/>
    <w:rsid w:val="009B5AEE"/>
    <w:rsid w:val="009B5C3B"/>
    <w:rsid w:val="009C0FCA"/>
    <w:rsid w:val="009C6A00"/>
    <w:rsid w:val="009C7D5F"/>
    <w:rsid w:val="009D6048"/>
    <w:rsid w:val="009E022A"/>
    <w:rsid w:val="009E1720"/>
    <w:rsid w:val="009E6D3C"/>
    <w:rsid w:val="009F01C4"/>
    <w:rsid w:val="00A06DD6"/>
    <w:rsid w:val="00A12805"/>
    <w:rsid w:val="00A12D2C"/>
    <w:rsid w:val="00A26A62"/>
    <w:rsid w:val="00A35A60"/>
    <w:rsid w:val="00A528FE"/>
    <w:rsid w:val="00A5583F"/>
    <w:rsid w:val="00A64E84"/>
    <w:rsid w:val="00A701FB"/>
    <w:rsid w:val="00A70ED5"/>
    <w:rsid w:val="00A8058C"/>
    <w:rsid w:val="00A8282F"/>
    <w:rsid w:val="00A906B7"/>
    <w:rsid w:val="00AA0559"/>
    <w:rsid w:val="00AB35B5"/>
    <w:rsid w:val="00AC374C"/>
    <w:rsid w:val="00AC73E9"/>
    <w:rsid w:val="00AE265B"/>
    <w:rsid w:val="00AF16FE"/>
    <w:rsid w:val="00AF1750"/>
    <w:rsid w:val="00AF3F36"/>
    <w:rsid w:val="00AF54C9"/>
    <w:rsid w:val="00B12733"/>
    <w:rsid w:val="00B22E10"/>
    <w:rsid w:val="00B238B3"/>
    <w:rsid w:val="00B527F6"/>
    <w:rsid w:val="00B55458"/>
    <w:rsid w:val="00B65A11"/>
    <w:rsid w:val="00B678E4"/>
    <w:rsid w:val="00B722A5"/>
    <w:rsid w:val="00B7302C"/>
    <w:rsid w:val="00B76D33"/>
    <w:rsid w:val="00B815B9"/>
    <w:rsid w:val="00B832C3"/>
    <w:rsid w:val="00BB5A3B"/>
    <w:rsid w:val="00BC51F1"/>
    <w:rsid w:val="00BD3B14"/>
    <w:rsid w:val="00BE1A0E"/>
    <w:rsid w:val="00BE24CD"/>
    <w:rsid w:val="00BE287E"/>
    <w:rsid w:val="00BE3E78"/>
    <w:rsid w:val="00BE7938"/>
    <w:rsid w:val="00BF6F42"/>
    <w:rsid w:val="00BF7350"/>
    <w:rsid w:val="00C01D46"/>
    <w:rsid w:val="00C12ACF"/>
    <w:rsid w:val="00C260FA"/>
    <w:rsid w:val="00C40EA9"/>
    <w:rsid w:val="00C4314E"/>
    <w:rsid w:val="00C43590"/>
    <w:rsid w:val="00C55849"/>
    <w:rsid w:val="00C630FB"/>
    <w:rsid w:val="00C63190"/>
    <w:rsid w:val="00C718FB"/>
    <w:rsid w:val="00C76973"/>
    <w:rsid w:val="00C800B6"/>
    <w:rsid w:val="00C9337E"/>
    <w:rsid w:val="00CB3BD1"/>
    <w:rsid w:val="00CB7887"/>
    <w:rsid w:val="00CF4066"/>
    <w:rsid w:val="00CF46C1"/>
    <w:rsid w:val="00D017C1"/>
    <w:rsid w:val="00D02FBD"/>
    <w:rsid w:val="00D06717"/>
    <w:rsid w:val="00D07B75"/>
    <w:rsid w:val="00D131AC"/>
    <w:rsid w:val="00D224AF"/>
    <w:rsid w:val="00D338A7"/>
    <w:rsid w:val="00D443C9"/>
    <w:rsid w:val="00D4613F"/>
    <w:rsid w:val="00D52209"/>
    <w:rsid w:val="00D5511E"/>
    <w:rsid w:val="00D602BD"/>
    <w:rsid w:val="00D6501E"/>
    <w:rsid w:val="00D70ABC"/>
    <w:rsid w:val="00D82C8C"/>
    <w:rsid w:val="00D9581E"/>
    <w:rsid w:val="00DA3AF7"/>
    <w:rsid w:val="00DA4F80"/>
    <w:rsid w:val="00DA7891"/>
    <w:rsid w:val="00DB4600"/>
    <w:rsid w:val="00DB6A4A"/>
    <w:rsid w:val="00DC1F2B"/>
    <w:rsid w:val="00DC3D52"/>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2B0A"/>
    <w:rsid w:val="00E47BCD"/>
    <w:rsid w:val="00E51839"/>
    <w:rsid w:val="00E65686"/>
    <w:rsid w:val="00E7179B"/>
    <w:rsid w:val="00E74B27"/>
    <w:rsid w:val="00E76911"/>
    <w:rsid w:val="00E93297"/>
    <w:rsid w:val="00EA0BAA"/>
    <w:rsid w:val="00EA18A6"/>
    <w:rsid w:val="00EB4B36"/>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37CF8"/>
    <w:rsid w:val="00F41DD3"/>
    <w:rsid w:val="00F502A4"/>
    <w:rsid w:val="00F531C2"/>
    <w:rsid w:val="00F62DB3"/>
    <w:rsid w:val="00F77891"/>
    <w:rsid w:val="00F85D7B"/>
    <w:rsid w:val="00F9062C"/>
    <w:rsid w:val="00FA039E"/>
    <w:rsid w:val="00FA1345"/>
    <w:rsid w:val="00FB26AA"/>
    <w:rsid w:val="00FB2D03"/>
    <w:rsid w:val="00FB77BD"/>
    <w:rsid w:val="00FC4E09"/>
    <w:rsid w:val="00FC6D58"/>
    <w:rsid w:val="00FD3183"/>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1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orteidh.or.cr/docs/casos/articulos/seriec_219_esp.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4A3AC-A48C-4AF2-B9F8-4B180FA1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3858</Words>
  <Characters>21220</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5</cp:revision>
  <cp:lastPrinted>2018-02-01T20:31:00Z</cp:lastPrinted>
  <dcterms:created xsi:type="dcterms:W3CDTF">2018-02-19T17:02:00Z</dcterms:created>
  <dcterms:modified xsi:type="dcterms:W3CDTF">2018-02-22T19:39:00Z</dcterms:modified>
</cp:coreProperties>
</file>