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5652F" w14:textId="77777777" w:rsidR="005F686E" w:rsidRPr="00043EC7" w:rsidRDefault="00043EC7" w:rsidP="00043EC7">
      <w:pPr>
        <w:spacing w:line="360" w:lineRule="auto"/>
        <w:jc w:val="both"/>
        <w:rPr>
          <w:rFonts w:ascii="Tahoma" w:hAnsi="Tahoma" w:cs="Tahoma"/>
        </w:rPr>
      </w:pPr>
      <w:r w:rsidRPr="00043EC7">
        <w:rPr>
          <w:rFonts w:ascii="Tahoma" w:hAnsi="Tahoma" w:cs="Tahoma"/>
        </w:rPr>
        <w:t>Para efecto de dar cumplimiento al presente artículo 88 fracción III inciso d relativo a “los resultados de la evaluación al cumplimiento de la presente Ley por parte de los sujetos obligados”, se comunica que por parte de este Sistema Estatal de Documentación y Archivo a través de la Unidad de Verificaciones realizará durante el segundo semestre de 2017 la Evaluación Diagnóstica de las obligaciones de Transparencia tal y como se establece en el acuerdo del Sistema Nacional de Transparencia CONAIP/SNT/ACUERDO/EXT03-03/05/2017-02, por lo que una vez realizado este procedimiento se publicará cada uno de los criterios establecidos en el presente formato.</w:t>
      </w:r>
      <w:bookmarkStart w:id="0" w:name="_GoBack"/>
      <w:bookmarkEnd w:id="0"/>
    </w:p>
    <w:sectPr w:rsidR="005F686E" w:rsidRPr="00043E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EC7"/>
    <w:rsid w:val="00043EC7"/>
    <w:rsid w:val="005F686E"/>
    <w:rsid w:val="008B3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17081"/>
  <w15:chartTrackingRefBased/>
  <w15:docId w15:val="{DD359132-229F-40A1-833E-5D05EDC76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Barron M</dc:creator>
  <cp:keywords/>
  <dc:description/>
  <cp:lastModifiedBy>Paco Barron M</cp:lastModifiedBy>
  <cp:revision>1</cp:revision>
  <dcterms:created xsi:type="dcterms:W3CDTF">2018-01-24T18:19:00Z</dcterms:created>
  <dcterms:modified xsi:type="dcterms:W3CDTF">2018-01-24T18:23:00Z</dcterms:modified>
</cp:coreProperties>
</file>