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TRIBUNAL ESTATAL DE JUSTICIA ADMINISTRATIVA</w:t>
      </w:r>
    </w:p>
    <w:p w:rsidR="00F50EBA" w:rsidRPr="00450C43" w:rsidRDefault="000246AB" w:rsidP="00673FFE">
      <w:pPr>
        <w:spacing w:after="0" w:line="240" w:lineRule="auto"/>
        <w:ind w:left="3969"/>
        <w:jc w:val="both"/>
        <w:rPr>
          <w:rFonts w:ascii="Arial" w:hAnsi="Arial" w:cs="Arial"/>
          <w:b/>
          <w:sz w:val="20"/>
          <w:szCs w:val="24"/>
        </w:rPr>
      </w:pPr>
      <w:r>
        <w:rPr>
          <w:rFonts w:ascii="Arial" w:hAnsi="Arial" w:cs="Arial"/>
          <w:noProof/>
          <w:color w:val="FF0000"/>
          <w:sz w:val="20"/>
          <w:szCs w:val="24"/>
          <w:lang w:eastAsia="es-MX"/>
        </w:rPr>
        <w:drawing>
          <wp:anchor distT="0" distB="0" distL="114300" distR="114300" simplePos="0" relativeHeight="251658240" behindDoc="1" locked="0" layoutInCell="1" allowOverlap="1" wp14:anchorId="59FEB72F" wp14:editId="1BC65D71">
            <wp:simplePos x="0" y="0"/>
            <wp:positionH relativeFrom="column">
              <wp:posOffset>-676275</wp:posOffset>
            </wp:positionH>
            <wp:positionV relativeFrom="paragraph">
              <wp:posOffset>156210</wp:posOffset>
            </wp:positionV>
            <wp:extent cx="1581150" cy="2600960"/>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2600960"/>
                    </a:xfrm>
                    <a:prstGeom prst="rect">
                      <a:avLst/>
                    </a:prstGeom>
                    <a:noFill/>
                  </pic:spPr>
                </pic:pic>
              </a:graphicData>
            </a:graphic>
          </wp:anchor>
        </w:drawing>
      </w: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SEGUNDA SALA UNITARIA</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 xml:space="preserve">EXPEDIENTE: </w:t>
      </w:r>
      <w:r w:rsidR="00754447">
        <w:rPr>
          <w:rFonts w:ascii="Arial" w:hAnsi="Arial" w:cs="Arial"/>
          <w:b/>
          <w:sz w:val="20"/>
          <w:szCs w:val="24"/>
        </w:rPr>
        <w:t>879</w:t>
      </w:r>
      <w:r w:rsidRPr="00450C43">
        <w:rPr>
          <w:rFonts w:ascii="Arial" w:hAnsi="Arial" w:cs="Arial"/>
          <w:b/>
          <w:sz w:val="20"/>
          <w:szCs w:val="24"/>
        </w:rPr>
        <w:t>/202</w:t>
      </w:r>
      <w:r w:rsidR="00754447">
        <w:rPr>
          <w:rFonts w:ascii="Arial" w:hAnsi="Arial" w:cs="Arial"/>
          <w:b/>
          <w:sz w:val="20"/>
          <w:szCs w:val="24"/>
        </w:rPr>
        <w:t>5</w:t>
      </w:r>
      <w:r w:rsidRPr="00450C43">
        <w:rPr>
          <w:rFonts w:ascii="Arial" w:hAnsi="Arial" w:cs="Arial"/>
          <w:b/>
          <w:sz w:val="20"/>
          <w:szCs w:val="24"/>
        </w:rPr>
        <w:t>/2</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sz w:val="20"/>
          <w:szCs w:val="24"/>
        </w:rPr>
      </w:pPr>
      <w:r w:rsidRPr="00450C43">
        <w:rPr>
          <w:rFonts w:ascii="Arial" w:hAnsi="Arial" w:cs="Arial"/>
          <w:b/>
          <w:sz w:val="20"/>
          <w:szCs w:val="24"/>
        </w:rPr>
        <w:t xml:space="preserve">PARTE ACTORA: </w:t>
      </w:r>
    </w:p>
    <w:p w:rsidR="00F50EBA" w:rsidRPr="00450C43" w:rsidRDefault="00C507DA" w:rsidP="00673FFE">
      <w:pPr>
        <w:spacing w:after="0" w:line="240" w:lineRule="auto"/>
        <w:ind w:left="3969"/>
        <w:jc w:val="both"/>
        <w:rPr>
          <w:rFonts w:ascii="Arial" w:hAnsi="Arial" w:cs="Arial"/>
          <w:color w:val="FF0000"/>
          <w:sz w:val="20"/>
          <w:szCs w:val="24"/>
        </w:rPr>
      </w:pPr>
      <w:r>
        <w:rPr>
          <w:rFonts w:ascii="Arial" w:hAnsi="Arial" w:cs="Arial"/>
          <w:color w:val="FF0000"/>
          <w:sz w:val="20"/>
          <w:szCs w:val="24"/>
        </w:rPr>
        <w:t>**********</w:t>
      </w:r>
      <w:r w:rsidR="0050787F">
        <w:rPr>
          <w:rFonts w:ascii="Arial" w:hAnsi="Arial" w:cs="Arial"/>
          <w:color w:val="FF0000"/>
          <w:sz w:val="20"/>
          <w:szCs w:val="24"/>
        </w:rPr>
        <w:t xml:space="preserve">; Y </w:t>
      </w:r>
      <w:r>
        <w:rPr>
          <w:rFonts w:ascii="Arial" w:hAnsi="Arial" w:cs="Arial"/>
          <w:color w:val="FF0000"/>
          <w:sz w:val="20"/>
          <w:szCs w:val="24"/>
        </w:rPr>
        <w:t>**********</w:t>
      </w:r>
      <w:r w:rsidR="0050787F">
        <w:rPr>
          <w:rFonts w:ascii="Arial" w:hAnsi="Arial" w:cs="Arial"/>
          <w:color w:val="FF0000"/>
          <w:sz w:val="20"/>
          <w:szCs w:val="24"/>
        </w:rPr>
        <w:t xml:space="preserve">, </w:t>
      </w:r>
      <w:r>
        <w:rPr>
          <w:rFonts w:ascii="Arial" w:hAnsi="Arial" w:cs="Arial"/>
          <w:color w:val="FF0000"/>
          <w:sz w:val="20"/>
          <w:szCs w:val="24"/>
        </w:rPr>
        <w:t>**********</w:t>
      </w:r>
      <w:r w:rsidR="0050787F">
        <w:rPr>
          <w:rFonts w:ascii="Arial" w:hAnsi="Arial" w:cs="Arial"/>
          <w:color w:val="FF0000"/>
          <w:sz w:val="20"/>
          <w:szCs w:val="24"/>
        </w:rPr>
        <w:t>.</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AUTORIDAD DEMANDADA:</w:t>
      </w:r>
    </w:p>
    <w:p w:rsidR="00F50EBA" w:rsidRPr="00450C43" w:rsidRDefault="0050787F" w:rsidP="00673FFE">
      <w:pPr>
        <w:spacing w:after="0" w:line="240" w:lineRule="auto"/>
        <w:ind w:left="3969"/>
        <w:jc w:val="both"/>
        <w:rPr>
          <w:rFonts w:ascii="Arial" w:hAnsi="Arial" w:cs="Arial"/>
          <w:sz w:val="20"/>
          <w:szCs w:val="24"/>
        </w:rPr>
      </w:pPr>
      <w:r>
        <w:rPr>
          <w:rFonts w:ascii="Arial" w:hAnsi="Arial" w:cs="Arial"/>
          <w:sz w:val="20"/>
          <w:szCs w:val="24"/>
        </w:rPr>
        <w:t>DIRECTOR DE RECAUDACION Y POLITICA FISCAL DE LA SECRETARIA DE FINANZAS DE GOBIERNO DEL ESTADO DE SAN LUIS POTOSI.</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 xml:space="preserve">MAGISTRADA: </w:t>
      </w:r>
      <w:r w:rsidRPr="00450C43">
        <w:rPr>
          <w:rFonts w:ascii="Arial" w:hAnsi="Arial" w:cs="Arial"/>
          <w:sz w:val="20"/>
          <w:szCs w:val="24"/>
        </w:rPr>
        <w:t>LICENCIADA MARÍA OLVIDO RODRÍGUEZ VAZQUEZ</w:t>
      </w:r>
      <w:r w:rsidRPr="00450C43">
        <w:rPr>
          <w:rFonts w:ascii="Arial" w:hAnsi="Arial" w:cs="Arial"/>
          <w:b/>
          <w:sz w:val="20"/>
          <w:szCs w:val="24"/>
        </w:rPr>
        <w:t xml:space="preserve">. </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 xml:space="preserve">SECRETARIO: </w:t>
      </w:r>
      <w:r w:rsidRPr="00450C43">
        <w:rPr>
          <w:rFonts w:ascii="Arial" w:hAnsi="Arial" w:cs="Arial"/>
          <w:sz w:val="20"/>
          <w:szCs w:val="24"/>
        </w:rPr>
        <w:t>LICENCIADO JUAN JOSÉ GARCÍA MORALES.</w:t>
      </w:r>
      <w:r w:rsidRPr="00450C43">
        <w:rPr>
          <w:rFonts w:ascii="Arial" w:hAnsi="Arial" w:cs="Arial"/>
          <w:b/>
          <w:sz w:val="20"/>
          <w:szCs w:val="24"/>
        </w:rPr>
        <w:t xml:space="preserve"> </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sz w:val="20"/>
          <w:szCs w:val="24"/>
        </w:rPr>
      </w:pPr>
      <w:r>
        <w:rPr>
          <w:rFonts w:ascii="Arial" w:hAnsi="Arial" w:cs="Arial"/>
          <w:b/>
          <w:sz w:val="20"/>
          <w:szCs w:val="24"/>
        </w:rPr>
        <w:t>COLABORÓ</w:t>
      </w:r>
      <w:r w:rsidRPr="00450C43">
        <w:rPr>
          <w:rFonts w:ascii="Arial" w:hAnsi="Arial" w:cs="Arial"/>
          <w:b/>
          <w:sz w:val="20"/>
          <w:szCs w:val="24"/>
        </w:rPr>
        <w:t xml:space="preserve">: </w:t>
      </w:r>
      <w:r w:rsidRPr="00450C43">
        <w:rPr>
          <w:rFonts w:ascii="Arial" w:hAnsi="Arial" w:cs="Arial"/>
          <w:sz w:val="20"/>
          <w:szCs w:val="24"/>
        </w:rPr>
        <w:t>LICENCIADO LEÓN FERNANDO RODRÍGUEZ OROZCO.</w:t>
      </w:r>
    </w:p>
    <w:p w:rsidR="00F50EBA" w:rsidRDefault="00F50EBA" w:rsidP="00673FFE">
      <w:pPr>
        <w:spacing w:after="0" w:line="240" w:lineRule="auto"/>
        <w:ind w:left="3969"/>
        <w:jc w:val="both"/>
        <w:rPr>
          <w:rFonts w:cs="Arial"/>
          <w:szCs w:val="28"/>
        </w:rPr>
      </w:pPr>
    </w:p>
    <w:p w:rsidR="00F50EBA" w:rsidRPr="0049418B" w:rsidRDefault="00F50EBA" w:rsidP="00F50EBA">
      <w:pPr>
        <w:spacing w:after="0" w:line="240" w:lineRule="auto"/>
        <w:ind w:left="3969"/>
        <w:jc w:val="both"/>
        <w:rPr>
          <w:rFonts w:cs="Arial"/>
          <w:szCs w:val="28"/>
        </w:rPr>
      </w:pPr>
      <w:r>
        <w:rPr>
          <w:rFonts w:cs="Arial"/>
          <w:szCs w:val="28"/>
        </w:rPr>
        <w:t xml:space="preserve">  </w:t>
      </w:r>
    </w:p>
    <w:p w:rsidR="00F50EBA" w:rsidRPr="00C24CE1" w:rsidRDefault="00F50EBA" w:rsidP="00F50EBA">
      <w:pPr>
        <w:spacing w:after="0"/>
        <w:ind w:firstLine="708"/>
        <w:jc w:val="both"/>
        <w:rPr>
          <w:rFonts w:ascii="Arial" w:hAnsi="Arial" w:cs="Arial"/>
          <w:sz w:val="24"/>
          <w:szCs w:val="24"/>
        </w:rPr>
      </w:pPr>
      <w:r w:rsidRPr="00C24CE1">
        <w:rPr>
          <w:rFonts w:ascii="Arial" w:hAnsi="Arial" w:cs="Arial"/>
          <w:sz w:val="24"/>
          <w:szCs w:val="24"/>
        </w:rPr>
        <w:t xml:space="preserve">San Luis Potosí, San Luis Potosí, </w:t>
      </w:r>
      <w:r w:rsidR="00F22DEF">
        <w:rPr>
          <w:rFonts w:ascii="Arial" w:hAnsi="Arial" w:cs="Arial"/>
          <w:sz w:val="24"/>
          <w:szCs w:val="24"/>
        </w:rPr>
        <w:t>veintiséis</w:t>
      </w:r>
      <w:r w:rsidRPr="00C24CE1">
        <w:rPr>
          <w:rFonts w:ascii="Arial" w:hAnsi="Arial" w:cs="Arial"/>
          <w:sz w:val="24"/>
          <w:szCs w:val="24"/>
        </w:rPr>
        <w:t xml:space="preserve"> de mayo</w:t>
      </w:r>
      <w:r>
        <w:rPr>
          <w:rFonts w:ascii="Arial" w:hAnsi="Arial" w:cs="Arial"/>
          <w:sz w:val="24"/>
          <w:szCs w:val="24"/>
        </w:rPr>
        <w:t xml:space="preserve"> de dos mil veintiséis</w:t>
      </w:r>
      <w:r w:rsidRPr="00C24CE1">
        <w:rPr>
          <w:rFonts w:ascii="Arial" w:hAnsi="Arial" w:cs="Arial"/>
          <w:sz w:val="24"/>
          <w:szCs w:val="24"/>
        </w:rPr>
        <w:t>.</w:t>
      </w:r>
    </w:p>
    <w:p w:rsidR="00F50EBA" w:rsidRPr="00C24CE1" w:rsidRDefault="00F50EBA" w:rsidP="00F50EBA">
      <w:pPr>
        <w:spacing w:after="0"/>
        <w:ind w:firstLine="708"/>
        <w:jc w:val="both"/>
        <w:rPr>
          <w:rFonts w:ascii="Arial" w:hAnsi="Arial" w:cs="Arial"/>
          <w:sz w:val="24"/>
          <w:szCs w:val="24"/>
        </w:rPr>
      </w:pPr>
    </w:p>
    <w:p w:rsidR="00F50EBA" w:rsidRDefault="00F50EBA" w:rsidP="00F50EBA">
      <w:pPr>
        <w:spacing w:after="0"/>
        <w:ind w:firstLine="708"/>
        <w:jc w:val="both"/>
        <w:rPr>
          <w:rFonts w:ascii="Arial" w:hAnsi="Arial" w:cs="Arial"/>
          <w:color w:val="000000"/>
          <w:sz w:val="24"/>
          <w:szCs w:val="24"/>
        </w:rPr>
      </w:pPr>
      <w:r w:rsidRPr="00C24CE1">
        <w:rPr>
          <w:rFonts w:ascii="Arial" w:hAnsi="Arial" w:cs="Arial"/>
          <w:b/>
          <w:sz w:val="24"/>
          <w:szCs w:val="24"/>
        </w:rPr>
        <w:t xml:space="preserve">V I S T O, </w:t>
      </w:r>
      <w:r w:rsidRPr="00C24CE1">
        <w:rPr>
          <w:rFonts w:ascii="Arial" w:hAnsi="Arial" w:cs="Arial"/>
          <w:sz w:val="24"/>
          <w:szCs w:val="24"/>
        </w:rPr>
        <w:t xml:space="preserve">para resolver en definitiva los autos del juicio contencioso administrativo número </w:t>
      </w:r>
      <w:r w:rsidR="00754447">
        <w:rPr>
          <w:rFonts w:ascii="Arial" w:hAnsi="Arial" w:cs="Arial"/>
          <w:b/>
          <w:sz w:val="24"/>
          <w:szCs w:val="24"/>
        </w:rPr>
        <w:t>879/2025</w:t>
      </w:r>
      <w:r>
        <w:rPr>
          <w:rFonts w:ascii="Arial" w:hAnsi="Arial" w:cs="Arial"/>
          <w:b/>
          <w:sz w:val="24"/>
          <w:szCs w:val="24"/>
        </w:rPr>
        <w:t>/2</w:t>
      </w:r>
      <w:r w:rsidRPr="00C24CE1">
        <w:rPr>
          <w:rFonts w:ascii="Arial" w:hAnsi="Arial" w:cs="Arial"/>
          <w:b/>
          <w:sz w:val="24"/>
          <w:szCs w:val="24"/>
        </w:rPr>
        <w:t xml:space="preserve">, </w:t>
      </w:r>
      <w:r w:rsidRPr="00C24CE1">
        <w:rPr>
          <w:rFonts w:ascii="Arial" w:hAnsi="Arial" w:cs="Arial"/>
          <w:color w:val="000000"/>
          <w:sz w:val="24"/>
          <w:szCs w:val="24"/>
        </w:rPr>
        <w:t>y;</w:t>
      </w:r>
    </w:p>
    <w:p w:rsidR="00F50EBA" w:rsidRDefault="00F50EBA" w:rsidP="00F50EBA">
      <w:pPr>
        <w:spacing w:after="0" w:line="240" w:lineRule="auto"/>
        <w:ind w:firstLine="708"/>
        <w:jc w:val="both"/>
        <w:rPr>
          <w:rFonts w:ascii="Arial" w:hAnsi="Arial" w:cs="Arial"/>
          <w:color w:val="000000"/>
          <w:sz w:val="24"/>
          <w:szCs w:val="24"/>
        </w:rPr>
      </w:pPr>
    </w:p>
    <w:p w:rsidR="00F50EBA" w:rsidRPr="00C24CE1" w:rsidRDefault="00F50EBA" w:rsidP="00F50EBA">
      <w:pPr>
        <w:spacing w:after="0"/>
        <w:ind w:firstLine="708"/>
        <w:jc w:val="both"/>
        <w:rPr>
          <w:rFonts w:ascii="Arial" w:hAnsi="Arial" w:cs="Arial"/>
          <w:b/>
          <w:sz w:val="24"/>
          <w:szCs w:val="24"/>
        </w:rPr>
      </w:pPr>
    </w:p>
    <w:p w:rsidR="00F50EBA" w:rsidRPr="00C24CE1" w:rsidRDefault="00F50EBA" w:rsidP="00F50EBA">
      <w:pPr>
        <w:spacing w:after="0"/>
        <w:jc w:val="center"/>
        <w:rPr>
          <w:rFonts w:ascii="Arial" w:hAnsi="Arial" w:cs="Arial"/>
          <w:color w:val="000000"/>
          <w:sz w:val="24"/>
          <w:szCs w:val="24"/>
        </w:rPr>
      </w:pPr>
      <w:r w:rsidRPr="00C24CE1">
        <w:rPr>
          <w:rFonts w:ascii="Arial" w:hAnsi="Arial" w:cs="Arial"/>
          <w:b/>
          <w:sz w:val="24"/>
          <w:szCs w:val="24"/>
        </w:rPr>
        <w:t>R E S U L T A N D O</w:t>
      </w:r>
    </w:p>
    <w:p w:rsidR="00F50EBA" w:rsidRPr="00C24CE1" w:rsidRDefault="00F50EBA" w:rsidP="00F50EBA">
      <w:pPr>
        <w:spacing w:after="0"/>
        <w:ind w:firstLine="708"/>
        <w:jc w:val="both"/>
        <w:rPr>
          <w:rFonts w:ascii="Arial" w:hAnsi="Arial" w:cs="Arial"/>
          <w:b/>
          <w:sz w:val="24"/>
          <w:szCs w:val="24"/>
        </w:rPr>
      </w:pPr>
    </w:p>
    <w:p w:rsidR="00F50EBA" w:rsidRPr="002D0052" w:rsidRDefault="00F50EBA" w:rsidP="00673FFE">
      <w:pPr>
        <w:pStyle w:val="Prrafodelista"/>
        <w:numPr>
          <w:ilvl w:val="0"/>
          <w:numId w:val="1"/>
        </w:numPr>
        <w:spacing w:after="0"/>
        <w:ind w:left="0" w:firstLine="709"/>
        <w:jc w:val="both"/>
        <w:rPr>
          <w:rFonts w:ascii="Arial" w:hAnsi="Arial" w:cs="Arial"/>
          <w:b/>
          <w:sz w:val="24"/>
          <w:szCs w:val="24"/>
        </w:rPr>
      </w:pPr>
      <w:r w:rsidRPr="002D0052">
        <w:rPr>
          <w:rFonts w:ascii="Arial" w:hAnsi="Arial" w:cs="Arial"/>
          <w:b/>
          <w:sz w:val="24"/>
          <w:szCs w:val="24"/>
        </w:rPr>
        <w:t xml:space="preserve">Demanda. </w:t>
      </w:r>
      <w:r w:rsidRPr="002D0052">
        <w:rPr>
          <w:rFonts w:ascii="Arial" w:hAnsi="Arial" w:cs="Arial"/>
          <w:sz w:val="24"/>
          <w:szCs w:val="24"/>
        </w:rPr>
        <w:t xml:space="preserve">Por escrito ingresado en este Tribunal el </w:t>
      </w:r>
      <w:r w:rsidR="00E9311A" w:rsidRPr="002D0052">
        <w:rPr>
          <w:rFonts w:ascii="Arial" w:hAnsi="Arial" w:cs="Arial"/>
          <w:sz w:val="24"/>
          <w:szCs w:val="24"/>
        </w:rPr>
        <w:t>catorce de agosto de dos mil veinticinco</w:t>
      </w:r>
      <w:r w:rsidRPr="002D0052">
        <w:rPr>
          <w:rFonts w:ascii="Arial" w:hAnsi="Arial" w:cs="Arial"/>
          <w:sz w:val="24"/>
          <w:szCs w:val="24"/>
        </w:rPr>
        <w:t xml:space="preserve">, compareció </w:t>
      </w:r>
      <w:r w:rsidR="00C507DA">
        <w:rPr>
          <w:rFonts w:ascii="Arial" w:hAnsi="Arial" w:cs="Arial"/>
          <w:color w:val="FF0000"/>
          <w:sz w:val="24"/>
          <w:szCs w:val="24"/>
        </w:rPr>
        <w:t>**********</w:t>
      </w:r>
      <w:r w:rsidR="00E9311A" w:rsidRPr="002D0052">
        <w:rPr>
          <w:rFonts w:ascii="Arial" w:hAnsi="Arial" w:cs="Arial"/>
          <w:sz w:val="24"/>
          <w:szCs w:val="24"/>
        </w:rPr>
        <w:t xml:space="preserve">, en su carácter de Apoderada Legal de la </w:t>
      </w:r>
      <w:r w:rsidR="00C507DA">
        <w:rPr>
          <w:rFonts w:ascii="Arial" w:hAnsi="Arial" w:cs="Arial"/>
          <w:color w:val="FF0000"/>
          <w:sz w:val="24"/>
          <w:szCs w:val="24"/>
        </w:rPr>
        <w:t>**********</w:t>
      </w:r>
      <w:r w:rsidR="00E9311A" w:rsidRPr="002D0052">
        <w:rPr>
          <w:rFonts w:ascii="Arial" w:hAnsi="Arial" w:cs="Arial"/>
          <w:sz w:val="24"/>
          <w:szCs w:val="24"/>
        </w:rPr>
        <w:t xml:space="preserve"> y del </w:t>
      </w:r>
      <w:r w:rsidR="00E9311A" w:rsidRPr="002D0052">
        <w:rPr>
          <w:rFonts w:ascii="Arial" w:hAnsi="Arial" w:cs="Arial"/>
          <w:color w:val="FF0000"/>
          <w:sz w:val="24"/>
          <w:szCs w:val="24"/>
        </w:rPr>
        <w:t xml:space="preserve">M.D. </w:t>
      </w:r>
      <w:r w:rsidR="00C507DA">
        <w:rPr>
          <w:rFonts w:ascii="Arial" w:hAnsi="Arial" w:cs="Arial"/>
          <w:color w:val="FF0000"/>
          <w:sz w:val="24"/>
          <w:szCs w:val="24"/>
        </w:rPr>
        <w:t>**********</w:t>
      </w:r>
      <w:r w:rsidR="00E9311A" w:rsidRPr="002D0052">
        <w:rPr>
          <w:rFonts w:ascii="Arial" w:hAnsi="Arial" w:cs="Arial"/>
          <w:color w:val="FF0000"/>
          <w:sz w:val="24"/>
          <w:szCs w:val="24"/>
        </w:rPr>
        <w:t xml:space="preserve">, </w:t>
      </w:r>
      <w:r w:rsidR="00C507DA">
        <w:rPr>
          <w:rFonts w:ascii="Arial" w:hAnsi="Arial" w:cs="Arial"/>
          <w:color w:val="FF0000"/>
          <w:sz w:val="24"/>
          <w:szCs w:val="24"/>
        </w:rPr>
        <w:t>**********</w:t>
      </w:r>
      <w:r w:rsidR="00E9311A" w:rsidRPr="002D0052">
        <w:rPr>
          <w:rFonts w:ascii="Arial" w:hAnsi="Arial" w:cs="Arial"/>
          <w:sz w:val="24"/>
          <w:szCs w:val="24"/>
        </w:rPr>
        <w:t>,</w:t>
      </w:r>
      <w:r w:rsidRPr="002D0052">
        <w:rPr>
          <w:rFonts w:ascii="Arial" w:hAnsi="Arial" w:cs="Arial"/>
          <w:color w:val="FF0000"/>
          <w:sz w:val="24"/>
          <w:szCs w:val="24"/>
        </w:rPr>
        <w:t xml:space="preserve"> </w:t>
      </w:r>
      <w:r w:rsidRPr="002D0052">
        <w:rPr>
          <w:rFonts w:ascii="Arial" w:hAnsi="Arial" w:cs="Arial"/>
          <w:sz w:val="24"/>
          <w:szCs w:val="24"/>
        </w:rPr>
        <w:t>en la Vía Contenciosa Administrativa</w:t>
      </w:r>
      <w:r w:rsidRPr="002D0052">
        <w:rPr>
          <w:rFonts w:ascii="Arial" w:hAnsi="Arial" w:cs="Arial"/>
          <w:color w:val="FF0000"/>
          <w:sz w:val="24"/>
          <w:szCs w:val="24"/>
        </w:rPr>
        <w:t xml:space="preserve"> </w:t>
      </w:r>
      <w:r w:rsidRPr="002D0052">
        <w:rPr>
          <w:rFonts w:ascii="Arial" w:hAnsi="Arial" w:cs="Arial"/>
          <w:sz w:val="24"/>
          <w:szCs w:val="24"/>
        </w:rPr>
        <w:t>a promover</w:t>
      </w:r>
      <w:r w:rsidR="00E9311A" w:rsidRPr="002D0052">
        <w:rPr>
          <w:rFonts w:ascii="Arial" w:hAnsi="Arial" w:cs="Arial"/>
          <w:sz w:val="24"/>
          <w:szCs w:val="24"/>
        </w:rPr>
        <w:t xml:space="preserve"> Juicio de Nulidad en contra del Director de Recaudación y Política Fiscal de la Secretaria de Finanzas de Gobierno del Estado de S</w:t>
      </w:r>
      <w:r w:rsidR="002D0052" w:rsidRPr="002D0052">
        <w:rPr>
          <w:rFonts w:ascii="Arial" w:hAnsi="Arial" w:cs="Arial"/>
          <w:sz w:val="24"/>
          <w:szCs w:val="24"/>
        </w:rPr>
        <w:t>an Luis Potosí,</w:t>
      </w:r>
      <w:r w:rsidR="002D0052">
        <w:rPr>
          <w:rFonts w:ascii="Arial" w:hAnsi="Arial" w:cs="Arial"/>
          <w:sz w:val="24"/>
          <w:szCs w:val="24"/>
        </w:rPr>
        <w:t xml:space="preserve"> </w:t>
      </w:r>
      <w:r w:rsidRPr="002D0052">
        <w:rPr>
          <w:rFonts w:ascii="Arial" w:hAnsi="Arial" w:cs="Arial"/>
          <w:sz w:val="24"/>
          <w:szCs w:val="24"/>
        </w:rPr>
        <w:t>por la</w:t>
      </w:r>
      <w:r w:rsidRPr="002D0052">
        <w:rPr>
          <w:rFonts w:ascii="Arial" w:hAnsi="Arial" w:cs="Arial"/>
          <w:b/>
          <w:sz w:val="24"/>
          <w:szCs w:val="24"/>
        </w:rPr>
        <w:t xml:space="preserve"> nulidad </w:t>
      </w:r>
      <w:r w:rsidRPr="002D0052">
        <w:rPr>
          <w:rFonts w:ascii="Arial" w:hAnsi="Arial" w:cs="Arial"/>
          <w:sz w:val="24"/>
          <w:szCs w:val="24"/>
        </w:rPr>
        <w:t>de</w:t>
      </w:r>
      <w:r w:rsidR="00754447" w:rsidRPr="002D0052">
        <w:rPr>
          <w:rFonts w:ascii="Arial" w:hAnsi="Arial" w:cs="Arial"/>
          <w:sz w:val="24"/>
          <w:szCs w:val="24"/>
        </w:rPr>
        <w:t>l</w:t>
      </w:r>
      <w:r w:rsidRPr="002D0052">
        <w:rPr>
          <w:rFonts w:ascii="Arial" w:hAnsi="Arial" w:cs="Arial"/>
          <w:sz w:val="24"/>
          <w:szCs w:val="24"/>
          <w:lang w:val="es-ES"/>
        </w:rPr>
        <w:t xml:space="preserve"> acto</w:t>
      </w:r>
      <w:r w:rsidR="00754447" w:rsidRPr="002D0052">
        <w:rPr>
          <w:rFonts w:ascii="Arial" w:hAnsi="Arial" w:cs="Arial"/>
          <w:sz w:val="24"/>
          <w:szCs w:val="24"/>
          <w:lang w:val="es-ES"/>
        </w:rPr>
        <w:t xml:space="preserve"> </w:t>
      </w:r>
      <w:r w:rsidRPr="002D0052">
        <w:rPr>
          <w:rFonts w:ascii="Arial" w:hAnsi="Arial" w:cs="Arial"/>
          <w:sz w:val="24"/>
          <w:szCs w:val="24"/>
          <w:lang w:val="es-ES"/>
        </w:rPr>
        <w:t>que a continuación se precisa:</w:t>
      </w:r>
    </w:p>
    <w:p w:rsidR="00F50EBA" w:rsidRDefault="00F50EBA" w:rsidP="00F50EBA">
      <w:pPr>
        <w:spacing w:after="0" w:line="240" w:lineRule="auto"/>
        <w:ind w:firstLine="708"/>
        <w:jc w:val="both"/>
        <w:rPr>
          <w:rFonts w:ascii="Arial" w:hAnsi="Arial" w:cs="Arial"/>
          <w:b/>
          <w:sz w:val="20"/>
          <w:szCs w:val="24"/>
        </w:rPr>
      </w:pPr>
    </w:p>
    <w:p w:rsidR="00F50EBA" w:rsidRPr="00673FFE" w:rsidRDefault="00F50EBA" w:rsidP="00D03767">
      <w:pPr>
        <w:spacing w:after="0" w:line="240" w:lineRule="auto"/>
        <w:ind w:left="851" w:right="618"/>
        <w:jc w:val="both"/>
        <w:rPr>
          <w:rFonts w:ascii="Arial" w:hAnsi="Arial" w:cs="Arial"/>
          <w:i/>
          <w:szCs w:val="24"/>
        </w:rPr>
      </w:pPr>
      <w:r w:rsidRPr="00673FFE">
        <w:rPr>
          <w:rFonts w:ascii="Arial" w:hAnsi="Arial" w:cs="Arial"/>
          <w:b/>
          <w:i/>
          <w:szCs w:val="24"/>
        </w:rPr>
        <w:t>“</w:t>
      </w:r>
      <w:r w:rsidR="00754447" w:rsidRPr="00673FFE">
        <w:rPr>
          <w:rFonts w:ascii="Arial" w:hAnsi="Arial" w:cs="Arial"/>
          <w:i/>
          <w:szCs w:val="24"/>
        </w:rPr>
        <w:t xml:space="preserve">La nulidad del mandamiento de ejecución número </w:t>
      </w:r>
      <w:r w:rsidR="00C507DA">
        <w:rPr>
          <w:rFonts w:ascii="Arial" w:hAnsi="Arial" w:cs="Arial"/>
          <w:i/>
          <w:color w:val="FF0000"/>
          <w:szCs w:val="24"/>
        </w:rPr>
        <w:t>**********</w:t>
      </w:r>
      <w:r w:rsidR="002D0052" w:rsidRPr="00673FFE">
        <w:rPr>
          <w:rFonts w:ascii="Arial" w:hAnsi="Arial" w:cs="Arial"/>
          <w:i/>
          <w:color w:val="FF0000"/>
          <w:szCs w:val="24"/>
        </w:rPr>
        <w:t xml:space="preserve"> </w:t>
      </w:r>
      <w:r w:rsidR="002D0052" w:rsidRPr="00673FFE">
        <w:rPr>
          <w:rFonts w:ascii="Arial" w:hAnsi="Arial" w:cs="Arial"/>
          <w:i/>
          <w:szCs w:val="24"/>
        </w:rPr>
        <w:t>y a partir de aquella declaración, en vía de consecuencia se actualice el pago de lo indebido, por lo tanto NO SE EXHIBE el referido recibo.”</w:t>
      </w:r>
    </w:p>
    <w:p w:rsidR="00F4507D" w:rsidRDefault="00F4507D" w:rsidP="002D0052">
      <w:pPr>
        <w:spacing w:after="0" w:line="240" w:lineRule="auto"/>
        <w:ind w:left="567" w:right="618" w:firstLine="284"/>
        <w:jc w:val="both"/>
        <w:rPr>
          <w:rFonts w:ascii="Arial" w:hAnsi="Arial" w:cs="Arial"/>
          <w:i/>
          <w:sz w:val="20"/>
          <w:szCs w:val="24"/>
        </w:rPr>
      </w:pPr>
    </w:p>
    <w:p w:rsidR="002D0052" w:rsidRPr="00F453F3" w:rsidRDefault="002D0052" w:rsidP="002D0052">
      <w:pPr>
        <w:spacing w:after="0" w:line="240" w:lineRule="auto"/>
        <w:ind w:left="567" w:right="618" w:firstLine="284"/>
        <w:jc w:val="both"/>
        <w:rPr>
          <w:rFonts w:ascii="Arial" w:hAnsi="Arial" w:cs="Arial"/>
          <w:i/>
          <w:color w:val="FF0000"/>
          <w:sz w:val="20"/>
          <w:szCs w:val="24"/>
        </w:rPr>
      </w:pPr>
    </w:p>
    <w:p w:rsidR="00F50EBA" w:rsidRPr="002D0052" w:rsidRDefault="00F50EBA" w:rsidP="006750C2">
      <w:pPr>
        <w:pStyle w:val="Prrafodelista"/>
        <w:numPr>
          <w:ilvl w:val="0"/>
          <w:numId w:val="1"/>
        </w:numPr>
        <w:spacing w:after="0"/>
        <w:ind w:left="0" w:firstLine="709"/>
        <w:jc w:val="both"/>
        <w:rPr>
          <w:rFonts w:ascii="Arial" w:hAnsi="Arial" w:cs="Arial"/>
          <w:sz w:val="24"/>
          <w:szCs w:val="24"/>
        </w:rPr>
      </w:pPr>
      <w:r w:rsidRPr="002D0052">
        <w:rPr>
          <w:rFonts w:ascii="Arial" w:hAnsi="Arial" w:cs="Arial"/>
          <w:b/>
          <w:sz w:val="24"/>
          <w:szCs w:val="24"/>
        </w:rPr>
        <w:t xml:space="preserve">Tramite del Juicio. </w:t>
      </w:r>
      <w:r w:rsidRPr="002D0052">
        <w:rPr>
          <w:rFonts w:ascii="Arial" w:hAnsi="Arial" w:cs="Arial"/>
          <w:sz w:val="24"/>
          <w:szCs w:val="24"/>
        </w:rPr>
        <w:t xml:space="preserve">Por </w:t>
      </w:r>
      <w:r w:rsidR="00754447" w:rsidRPr="002D0052">
        <w:rPr>
          <w:rFonts w:ascii="Arial" w:hAnsi="Arial" w:cs="Arial"/>
          <w:sz w:val="24"/>
          <w:szCs w:val="24"/>
        </w:rPr>
        <w:t>auto</w:t>
      </w:r>
      <w:r w:rsidRPr="002D0052">
        <w:rPr>
          <w:rFonts w:ascii="Arial" w:hAnsi="Arial" w:cs="Arial"/>
          <w:sz w:val="24"/>
          <w:szCs w:val="24"/>
        </w:rPr>
        <w:t xml:space="preserve"> del </w:t>
      </w:r>
      <w:r w:rsidR="002D0052" w:rsidRPr="002D0052">
        <w:rPr>
          <w:rFonts w:ascii="Arial" w:hAnsi="Arial" w:cs="Arial"/>
          <w:sz w:val="24"/>
          <w:szCs w:val="24"/>
        </w:rPr>
        <w:t>quince de octubre de dos mil veinticinco se admitió a trámite la demanda</w:t>
      </w:r>
      <w:r w:rsidR="00F4507D">
        <w:rPr>
          <w:rFonts w:ascii="Arial" w:hAnsi="Arial" w:cs="Arial"/>
          <w:sz w:val="24"/>
          <w:szCs w:val="24"/>
        </w:rPr>
        <w:t>,</w:t>
      </w:r>
      <w:r w:rsidR="002D0052" w:rsidRPr="002D0052">
        <w:rPr>
          <w:rFonts w:ascii="Arial" w:hAnsi="Arial" w:cs="Arial"/>
          <w:sz w:val="24"/>
          <w:szCs w:val="24"/>
        </w:rPr>
        <w:t xml:space="preserve"> ordenando emplazar a la demandada a fin de que emitiera su contestación;</w:t>
      </w:r>
      <w:r w:rsidRPr="002D0052">
        <w:rPr>
          <w:rFonts w:ascii="Arial" w:hAnsi="Arial" w:cs="Arial"/>
          <w:sz w:val="24"/>
          <w:szCs w:val="24"/>
        </w:rPr>
        <w:t xml:space="preserve"> enseguida por auto de fecha </w:t>
      </w:r>
      <w:r w:rsidR="002D0052">
        <w:rPr>
          <w:rFonts w:ascii="Arial" w:hAnsi="Arial" w:cs="Arial"/>
          <w:sz w:val="24"/>
          <w:szCs w:val="24"/>
        </w:rPr>
        <w:t>veintiocho</w:t>
      </w:r>
      <w:r w:rsidRPr="002D0052">
        <w:rPr>
          <w:rFonts w:ascii="Arial" w:hAnsi="Arial" w:cs="Arial"/>
          <w:sz w:val="24"/>
          <w:szCs w:val="24"/>
        </w:rPr>
        <w:t xml:space="preserve"> de </w:t>
      </w:r>
      <w:r w:rsidR="002D0052">
        <w:rPr>
          <w:rFonts w:ascii="Arial" w:hAnsi="Arial" w:cs="Arial"/>
          <w:sz w:val="24"/>
          <w:szCs w:val="24"/>
        </w:rPr>
        <w:t>noviembre de dos mil veinticinco se tuvo a la autoridad demandada</w:t>
      </w:r>
      <w:r w:rsidRPr="002D0052">
        <w:rPr>
          <w:rFonts w:ascii="Arial" w:hAnsi="Arial" w:cs="Arial"/>
          <w:sz w:val="24"/>
          <w:szCs w:val="24"/>
        </w:rPr>
        <w:t xml:space="preserve"> por contestando la demanda, proveído en el que además </w:t>
      </w:r>
      <w:r w:rsidR="00F4507D">
        <w:rPr>
          <w:rFonts w:ascii="Arial" w:hAnsi="Arial" w:cs="Arial"/>
          <w:sz w:val="24"/>
          <w:szCs w:val="24"/>
        </w:rPr>
        <w:t xml:space="preserve">se </w:t>
      </w:r>
      <w:r w:rsidRPr="002D0052">
        <w:rPr>
          <w:rFonts w:ascii="Arial" w:hAnsi="Arial" w:cs="Arial"/>
          <w:sz w:val="24"/>
          <w:szCs w:val="24"/>
        </w:rPr>
        <w:t>admitieron a las partes las pru</w:t>
      </w:r>
      <w:r w:rsidR="00F4507D">
        <w:rPr>
          <w:rFonts w:ascii="Arial" w:hAnsi="Arial" w:cs="Arial"/>
          <w:sz w:val="24"/>
          <w:szCs w:val="24"/>
        </w:rPr>
        <w:t>ebas que resultaron pertinentes, y se requirió a la parte actora para que aclarará y precisará respecto de una prueba.</w:t>
      </w:r>
    </w:p>
    <w:p w:rsidR="00F50EBA" w:rsidRDefault="00F50EBA" w:rsidP="00F4507D">
      <w:pPr>
        <w:spacing w:after="0"/>
        <w:jc w:val="both"/>
        <w:rPr>
          <w:rFonts w:ascii="Arial" w:hAnsi="Arial" w:cs="Arial"/>
          <w:sz w:val="24"/>
          <w:szCs w:val="24"/>
        </w:rPr>
      </w:pPr>
    </w:p>
    <w:p w:rsidR="00F50EBA" w:rsidRPr="00D219C3" w:rsidRDefault="00F50EBA" w:rsidP="00F50EBA">
      <w:pPr>
        <w:spacing w:after="0"/>
        <w:ind w:firstLine="708"/>
        <w:jc w:val="both"/>
        <w:rPr>
          <w:rFonts w:ascii="Arial" w:hAnsi="Arial" w:cs="Arial"/>
          <w:sz w:val="24"/>
          <w:szCs w:val="24"/>
        </w:rPr>
      </w:pPr>
      <w:r w:rsidRPr="00D219C3">
        <w:rPr>
          <w:rFonts w:ascii="Arial" w:hAnsi="Arial" w:cs="Arial"/>
          <w:sz w:val="24"/>
          <w:szCs w:val="24"/>
        </w:rPr>
        <w:t xml:space="preserve">Por último, por auto de fecha </w:t>
      </w:r>
      <w:r w:rsidR="00F4507D">
        <w:rPr>
          <w:rFonts w:ascii="Arial" w:hAnsi="Arial" w:cs="Arial"/>
          <w:sz w:val="24"/>
          <w:szCs w:val="24"/>
        </w:rPr>
        <w:t>quince</w:t>
      </w:r>
      <w:r w:rsidRPr="00D219C3">
        <w:rPr>
          <w:rFonts w:ascii="Arial" w:hAnsi="Arial" w:cs="Arial"/>
          <w:sz w:val="24"/>
          <w:szCs w:val="24"/>
        </w:rPr>
        <w:t xml:space="preserve"> de </w:t>
      </w:r>
      <w:r w:rsidR="00F4507D">
        <w:rPr>
          <w:rFonts w:ascii="Arial" w:hAnsi="Arial" w:cs="Arial"/>
          <w:sz w:val="24"/>
          <w:szCs w:val="24"/>
        </w:rPr>
        <w:t>enero</w:t>
      </w:r>
      <w:r>
        <w:rPr>
          <w:rFonts w:ascii="Arial" w:hAnsi="Arial" w:cs="Arial"/>
          <w:sz w:val="24"/>
          <w:szCs w:val="24"/>
        </w:rPr>
        <w:t xml:space="preserve"> de dos mil </w:t>
      </w:r>
      <w:r w:rsidR="00F4507D">
        <w:rPr>
          <w:rFonts w:ascii="Arial" w:hAnsi="Arial" w:cs="Arial"/>
          <w:sz w:val="24"/>
          <w:szCs w:val="24"/>
        </w:rPr>
        <w:t>veintiséis</w:t>
      </w:r>
      <w:r>
        <w:rPr>
          <w:rFonts w:ascii="Arial" w:hAnsi="Arial" w:cs="Arial"/>
          <w:sz w:val="24"/>
          <w:szCs w:val="24"/>
        </w:rPr>
        <w:t>,</w:t>
      </w:r>
      <w:r w:rsidRPr="00D219C3">
        <w:rPr>
          <w:rFonts w:ascii="Arial" w:hAnsi="Arial" w:cs="Arial"/>
          <w:sz w:val="24"/>
          <w:szCs w:val="24"/>
        </w:rPr>
        <w:t xml:space="preserve"> se </w:t>
      </w:r>
      <w:r w:rsidR="00F4507D">
        <w:rPr>
          <w:rFonts w:ascii="Arial" w:hAnsi="Arial" w:cs="Arial"/>
          <w:sz w:val="24"/>
          <w:szCs w:val="24"/>
        </w:rPr>
        <w:t xml:space="preserve">advirtió que la actora no atendió al requerimiento formulado, y se </w:t>
      </w:r>
      <w:r w:rsidRPr="00D219C3">
        <w:rPr>
          <w:rFonts w:ascii="Arial" w:hAnsi="Arial" w:cs="Arial"/>
          <w:sz w:val="24"/>
          <w:szCs w:val="24"/>
        </w:rPr>
        <w:t xml:space="preserve">fijaron las </w:t>
      </w:r>
      <w:r w:rsidR="00620C36">
        <w:rPr>
          <w:rFonts w:ascii="Arial" w:hAnsi="Arial" w:cs="Arial"/>
          <w:sz w:val="24"/>
          <w:szCs w:val="24"/>
        </w:rPr>
        <w:t>doce</w:t>
      </w:r>
      <w:r w:rsidRPr="00D219C3">
        <w:rPr>
          <w:rFonts w:ascii="Arial" w:hAnsi="Arial" w:cs="Arial"/>
          <w:sz w:val="24"/>
          <w:szCs w:val="24"/>
        </w:rPr>
        <w:t xml:space="preserve"> horas del cinco de </w:t>
      </w:r>
      <w:r w:rsidR="00620C36">
        <w:rPr>
          <w:rFonts w:ascii="Arial" w:hAnsi="Arial" w:cs="Arial"/>
          <w:sz w:val="24"/>
          <w:szCs w:val="24"/>
        </w:rPr>
        <w:t>febrero</w:t>
      </w:r>
      <w:r w:rsidRPr="00D219C3">
        <w:rPr>
          <w:rFonts w:ascii="Arial" w:hAnsi="Arial" w:cs="Arial"/>
          <w:sz w:val="24"/>
          <w:szCs w:val="24"/>
        </w:rPr>
        <w:t xml:space="preserve"> de dos mil </w:t>
      </w:r>
      <w:r w:rsidR="00620C36">
        <w:rPr>
          <w:rFonts w:ascii="Arial" w:hAnsi="Arial" w:cs="Arial"/>
          <w:sz w:val="24"/>
          <w:szCs w:val="24"/>
        </w:rPr>
        <w:t>veintiséis</w:t>
      </w:r>
      <w:r w:rsidRPr="00D219C3">
        <w:rPr>
          <w:rFonts w:ascii="Arial" w:hAnsi="Arial" w:cs="Arial"/>
          <w:sz w:val="24"/>
          <w:szCs w:val="24"/>
        </w:rPr>
        <w:t xml:space="preserve"> a fin de desahogar la audiencia de Ley. </w:t>
      </w:r>
    </w:p>
    <w:p w:rsidR="00F50EBA" w:rsidRPr="00D219C3" w:rsidRDefault="00F50EBA" w:rsidP="00F50EBA">
      <w:pPr>
        <w:autoSpaceDE w:val="0"/>
        <w:autoSpaceDN w:val="0"/>
        <w:adjustRightInd w:val="0"/>
        <w:jc w:val="both"/>
        <w:rPr>
          <w:rFonts w:ascii="Arial" w:hAnsi="Arial" w:cs="Arial"/>
          <w:b/>
          <w:sz w:val="24"/>
          <w:szCs w:val="24"/>
        </w:rPr>
      </w:pPr>
    </w:p>
    <w:p w:rsidR="00F50EBA" w:rsidRPr="00D219C3" w:rsidRDefault="00F50EBA" w:rsidP="00F50EBA">
      <w:pPr>
        <w:autoSpaceDE w:val="0"/>
        <w:autoSpaceDN w:val="0"/>
        <w:adjustRightInd w:val="0"/>
        <w:ind w:firstLine="708"/>
        <w:jc w:val="both"/>
        <w:rPr>
          <w:rFonts w:ascii="Arial" w:hAnsi="Arial" w:cs="Arial"/>
          <w:sz w:val="24"/>
          <w:szCs w:val="24"/>
        </w:rPr>
      </w:pPr>
      <w:r w:rsidRPr="00D219C3">
        <w:rPr>
          <w:rFonts w:ascii="Arial" w:hAnsi="Arial" w:cs="Arial"/>
          <w:b/>
          <w:sz w:val="24"/>
          <w:szCs w:val="24"/>
        </w:rPr>
        <w:t>IV</w:t>
      </w:r>
      <w:r>
        <w:rPr>
          <w:rFonts w:ascii="Arial" w:hAnsi="Arial" w:cs="Arial"/>
          <w:b/>
          <w:sz w:val="24"/>
          <w:szCs w:val="24"/>
        </w:rPr>
        <w:t>. Audiencia.</w:t>
      </w:r>
      <w:r w:rsidRPr="00D219C3">
        <w:rPr>
          <w:rFonts w:ascii="Arial" w:hAnsi="Arial" w:cs="Arial"/>
          <w:b/>
          <w:sz w:val="24"/>
          <w:szCs w:val="24"/>
        </w:rPr>
        <w:t xml:space="preserve"> </w:t>
      </w:r>
      <w:r w:rsidRPr="00D219C3">
        <w:rPr>
          <w:rFonts w:ascii="Arial" w:hAnsi="Arial" w:cs="Arial"/>
          <w:sz w:val="24"/>
          <w:szCs w:val="24"/>
        </w:rPr>
        <w:t>En fecha y hora señaladas, sin la asistencia de las partes, tuvo verificativo la audiencia final del presente juicio, en la que</w:t>
      </w:r>
      <w:r w:rsidRPr="00D219C3">
        <w:rPr>
          <w:rFonts w:ascii="Arial" w:hAnsi="Arial" w:cs="Arial"/>
          <w:b/>
          <w:sz w:val="24"/>
          <w:szCs w:val="24"/>
        </w:rPr>
        <w:t xml:space="preserve"> </w:t>
      </w:r>
      <w:r w:rsidRPr="00D219C3">
        <w:rPr>
          <w:rFonts w:ascii="Arial" w:hAnsi="Arial" w:cs="Arial"/>
          <w:sz w:val="24"/>
          <w:szCs w:val="24"/>
        </w:rPr>
        <w:t>se dio cuenta con las constancias del sumario; en la etapa conducente se precisaron y desahogaron las pruebas que fueron admitidas a las partes, después se hizo constar que no quedaron pruebas pendientes de desahogo; en la etapa de alegatos se certificó que no se formularon por ninguna de las partes. Finalmente se citó para resolver el presente juicio, por lo que;</w:t>
      </w:r>
    </w:p>
    <w:p w:rsidR="00F50EBA" w:rsidRPr="0049418B" w:rsidRDefault="00F50EBA" w:rsidP="00F50EBA">
      <w:pPr>
        <w:pStyle w:val="Textoindependiente2"/>
        <w:spacing w:after="0" w:line="360" w:lineRule="auto"/>
        <w:jc w:val="center"/>
        <w:rPr>
          <w:rFonts w:cs="Arial"/>
          <w:b/>
          <w:w w:val="95"/>
          <w:sz w:val="28"/>
          <w:szCs w:val="28"/>
          <w:lang w:val="es-MX"/>
        </w:rPr>
      </w:pPr>
    </w:p>
    <w:p w:rsidR="00F50EBA" w:rsidRPr="00CF0F89" w:rsidRDefault="00F50EBA" w:rsidP="00F50EBA">
      <w:pPr>
        <w:pStyle w:val="Textoindependiente2"/>
        <w:spacing w:after="0" w:line="360" w:lineRule="auto"/>
        <w:jc w:val="center"/>
        <w:rPr>
          <w:rFonts w:cs="Arial"/>
          <w:b/>
          <w:w w:val="95"/>
          <w:sz w:val="24"/>
          <w:szCs w:val="24"/>
        </w:rPr>
      </w:pPr>
      <w:r w:rsidRPr="00DA7E7F">
        <w:rPr>
          <w:rFonts w:cs="Arial"/>
          <w:b/>
          <w:w w:val="95"/>
          <w:sz w:val="24"/>
          <w:szCs w:val="24"/>
        </w:rPr>
        <w:t>C  O  N  S  I  D  E  R  A  N  D  O</w:t>
      </w:r>
    </w:p>
    <w:p w:rsidR="00F50EBA" w:rsidRDefault="00F50EBA" w:rsidP="00F50EBA">
      <w:pPr>
        <w:spacing w:after="0" w:line="360" w:lineRule="auto"/>
        <w:jc w:val="both"/>
        <w:rPr>
          <w:rFonts w:ascii="Arial" w:hAnsi="Arial" w:cs="Arial"/>
          <w:sz w:val="24"/>
          <w:szCs w:val="28"/>
        </w:rPr>
      </w:pPr>
    </w:p>
    <w:p w:rsidR="00F50EBA" w:rsidRPr="007E7761" w:rsidRDefault="00F50EBA" w:rsidP="00E14F54">
      <w:pPr>
        <w:ind w:firstLine="709"/>
        <w:jc w:val="both"/>
        <w:rPr>
          <w:rFonts w:ascii="Arial" w:hAnsi="Arial" w:cs="Arial"/>
          <w:bCs/>
          <w:sz w:val="24"/>
          <w:szCs w:val="24"/>
        </w:rPr>
      </w:pPr>
      <w:r w:rsidRPr="00E14F54">
        <w:rPr>
          <w:rFonts w:ascii="Arial" w:hAnsi="Arial" w:cs="Arial"/>
          <w:b/>
          <w:bCs/>
          <w:sz w:val="24"/>
          <w:szCs w:val="24"/>
          <w:lang w:val="es-ES"/>
        </w:rPr>
        <w:t>PRIMERO.</w:t>
      </w:r>
      <w:r w:rsidRPr="00CF0F89">
        <w:rPr>
          <w:rFonts w:ascii="Arial" w:hAnsi="Arial" w:cs="Arial"/>
          <w:b/>
          <w:bCs/>
          <w:sz w:val="24"/>
          <w:szCs w:val="24"/>
          <w:lang w:val="es-ES"/>
        </w:rPr>
        <w:t xml:space="preserve"> </w:t>
      </w:r>
      <w:r w:rsidR="000464EA" w:rsidRPr="000464EA">
        <w:rPr>
          <w:rFonts w:ascii="Arial" w:hAnsi="Arial" w:cs="Arial"/>
          <w:b/>
          <w:bCs/>
          <w:i/>
          <w:sz w:val="24"/>
          <w:szCs w:val="24"/>
        </w:rPr>
        <w:t>Competencia.</w:t>
      </w:r>
      <w:r w:rsidRPr="00CF0F89">
        <w:rPr>
          <w:rFonts w:ascii="Arial" w:hAnsi="Arial" w:cs="Arial"/>
          <w:b/>
          <w:bCs/>
          <w:sz w:val="24"/>
          <w:szCs w:val="24"/>
        </w:rPr>
        <w:t xml:space="preserve"> </w:t>
      </w:r>
      <w:r w:rsidRPr="00CF0F89">
        <w:rPr>
          <w:rFonts w:ascii="Arial" w:hAnsi="Arial" w:cs="Arial"/>
          <w:bCs/>
          <w:sz w:val="24"/>
          <w:szCs w:val="24"/>
        </w:rPr>
        <w:t xml:space="preserve">A esta Segunda Sala Unitaria del Tribunal Estatal de Justicia Administrativa, corresponde conocer, substanciar y resolver el presente juicio, en </w:t>
      </w:r>
      <w:r w:rsidRPr="00CF0F89">
        <w:rPr>
          <w:rFonts w:ascii="Arial" w:hAnsi="Arial" w:cs="Arial"/>
          <w:bCs/>
          <w:iCs/>
          <w:sz w:val="24"/>
          <w:szCs w:val="24"/>
        </w:rPr>
        <w:t>términos</w:t>
      </w:r>
      <w:r w:rsidRPr="00CF0F89">
        <w:rPr>
          <w:rFonts w:ascii="Arial" w:hAnsi="Arial" w:cs="Arial"/>
          <w:bCs/>
          <w:sz w:val="24"/>
          <w:szCs w:val="24"/>
        </w:rPr>
        <w:t xml:space="preserve"> de los artículos 123 de la Constitución Política del Estado de San Luis Potosí; 1°, 2°, 7º fracción I, 9° fracción III, 24 y 35 fracción VIII, de la Ley Orgánica del Tribunal Estatal de Justicia Administrativa de San Luis Potosí</w:t>
      </w:r>
      <w:r w:rsidR="00E14F54">
        <w:rPr>
          <w:rFonts w:ascii="Arial" w:hAnsi="Arial" w:cs="Arial"/>
          <w:bCs/>
          <w:sz w:val="24"/>
          <w:szCs w:val="24"/>
        </w:rPr>
        <w:t>;</w:t>
      </w:r>
      <w:r w:rsidRPr="00CF0F89">
        <w:rPr>
          <w:rFonts w:ascii="Arial" w:hAnsi="Arial" w:cs="Arial"/>
          <w:bCs/>
          <w:sz w:val="24"/>
          <w:szCs w:val="24"/>
        </w:rPr>
        <w:t xml:space="preserve"> </w:t>
      </w:r>
      <w:r w:rsidR="00E14F54" w:rsidRPr="00E14F54">
        <w:rPr>
          <w:rFonts w:ascii="Arial" w:hAnsi="Arial" w:cs="Arial"/>
          <w:bCs/>
          <w:sz w:val="24"/>
          <w:szCs w:val="24"/>
        </w:rPr>
        <w:t>2°, 248, 249, 250 y 251 del Código Procesal Administrativo para el Estado de San Luis Potosí,</w:t>
      </w:r>
      <w:r w:rsidR="00E14F54">
        <w:rPr>
          <w:rFonts w:ascii="Arial" w:hAnsi="Arial" w:cs="Arial"/>
          <w:bCs/>
          <w:sz w:val="24"/>
          <w:szCs w:val="24"/>
        </w:rPr>
        <w:t xml:space="preserve"> </w:t>
      </w:r>
      <w:r w:rsidRPr="00CF0F89">
        <w:rPr>
          <w:rFonts w:ascii="Arial" w:hAnsi="Arial" w:cs="Arial"/>
          <w:bCs/>
          <w:sz w:val="24"/>
          <w:szCs w:val="24"/>
        </w:rPr>
        <w:t xml:space="preserve">por tratarse de una controversia suscitada entre un particular y </w:t>
      </w:r>
      <w:r w:rsidRPr="007E7761">
        <w:rPr>
          <w:rFonts w:ascii="Arial" w:hAnsi="Arial" w:cs="Arial"/>
          <w:bCs/>
          <w:sz w:val="24"/>
          <w:szCs w:val="24"/>
        </w:rPr>
        <w:t>una autoridad de esta entidad federativa donde se ejerce jurisdicción.</w:t>
      </w:r>
    </w:p>
    <w:p w:rsidR="00F50EBA" w:rsidRDefault="00F50EBA" w:rsidP="00201B64">
      <w:pPr>
        <w:spacing w:after="0"/>
        <w:ind w:firstLine="708"/>
        <w:jc w:val="both"/>
        <w:rPr>
          <w:rFonts w:ascii="Arial" w:hAnsi="Arial" w:cs="Arial"/>
          <w:sz w:val="24"/>
          <w:szCs w:val="24"/>
        </w:rPr>
      </w:pPr>
      <w:r w:rsidRPr="00CF0F89">
        <w:rPr>
          <w:rFonts w:ascii="Arial" w:hAnsi="Arial" w:cs="Arial"/>
          <w:b/>
          <w:sz w:val="24"/>
          <w:szCs w:val="24"/>
        </w:rPr>
        <w:t xml:space="preserve">SEGUNDO. </w:t>
      </w:r>
      <w:r w:rsidRPr="000464EA">
        <w:rPr>
          <w:rFonts w:ascii="Arial" w:hAnsi="Arial" w:cs="Arial"/>
          <w:b/>
          <w:i/>
          <w:sz w:val="24"/>
          <w:szCs w:val="24"/>
        </w:rPr>
        <w:t>Legitimación de la Partes.</w:t>
      </w:r>
      <w:r w:rsidRPr="00CF0F89">
        <w:rPr>
          <w:rFonts w:ascii="Arial" w:hAnsi="Arial" w:cs="Arial"/>
          <w:b/>
          <w:sz w:val="24"/>
          <w:szCs w:val="24"/>
        </w:rPr>
        <w:t xml:space="preserve"> </w:t>
      </w:r>
      <w:r w:rsidRPr="00CF0F89">
        <w:rPr>
          <w:rFonts w:ascii="Arial" w:hAnsi="Arial" w:cs="Arial"/>
          <w:sz w:val="24"/>
          <w:szCs w:val="24"/>
        </w:rPr>
        <w:t>De acuerdo con lo que precisa el artículo 221 del Código Procesal Administrativo para el Estado de San Luis Potosí, esta Sala Unitaria procede a analizar la legitimación de los comparecientes en este juicio.</w:t>
      </w:r>
    </w:p>
    <w:p w:rsidR="00201B64" w:rsidRPr="00201B64" w:rsidRDefault="00201B64" w:rsidP="00201B64">
      <w:pPr>
        <w:spacing w:after="0"/>
        <w:ind w:firstLine="708"/>
        <w:jc w:val="both"/>
        <w:rPr>
          <w:rFonts w:ascii="Arial" w:hAnsi="Arial" w:cs="Arial"/>
          <w:sz w:val="24"/>
          <w:szCs w:val="24"/>
        </w:rPr>
      </w:pPr>
    </w:p>
    <w:p w:rsidR="00F50EBA" w:rsidRDefault="00F50EBA" w:rsidP="00F50EBA">
      <w:pPr>
        <w:spacing w:after="0"/>
        <w:ind w:firstLine="708"/>
        <w:jc w:val="both"/>
        <w:rPr>
          <w:rFonts w:ascii="Arial" w:hAnsi="Arial" w:cs="Arial"/>
          <w:sz w:val="24"/>
          <w:szCs w:val="24"/>
        </w:rPr>
      </w:pPr>
      <w:r w:rsidRPr="00450C43">
        <w:rPr>
          <w:rFonts w:ascii="Arial" w:eastAsia="Times New Roman" w:hAnsi="Arial" w:cs="Arial"/>
          <w:sz w:val="24"/>
          <w:szCs w:val="24"/>
          <w:lang w:eastAsia="es-ES"/>
        </w:rPr>
        <w:t xml:space="preserve">En tal sentido, </w:t>
      </w:r>
      <w:r w:rsidR="00E14F54" w:rsidRPr="00E14F54">
        <w:rPr>
          <w:rFonts w:ascii="Arial" w:hAnsi="Arial" w:cs="Arial"/>
          <w:sz w:val="24"/>
          <w:szCs w:val="28"/>
        </w:rPr>
        <w:t xml:space="preserve">la personalidad e interés jurídico de la </w:t>
      </w:r>
      <w:r w:rsidR="00E14F54" w:rsidRPr="00201B64">
        <w:rPr>
          <w:rFonts w:ascii="Arial" w:hAnsi="Arial" w:cs="Arial"/>
          <w:color w:val="FF0000"/>
          <w:sz w:val="24"/>
          <w:szCs w:val="28"/>
        </w:rPr>
        <w:t xml:space="preserve">parte actora </w:t>
      </w:r>
      <w:r w:rsidR="00201B64">
        <w:rPr>
          <w:rFonts w:ascii="Arial" w:hAnsi="Arial" w:cs="Arial"/>
          <w:sz w:val="24"/>
          <w:szCs w:val="28"/>
        </w:rPr>
        <w:t>quedó</w:t>
      </w:r>
      <w:r w:rsidR="00E14F54" w:rsidRPr="00E14F54">
        <w:rPr>
          <w:rFonts w:ascii="Arial" w:hAnsi="Arial" w:cs="Arial"/>
          <w:sz w:val="24"/>
          <w:szCs w:val="28"/>
        </w:rPr>
        <w:t xml:space="preserve"> acreditada en términos del artículo 231 del Código Procesal Administrativo para el Estado de San Lu</w:t>
      </w:r>
      <w:r w:rsidR="00E14F54">
        <w:rPr>
          <w:rFonts w:ascii="Arial" w:hAnsi="Arial" w:cs="Arial"/>
          <w:sz w:val="24"/>
          <w:szCs w:val="28"/>
        </w:rPr>
        <w:t xml:space="preserve">is Potosí, visible a </w:t>
      </w:r>
      <w:r w:rsidR="00E14F54" w:rsidRPr="00201B64">
        <w:rPr>
          <w:rFonts w:ascii="Arial" w:hAnsi="Arial" w:cs="Arial"/>
          <w:color w:val="FF0000"/>
          <w:sz w:val="24"/>
          <w:szCs w:val="28"/>
        </w:rPr>
        <w:t xml:space="preserve">fojas </w:t>
      </w:r>
      <w:r w:rsidR="00201B64" w:rsidRPr="00201B64">
        <w:rPr>
          <w:rFonts w:ascii="Arial" w:hAnsi="Arial" w:cs="Arial"/>
          <w:color w:val="FF0000"/>
          <w:sz w:val="24"/>
          <w:szCs w:val="28"/>
        </w:rPr>
        <w:t xml:space="preserve">85 a la 89 </w:t>
      </w:r>
      <w:r w:rsidRPr="00CF0F89">
        <w:rPr>
          <w:rFonts w:ascii="Arial" w:hAnsi="Arial" w:cs="Arial"/>
          <w:sz w:val="24"/>
          <w:szCs w:val="28"/>
        </w:rPr>
        <w:t>del expedi</w:t>
      </w:r>
      <w:r>
        <w:rPr>
          <w:rFonts w:ascii="Arial" w:hAnsi="Arial" w:cs="Arial"/>
          <w:sz w:val="24"/>
          <w:szCs w:val="28"/>
        </w:rPr>
        <w:t xml:space="preserve">ente en el que se actúa, </w:t>
      </w:r>
      <w:r w:rsidR="00201B64" w:rsidRPr="00E14F54">
        <w:rPr>
          <w:rFonts w:ascii="Arial" w:hAnsi="Arial" w:cs="Arial"/>
          <w:sz w:val="24"/>
          <w:szCs w:val="28"/>
        </w:rPr>
        <w:t xml:space="preserve">ya </w:t>
      </w:r>
      <w:r w:rsidR="00201B64">
        <w:rPr>
          <w:rFonts w:ascii="Arial" w:hAnsi="Arial" w:cs="Arial"/>
          <w:sz w:val="24"/>
          <w:szCs w:val="28"/>
        </w:rPr>
        <w:t xml:space="preserve">que está dirigido a su persona, </w:t>
      </w:r>
      <w:r w:rsidRPr="00450C43">
        <w:rPr>
          <w:rFonts w:ascii="Arial" w:eastAsia="Times New Roman" w:hAnsi="Arial" w:cs="Arial"/>
          <w:sz w:val="24"/>
          <w:szCs w:val="24"/>
          <w:lang w:eastAsia="es-ES"/>
        </w:rPr>
        <w:t>de lo que es inconcuso</w:t>
      </w:r>
      <w:r>
        <w:rPr>
          <w:rFonts w:ascii="Arial" w:eastAsia="Times New Roman" w:hAnsi="Arial" w:cs="Arial"/>
          <w:sz w:val="24"/>
          <w:szCs w:val="24"/>
          <w:lang w:eastAsia="es-ES"/>
        </w:rPr>
        <w:t xml:space="preserve"> que</w:t>
      </w:r>
      <w:r w:rsidRPr="00450C43">
        <w:rPr>
          <w:rFonts w:ascii="Arial" w:eastAsia="Times New Roman" w:hAnsi="Arial" w:cs="Arial"/>
          <w:sz w:val="24"/>
          <w:szCs w:val="24"/>
          <w:lang w:eastAsia="es-ES"/>
        </w:rPr>
        <w:t xml:space="preserve"> le afecta su esfera jurídica y le asi</w:t>
      </w:r>
      <w:r w:rsidR="00201B64">
        <w:rPr>
          <w:rFonts w:ascii="Arial" w:eastAsia="Times New Roman" w:hAnsi="Arial" w:cs="Arial"/>
          <w:sz w:val="24"/>
          <w:szCs w:val="24"/>
          <w:lang w:eastAsia="es-ES"/>
        </w:rPr>
        <w:t>ste interés para combatir dicho acto administrativo,</w:t>
      </w:r>
      <w:r w:rsidRPr="00450C43">
        <w:rPr>
          <w:rFonts w:ascii="Arial" w:eastAsia="Times New Roman" w:hAnsi="Arial" w:cs="Arial"/>
          <w:sz w:val="24"/>
          <w:szCs w:val="24"/>
          <w:lang w:eastAsia="es-ES"/>
        </w:rPr>
        <w:t xml:space="preserve"> </w:t>
      </w:r>
      <w:r w:rsidRPr="00450C43">
        <w:rPr>
          <w:rFonts w:ascii="Arial" w:hAnsi="Arial" w:cs="Arial"/>
          <w:bCs/>
          <w:iCs/>
          <w:sz w:val="24"/>
          <w:szCs w:val="24"/>
        </w:rPr>
        <w:t>su</w:t>
      </w:r>
      <w:r w:rsidRPr="00450C43">
        <w:rPr>
          <w:rFonts w:ascii="Arial" w:hAnsi="Arial" w:cs="Arial"/>
          <w:i/>
          <w:sz w:val="24"/>
          <w:szCs w:val="24"/>
        </w:rPr>
        <w:t xml:space="preserve"> </w:t>
      </w:r>
      <w:r w:rsidRPr="00450C43">
        <w:rPr>
          <w:rFonts w:ascii="Arial" w:hAnsi="Arial" w:cs="Arial"/>
          <w:sz w:val="24"/>
          <w:szCs w:val="24"/>
        </w:rPr>
        <w:t>personalidad se encuentra acreditada ya que compareció</w:t>
      </w:r>
      <w:r w:rsidR="00201B64">
        <w:rPr>
          <w:rFonts w:ascii="Arial" w:hAnsi="Arial" w:cs="Arial"/>
          <w:sz w:val="24"/>
          <w:szCs w:val="24"/>
        </w:rPr>
        <w:t xml:space="preserve"> </w:t>
      </w:r>
      <w:r w:rsidR="00201B64" w:rsidRPr="00450C43">
        <w:rPr>
          <w:rFonts w:ascii="Arial" w:hAnsi="Arial" w:cs="Arial"/>
          <w:sz w:val="24"/>
          <w:szCs w:val="24"/>
        </w:rPr>
        <w:t xml:space="preserve">por </w:t>
      </w:r>
      <w:r w:rsidR="00201B64">
        <w:rPr>
          <w:rFonts w:ascii="Arial" w:hAnsi="Arial" w:cs="Arial"/>
          <w:sz w:val="24"/>
          <w:szCs w:val="24"/>
        </w:rPr>
        <w:t>conducto de</w:t>
      </w:r>
      <w:r w:rsidRPr="00450C43">
        <w:rPr>
          <w:rFonts w:ascii="Arial" w:hAnsi="Arial" w:cs="Arial"/>
          <w:sz w:val="24"/>
          <w:szCs w:val="24"/>
        </w:rPr>
        <w:t xml:space="preserve"> </w:t>
      </w:r>
      <w:r w:rsidR="00C507DA">
        <w:rPr>
          <w:rFonts w:ascii="Arial" w:hAnsi="Arial" w:cs="Arial"/>
          <w:color w:val="FF0000"/>
          <w:sz w:val="24"/>
          <w:szCs w:val="24"/>
        </w:rPr>
        <w:t>**********</w:t>
      </w:r>
      <w:r w:rsidR="00201B64" w:rsidRPr="000464EA">
        <w:rPr>
          <w:rFonts w:ascii="Arial" w:hAnsi="Arial" w:cs="Arial"/>
          <w:color w:val="FF0000"/>
          <w:sz w:val="24"/>
          <w:szCs w:val="24"/>
        </w:rPr>
        <w:t xml:space="preserve"> </w:t>
      </w:r>
      <w:r w:rsidR="00201B64">
        <w:rPr>
          <w:rFonts w:ascii="Arial" w:hAnsi="Arial" w:cs="Arial"/>
          <w:sz w:val="24"/>
          <w:szCs w:val="24"/>
        </w:rPr>
        <w:t xml:space="preserve">en su carácter de Apoderada General y Representante Legal, visible a </w:t>
      </w:r>
      <w:r w:rsidR="00201B64" w:rsidRPr="00201B64">
        <w:rPr>
          <w:rFonts w:ascii="Arial" w:hAnsi="Arial" w:cs="Arial"/>
          <w:color w:val="FF0000"/>
          <w:sz w:val="24"/>
          <w:szCs w:val="24"/>
        </w:rPr>
        <w:t>fojas 45 a la 52</w:t>
      </w:r>
      <w:r w:rsidR="00201B64">
        <w:rPr>
          <w:rFonts w:ascii="Arial" w:hAnsi="Arial" w:cs="Arial"/>
          <w:sz w:val="24"/>
          <w:szCs w:val="24"/>
        </w:rPr>
        <w:t>.</w:t>
      </w:r>
    </w:p>
    <w:p w:rsidR="00F50EBA" w:rsidRDefault="00F50EBA" w:rsidP="000464EA">
      <w:pPr>
        <w:spacing w:after="0" w:line="360" w:lineRule="auto"/>
        <w:jc w:val="both"/>
        <w:rPr>
          <w:rFonts w:ascii="Arial" w:eastAsia="Times New Roman" w:hAnsi="Arial" w:cs="Arial"/>
          <w:sz w:val="24"/>
          <w:szCs w:val="28"/>
          <w:lang w:eastAsia="es-ES"/>
        </w:rPr>
      </w:pPr>
    </w:p>
    <w:p w:rsidR="00F50EBA" w:rsidRDefault="00201B64" w:rsidP="00D250F2">
      <w:pPr>
        <w:spacing w:after="0"/>
        <w:ind w:firstLine="708"/>
        <w:jc w:val="both"/>
        <w:rPr>
          <w:rFonts w:ascii="Arial" w:hAnsi="Arial" w:cs="Arial"/>
          <w:sz w:val="24"/>
          <w:szCs w:val="28"/>
        </w:rPr>
      </w:pPr>
      <w:r>
        <w:rPr>
          <w:rFonts w:ascii="Arial" w:hAnsi="Arial" w:cs="Arial"/>
          <w:sz w:val="24"/>
          <w:szCs w:val="28"/>
        </w:rPr>
        <w:t xml:space="preserve">Tocante a la </w:t>
      </w:r>
      <w:r w:rsidRPr="002E17DA">
        <w:rPr>
          <w:rFonts w:ascii="Arial" w:hAnsi="Arial" w:cs="Arial"/>
          <w:color w:val="FF0000"/>
          <w:sz w:val="24"/>
          <w:szCs w:val="28"/>
        </w:rPr>
        <w:t>autoridad demandada</w:t>
      </w:r>
      <w:r>
        <w:rPr>
          <w:rFonts w:ascii="Arial" w:hAnsi="Arial" w:cs="Arial"/>
          <w:sz w:val="24"/>
          <w:szCs w:val="28"/>
        </w:rPr>
        <w:t>; compareció</w:t>
      </w:r>
      <w:r w:rsidR="00F50EBA" w:rsidRPr="00E00A21">
        <w:rPr>
          <w:rFonts w:ascii="Arial" w:hAnsi="Arial" w:cs="Arial"/>
          <w:sz w:val="24"/>
          <w:szCs w:val="28"/>
        </w:rPr>
        <w:t xml:space="preserve"> </w:t>
      </w:r>
      <w:r w:rsidR="00D250F2">
        <w:rPr>
          <w:rFonts w:ascii="Arial" w:hAnsi="Arial" w:cs="Arial"/>
          <w:sz w:val="24"/>
          <w:szCs w:val="28"/>
        </w:rPr>
        <w:t xml:space="preserve">en su representación </w:t>
      </w:r>
      <w:r w:rsidR="00F50EBA" w:rsidRPr="00E00A21">
        <w:rPr>
          <w:rFonts w:ascii="Arial" w:hAnsi="Arial" w:cs="Arial"/>
          <w:sz w:val="24"/>
          <w:szCs w:val="28"/>
        </w:rPr>
        <w:t xml:space="preserve">a dar contestación a la demanda </w:t>
      </w:r>
      <w:r>
        <w:rPr>
          <w:rFonts w:ascii="Arial" w:hAnsi="Arial" w:cs="Arial"/>
          <w:sz w:val="24"/>
          <w:szCs w:val="28"/>
        </w:rPr>
        <w:t>el</w:t>
      </w:r>
      <w:r w:rsidR="00F50EBA" w:rsidRPr="00E00A21">
        <w:rPr>
          <w:rFonts w:ascii="Arial" w:hAnsi="Arial" w:cs="Arial"/>
          <w:sz w:val="24"/>
          <w:szCs w:val="28"/>
        </w:rPr>
        <w:t xml:space="preserve"> </w:t>
      </w:r>
      <w:r>
        <w:rPr>
          <w:rFonts w:ascii="Arial" w:hAnsi="Arial" w:cs="Arial"/>
          <w:sz w:val="24"/>
          <w:szCs w:val="28"/>
        </w:rPr>
        <w:t>Mtro</w:t>
      </w:r>
      <w:r w:rsidR="00F50EBA" w:rsidRPr="00E00A21">
        <w:rPr>
          <w:rFonts w:ascii="Arial" w:hAnsi="Arial" w:cs="Arial"/>
          <w:sz w:val="24"/>
          <w:szCs w:val="28"/>
        </w:rPr>
        <w:t xml:space="preserve">. </w:t>
      </w:r>
      <w:r w:rsidR="00C507DA">
        <w:rPr>
          <w:rFonts w:ascii="Arial" w:hAnsi="Arial" w:cs="Arial"/>
          <w:color w:val="FF0000"/>
          <w:sz w:val="24"/>
          <w:szCs w:val="28"/>
        </w:rPr>
        <w:t>**********</w:t>
      </w:r>
      <w:r w:rsidR="00F50EBA" w:rsidRPr="00E00A21">
        <w:rPr>
          <w:rFonts w:ascii="Arial" w:hAnsi="Arial" w:cs="Arial"/>
          <w:sz w:val="24"/>
          <w:szCs w:val="28"/>
        </w:rPr>
        <w:t xml:space="preserve">, </w:t>
      </w:r>
      <w:proofErr w:type="gramStart"/>
      <w:r w:rsidR="00F50EBA" w:rsidRPr="00E00A21">
        <w:rPr>
          <w:rFonts w:ascii="Arial" w:hAnsi="Arial" w:cs="Arial"/>
          <w:sz w:val="24"/>
          <w:szCs w:val="28"/>
        </w:rPr>
        <w:t>en</w:t>
      </w:r>
      <w:proofErr w:type="gramEnd"/>
      <w:r w:rsidR="00F50EBA" w:rsidRPr="00E00A21">
        <w:rPr>
          <w:rFonts w:ascii="Arial" w:hAnsi="Arial" w:cs="Arial"/>
          <w:sz w:val="24"/>
          <w:szCs w:val="28"/>
        </w:rPr>
        <w:t xml:space="preserve"> su carácter de </w:t>
      </w:r>
      <w:r>
        <w:rPr>
          <w:rFonts w:ascii="Arial" w:hAnsi="Arial" w:cs="Arial"/>
          <w:sz w:val="24"/>
          <w:szCs w:val="28"/>
        </w:rPr>
        <w:t>Procurador Fiscal de la Secretaría de Finanzas del Gobierno del Estado de San Luis Potosí;</w:t>
      </w:r>
      <w:r w:rsidR="00F50EBA" w:rsidRPr="00E00A21">
        <w:rPr>
          <w:rFonts w:ascii="Arial" w:hAnsi="Arial" w:cs="Arial"/>
          <w:sz w:val="24"/>
          <w:szCs w:val="28"/>
        </w:rPr>
        <w:t xml:space="preserve"> </w:t>
      </w:r>
      <w:r>
        <w:rPr>
          <w:rFonts w:ascii="Arial" w:hAnsi="Arial" w:cs="Arial"/>
          <w:sz w:val="24"/>
          <w:szCs w:val="28"/>
        </w:rPr>
        <w:t>quien</w:t>
      </w:r>
      <w:r w:rsidR="00F50EBA" w:rsidRPr="00E00A21">
        <w:rPr>
          <w:rFonts w:ascii="Arial" w:hAnsi="Arial" w:cs="Arial"/>
          <w:sz w:val="24"/>
          <w:szCs w:val="28"/>
        </w:rPr>
        <w:t xml:space="preserve"> para acreditar su calidad de cargo, en términos de lo previsto en el artículo 220 del Código Procesal Administrativo para el Estad</w:t>
      </w:r>
      <w:r>
        <w:rPr>
          <w:rFonts w:ascii="Arial" w:hAnsi="Arial" w:cs="Arial"/>
          <w:sz w:val="24"/>
          <w:szCs w:val="28"/>
        </w:rPr>
        <w:t>o de San Luis Potosí, exhibió</w:t>
      </w:r>
      <w:r w:rsidR="00F50EBA" w:rsidRPr="00E00A21">
        <w:rPr>
          <w:rFonts w:ascii="Arial" w:hAnsi="Arial" w:cs="Arial"/>
          <w:sz w:val="24"/>
          <w:szCs w:val="28"/>
        </w:rPr>
        <w:t xml:space="preserve"> copia cert</w:t>
      </w:r>
      <w:r w:rsidR="002E17DA">
        <w:rPr>
          <w:rFonts w:ascii="Arial" w:hAnsi="Arial" w:cs="Arial"/>
          <w:sz w:val="24"/>
          <w:szCs w:val="28"/>
        </w:rPr>
        <w:t>ificada del nombramiento que le</w:t>
      </w:r>
      <w:r w:rsidR="00F50EBA" w:rsidRPr="00E00A21">
        <w:rPr>
          <w:rFonts w:ascii="Arial" w:hAnsi="Arial" w:cs="Arial"/>
          <w:sz w:val="24"/>
          <w:szCs w:val="28"/>
        </w:rPr>
        <w:t xml:space="preserve"> fue expedido y que se encuentra</w:t>
      </w:r>
      <w:r w:rsidR="002E17DA">
        <w:rPr>
          <w:rFonts w:ascii="Arial" w:hAnsi="Arial" w:cs="Arial"/>
          <w:sz w:val="24"/>
          <w:szCs w:val="28"/>
        </w:rPr>
        <w:t xml:space="preserve"> visible </w:t>
      </w:r>
      <w:r w:rsidR="00F50EBA" w:rsidRPr="00E00A21">
        <w:rPr>
          <w:rFonts w:ascii="Arial" w:hAnsi="Arial" w:cs="Arial"/>
          <w:sz w:val="24"/>
          <w:szCs w:val="28"/>
        </w:rPr>
        <w:t xml:space="preserve">en </w:t>
      </w:r>
      <w:r w:rsidR="00F50EBA" w:rsidRPr="002E17DA">
        <w:rPr>
          <w:rFonts w:ascii="Arial" w:hAnsi="Arial" w:cs="Arial"/>
          <w:color w:val="FF0000"/>
          <w:sz w:val="24"/>
          <w:szCs w:val="28"/>
        </w:rPr>
        <w:t xml:space="preserve">fojas </w:t>
      </w:r>
      <w:r w:rsidR="002E17DA" w:rsidRPr="002E17DA">
        <w:rPr>
          <w:rFonts w:ascii="Arial" w:hAnsi="Arial" w:cs="Arial"/>
          <w:color w:val="FF0000"/>
          <w:sz w:val="24"/>
          <w:szCs w:val="28"/>
        </w:rPr>
        <w:t>83 y 8</w:t>
      </w:r>
      <w:r w:rsidR="00F50EBA" w:rsidRPr="002E17DA">
        <w:rPr>
          <w:rFonts w:ascii="Arial" w:hAnsi="Arial" w:cs="Arial"/>
          <w:color w:val="FF0000"/>
          <w:sz w:val="24"/>
          <w:szCs w:val="28"/>
        </w:rPr>
        <w:t>4</w:t>
      </w:r>
      <w:r w:rsidR="00F50EBA">
        <w:rPr>
          <w:rFonts w:ascii="Arial" w:hAnsi="Arial" w:cs="Arial"/>
          <w:sz w:val="24"/>
          <w:szCs w:val="28"/>
        </w:rPr>
        <w:t xml:space="preserve"> </w:t>
      </w:r>
      <w:r w:rsidR="00F50EBA" w:rsidRPr="00E00A21">
        <w:rPr>
          <w:rFonts w:ascii="Arial" w:hAnsi="Arial" w:cs="Arial"/>
          <w:sz w:val="24"/>
          <w:szCs w:val="28"/>
        </w:rPr>
        <w:t>respectivamente del expediente en que se actúa.</w:t>
      </w:r>
    </w:p>
    <w:p w:rsidR="00C507DA" w:rsidRPr="00E00A21" w:rsidRDefault="00C507DA" w:rsidP="00D250F2">
      <w:pPr>
        <w:spacing w:after="0"/>
        <w:ind w:firstLine="708"/>
        <w:jc w:val="both"/>
        <w:rPr>
          <w:rFonts w:ascii="Arial" w:hAnsi="Arial" w:cs="Arial"/>
          <w:sz w:val="24"/>
          <w:szCs w:val="28"/>
        </w:rPr>
      </w:pPr>
    </w:p>
    <w:p w:rsidR="00F50EBA" w:rsidRPr="0093185F" w:rsidRDefault="00F50EBA" w:rsidP="000246AB">
      <w:pPr>
        <w:spacing w:after="0" w:line="360" w:lineRule="auto"/>
        <w:jc w:val="both"/>
        <w:rPr>
          <w:rFonts w:ascii="Arial" w:hAnsi="Arial" w:cs="Arial"/>
          <w:sz w:val="24"/>
          <w:szCs w:val="24"/>
        </w:rPr>
      </w:pPr>
      <w:r w:rsidRPr="0093185F">
        <w:rPr>
          <w:rFonts w:ascii="Arial" w:hAnsi="Arial" w:cs="Arial"/>
          <w:sz w:val="24"/>
          <w:szCs w:val="24"/>
        </w:rPr>
        <w:t>Las documentales en referencia adquieren valor probatorio  pleno, con apoyo legal en los artículos 72 fracción I y 75 del Código Procesal Administrativo para el Estado de San Luis Potosí.</w:t>
      </w:r>
    </w:p>
    <w:p w:rsidR="00F50EBA" w:rsidRDefault="00C507DA" w:rsidP="00F50EBA">
      <w:pPr>
        <w:spacing w:after="0" w:line="360" w:lineRule="auto"/>
        <w:ind w:firstLine="708"/>
        <w:jc w:val="both"/>
        <w:rPr>
          <w:rFonts w:ascii="Arial" w:hAnsi="Arial" w:cs="Arial"/>
          <w:sz w:val="28"/>
          <w:szCs w:val="28"/>
        </w:rPr>
      </w:pPr>
      <w:r>
        <w:rPr>
          <w:rFonts w:ascii="Arial" w:hAnsi="Arial" w:cs="Arial"/>
          <w:noProof/>
          <w:sz w:val="24"/>
          <w:szCs w:val="24"/>
          <w:lang w:eastAsia="es-MX"/>
        </w:rPr>
        <w:lastRenderedPageBreak/>
        <w:drawing>
          <wp:anchor distT="0" distB="0" distL="114300" distR="114300" simplePos="0" relativeHeight="251659264" behindDoc="1" locked="0" layoutInCell="1" allowOverlap="1" wp14:anchorId="1F2979D6" wp14:editId="1533D87E">
            <wp:simplePos x="0" y="0"/>
            <wp:positionH relativeFrom="leftMargin">
              <wp:posOffset>76377</wp:posOffset>
            </wp:positionH>
            <wp:positionV relativeFrom="paragraph">
              <wp:posOffset>380793</wp:posOffset>
            </wp:positionV>
            <wp:extent cx="1584960" cy="25971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p>
    <w:p w:rsidR="00E14F54" w:rsidRPr="00E14F54" w:rsidRDefault="00E14F54" w:rsidP="00E14F54">
      <w:pPr>
        <w:spacing w:after="0"/>
        <w:ind w:firstLine="708"/>
        <w:jc w:val="both"/>
        <w:rPr>
          <w:rFonts w:ascii="Arial" w:hAnsi="Arial" w:cs="Arial"/>
          <w:sz w:val="24"/>
          <w:szCs w:val="24"/>
        </w:rPr>
      </w:pPr>
      <w:r>
        <w:rPr>
          <w:rFonts w:ascii="Arial" w:hAnsi="Arial" w:cs="Arial"/>
          <w:b/>
          <w:sz w:val="24"/>
          <w:szCs w:val="24"/>
        </w:rPr>
        <w:t>TERCERO.</w:t>
      </w:r>
      <w:r w:rsidR="00F50EBA" w:rsidRPr="0093185F">
        <w:rPr>
          <w:rFonts w:ascii="Arial" w:hAnsi="Arial" w:cs="Arial"/>
          <w:b/>
          <w:sz w:val="24"/>
          <w:szCs w:val="24"/>
        </w:rPr>
        <w:t xml:space="preserve"> </w:t>
      </w:r>
      <w:r w:rsidRPr="000464EA">
        <w:rPr>
          <w:rFonts w:ascii="Arial" w:hAnsi="Arial" w:cs="Arial"/>
          <w:b/>
          <w:i/>
          <w:sz w:val="24"/>
          <w:szCs w:val="24"/>
        </w:rPr>
        <w:t>Existencia del acto</w:t>
      </w:r>
      <w:r w:rsidR="00D250F2">
        <w:rPr>
          <w:rFonts w:ascii="Arial" w:hAnsi="Arial" w:cs="Arial"/>
          <w:b/>
          <w:i/>
          <w:sz w:val="24"/>
          <w:szCs w:val="24"/>
        </w:rPr>
        <w:t xml:space="preserve"> impugnado</w:t>
      </w:r>
      <w:r w:rsidRPr="000464EA">
        <w:rPr>
          <w:rFonts w:ascii="Arial" w:hAnsi="Arial" w:cs="Arial"/>
          <w:b/>
          <w:i/>
          <w:sz w:val="24"/>
          <w:szCs w:val="24"/>
        </w:rPr>
        <w:t>.</w:t>
      </w:r>
      <w:r w:rsidRPr="00E14F54">
        <w:rPr>
          <w:rFonts w:ascii="Arial" w:hAnsi="Arial" w:cs="Arial"/>
          <w:sz w:val="24"/>
          <w:szCs w:val="24"/>
        </w:rPr>
        <w:t xml:space="preserve"> El acto materia de impugnación lo constituye </w:t>
      </w:r>
      <w:r w:rsidR="00D250F2">
        <w:rPr>
          <w:rFonts w:ascii="Arial" w:hAnsi="Arial" w:cs="Arial"/>
          <w:sz w:val="24"/>
          <w:szCs w:val="24"/>
        </w:rPr>
        <w:t xml:space="preserve">el </w:t>
      </w:r>
      <w:r w:rsidRPr="00E14F54">
        <w:rPr>
          <w:rFonts w:ascii="Arial" w:hAnsi="Arial" w:cs="Arial"/>
          <w:sz w:val="24"/>
          <w:szCs w:val="24"/>
        </w:rPr>
        <w:t>“</w:t>
      </w:r>
      <w:r w:rsidR="00D250F2" w:rsidRPr="00D250F2">
        <w:rPr>
          <w:rFonts w:ascii="Arial" w:hAnsi="Arial" w:cs="Arial"/>
          <w:i/>
          <w:color w:val="FF0000"/>
          <w:sz w:val="24"/>
          <w:szCs w:val="24"/>
        </w:rPr>
        <w:t xml:space="preserve">mandamiento de ejecución número </w:t>
      </w:r>
      <w:r w:rsidR="00C507DA">
        <w:rPr>
          <w:rFonts w:ascii="Arial" w:hAnsi="Arial" w:cs="Arial"/>
          <w:i/>
          <w:color w:val="FF0000"/>
          <w:sz w:val="24"/>
          <w:szCs w:val="24"/>
        </w:rPr>
        <w:t>**********</w:t>
      </w:r>
      <w:r w:rsidRPr="00E14F54">
        <w:rPr>
          <w:rFonts w:ascii="Arial" w:hAnsi="Arial" w:cs="Arial"/>
          <w:sz w:val="24"/>
          <w:szCs w:val="24"/>
        </w:rPr>
        <w:t>”</w:t>
      </w:r>
      <w:r w:rsidR="00D250F2">
        <w:rPr>
          <w:rFonts w:ascii="Arial" w:hAnsi="Arial" w:cs="Arial"/>
          <w:sz w:val="24"/>
          <w:szCs w:val="24"/>
        </w:rPr>
        <w:t>, de fecha cinco de junio de dos mil veinticinco,</w:t>
      </w:r>
      <w:r w:rsidRPr="00E14F54">
        <w:rPr>
          <w:rFonts w:ascii="Arial" w:hAnsi="Arial" w:cs="Arial"/>
          <w:sz w:val="24"/>
          <w:szCs w:val="24"/>
        </w:rPr>
        <w:t xml:space="preserve"> el cual quedó acreditado plenamente con la </w:t>
      </w:r>
      <w:r w:rsidR="00D250F2">
        <w:rPr>
          <w:rFonts w:ascii="Arial" w:hAnsi="Arial" w:cs="Arial"/>
          <w:sz w:val="24"/>
          <w:szCs w:val="24"/>
        </w:rPr>
        <w:t>copia certificada agregada por la autoridad demandada</w:t>
      </w:r>
      <w:r w:rsidRPr="00E14F54">
        <w:rPr>
          <w:rFonts w:ascii="Arial" w:hAnsi="Arial" w:cs="Arial"/>
          <w:sz w:val="24"/>
          <w:szCs w:val="24"/>
        </w:rPr>
        <w:t xml:space="preserve">, visible </w:t>
      </w:r>
      <w:r w:rsidR="00D250F2">
        <w:rPr>
          <w:rFonts w:ascii="Arial" w:hAnsi="Arial" w:cs="Arial"/>
          <w:sz w:val="24"/>
          <w:szCs w:val="24"/>
        </w:rPr>
        <w:t xml:space="preserve">a </w:t>
      </w:r>
      <w:r w:rsidR="00D250F2" w:rsidRPr="00D250F2">
        <w:rPr>
          <w:rFonts w:ascii="Arial" w:hAnsi="Arial" w:cs="Arial"/>
          <w:color w:val="FF0000"/>
          <w:sz w:val="24"/>
          <w:szCs w:val="24"/>
        </w:rPr>
        <w:t>foja 87</w:t>
      </w:r>
      <w:r w:rsidR="00D250F2">
        <w:rPr>
          <w:rFonts w:ascii="Arial" w:hAnsi="Arial" w:cs="Arial"/>
          <w:sz w:val="24"/>
          <w:szCs w:val="24"/>
        </w:rPr>
        <w:t xml:space="preserve">, a </w:t>
      </w:r>
      <w:r w:rsidRPr="00E14F54">
        <w:rPr>
          <w:rFonts w:ascii="Arial" w:hAnsi="Arial" w:cs="Arial"/>
          <w:sz w:val="24"/>
          <w:szCs w:val="24"/>
        </w:rPr>
        <w:t>l</w:t>
      </w:r>
      <w:r w:rsidR="00D250F2">
        <w:rPr>
          <w:rFonts w:ascii="Arial" w:hAnsi="Arial" w:cs="Arial"/>
          <w:sz w:val="24"/>
          <w:szCs w:val="24"/>
        </w:rPr>
        <w:t>a</w:t>
      </w:r>
      <w:r w:rsidRPr="00E14F54">
        <w:rPr>
          <w:rFonts w:ascii="Arial" w:hAnsi="Arial" w:cs="Arial"/>
          <w:sz w:val="24"/>
          <w:szCs w:val="24"/>
        </w:rPr>
        <w:t xml:space="preserve"> que se le da valor probatorio pleno acorde con lo dispuesto en  que artículos 72, fracción I, 74 y 91 del Código Procesal Administrativo </w:t>
      </w:r>
      <w:r w:rsidR="00D250F2">
        <w:rPr>
          <w:rFonts w:ascii="Arial" w:hAnsi="Arial" w:cs="Arial"/>
          <w:sz w:val="24"/>
          <w:szCs w:val="24"/>
        </w:rPr>
        <w:t xml:space="preserve">del Estado de San Luis Potosí, </w:t>
      </w:r>
      <w:r w:rsidR="00D250F2">
        <w:rPr>
          <w:rFonts w:ascii="Arial" w:hAnsi="Arial" w:cs="Arial"/>
          <w:bCs/>
          <w:iCs/>
          <w:sz w:val="24"/>
          <w:szCs w:val="24"/>
        </w:rPr>
        <w:t xml:space="preserve">toda vez que </w:t>
      </w:r>
      <w:r w:rsidR="00D250F2" w:rsidRPr="00DA5CFC">
        <w:rPr>
          <w:rFonts w:ascii="Arial" w:hAnsi="Arial" w:cs="Arial"/>
          <w:bCs/>
          <w:iCs/>
          <w:sz w:val="24"/>
          <w:szCs w:val="24"/>
        </w:rPr>
        <w:t>se trata de</w:t>
      </w:r>
      <w:r w:rsidR="00D250F2">
        <w:rPr>
          <w:rFonts w:ascii="Arial" w:hAnsi="Arial" w:cs="Arial"/>
          <w:bCs/>
          <w:iCs/>
          <w:sz w:val="24"/>
          <w:szCs w:val="24"/>
        </w:rPr>
        <w:t xml:space="preserve"> un</w:t>
      </w:r>
      <w:r w:rsidR="00D250F2" w:rsidRPr="00DA5CFC">
        <w:rPr>
          <w:rFonts w:ascii="Arial" w:hAnsi="Arial" w:cs="Arial"/>
          <w:bCs/>
          <w:iCs/>
          <w:sz w:val="24"/>
          <w:szCs w:val="24"/>
        </w:rPr>
        <w:t xml:space="preserve"> documento</w:t>
      </w:r>
      <w:r w:rsidR="00D250F2">
        <w:rPr>
          <w:rFonts w:ascii="Arial" w:hAnsi="Arial" w:cs="Arial"/>
          <w:bCs/>
          <w:iCs/>
          <w:sz w:val="24"/>
          <w:szCs w:val="24"/>
        </w:rPr>
        <w:t xml:space="preserve"> público </w:t>
      </w:r>
      <w:r w:rsidR="00D250F2" w:rsidRPr="00DA5CFC">
        <w:rPr>
          <w:rFonts w:ascii="Arial" w:hAnsi="Arial" w:cs="Arial"/>
          <w:bCs/>
          <w:iCs/>
          <w:sz w:val="24"/>
          <w:szCs w:val="24"/>
        </w:rPr>
        <w:t>emitido por una autoridad en el ejercicio de sus atribuciones legales.</w:t>
      </w:r>
    </w:p>
    <w:p w:rsidR="00E14F54" w:rsidRPr="00E14F54" w:rsidRDefault="00E14F54" w:rsidP="00E14F54">
      <w:pPr>
        <w:spacing w:after="0"/>
        <w:ind w:firstLine="708"/>
        <w:jc w:val="both"/>
        <w:rPr>
          <w:rFonts w:ascii="Arial" w:hAnsi="Arial" w:cs="Arial"/>
          <w:sz w:val="24"/>
          <w:szCs w:val="24"/>
        </w:rPr>
      </w:pPr>
    </w:p>
    <w:p w:rsidR="00E14F54" w:rsidRPr="00E14F54" w:rsidRDefault="00E14F54" w:rsidP="00E14F54">
      <w:pPr>
        <w:spacing w:after="0"/>
        <w:ind w:firstLine="708"/>
        <w:jc w:val="both"/>
        <w:rPr>
          <w:rFonts w:ascii="Arial" w:hAnsi="Arial" w:cs="Arial"/>
          <w:sz w:val="24"/>
          <w:szCs w:val="24"/>
        </w:rPr>
      </w:pPr>
      <w:r w:rsidRPr="00E14F54">
        <w:rPr>
          <w:rFonts w:ascii="Arial" w:hAnsi="Arial" w:cs="Arial"/>
          <w:sz w:val="24"/>
          <w:szCs w:val="24"/>
        </w:rPr>
        <w:t xml:space="preserve">En este momento cabe precisar que la Litis en este juicio se delimita en determinar la legalidad o ilegalidad del </w:t>
      </w:r>
      <w:r w:rsidR="00D250F2">
        <w:rPr>
          <w:rFonts w:ascii="Arial" w:hAnsi="Arial" w:cs="Arial"/>
          <w:sz w:val="24"/>
          <w:szCs w:val="24"/>
        </w:rPr>
        <w:t>mandamiento de ejecución</w:t>
      </w:r>
      <w:r w:rsidRPr="00E14F54">
        <w:rPr>
          <w:rFonts w:ascii="Arial" w:hAnsi="Arial" w:cs="Arial"/>
          <w:sz w:val="24"/>
          <w:szCs w:val="24"/>
        </w:rPr>
        <w:t xml:space="preserve"> referido con antelación.</w:t>
      </w:r>
    </w:p>
    <w:p w:rsidR="0050787F" w:rsidRDefault="0050787F" w:rsidP="00D250F2">
      <w:pPr>
        <w:spacing w:after="0"/>
        <w:jc w:val="both"/>
        <w:rPr>
          <w:rFonts w:ascii="Arial" w:hAnsi="Arial" w:cs="Arial"/>
          <w:bCs/>
          <w:iCs/>
          <w:sz w:val="24"/>
          <w:szCs w:val="24"/>
        </w:rPr>
      </w:pPr>
    </w:p>
    <w:p w:rsidR="00D250F2" w:rsidRDefault="00F50EBA" w:rsidP="0050787F">
      <w:pPr>
        <w:spacing w:after="0"/>
        <w:ind w:firstLine="708"/>
        <w:jc w:val="both"/>
        <w:rPr>
          <w:rFonts w:ascii="Arial" w:hAnsi="Arial" w:cs="Arial"/>
          <w:bCs/>
          <w:iCs/>
          <w:sz w:val="24"/>
          <w:szCs w:val="24"/>
        </w:rPr>
      </w:pPr>
      <w:r w:rsidRPr="00DA5CFC">
        <w:rPr>
          <w:rFonts w:ascii="Arial" w:hAnsi="Arial" w:cs="Arial"/>
          <w:b/>
          <w:bCs/>
          <w:iCs/>
          <w:sz w:val="24"/>
          <w:szCs w:val="24"/>
        </w:rPr>
        <w:t xml:space="preserve">CUARTO. </w:t>
      </w:r>
      <w:r w:rsidR="0020458D" w:rsidRPr="0020458D">
        <w:rPr>
          <w:rFonts w:ascii="Arial" w:hAnsi="Arial" w:cs="Arial"/>
          <w:b/>
          <w:bCs/>
          <w:i/>
          <w:iCs/>
          <w:sz w:val="24"/>
          <w:szCs w:val="24"/>
        </w:rPr>
        <w:t>Causales de i</w:t>
      </w:r>
      <w:r w:rsidRPr="0020458D">
        <w:rPr>
          <w:rFonts w:ascii="Arial" w:hAnsi="Arial" w:cs="Arial"/>
          <w:b/>
          <w:bCs/>
          <w:i/>
          <w:iCs/>
          <w:sz w:val="24"/>
          <w:szCs w:val="24"/>
        </w:rPr>
        <w:t>mprocedencia</w:t>
      </w:r>
      <w:r w:rsidRPr="00DA5CFC">
        <w:rPr>
          <w:rFonts w:ascii="Arial" w:hAnsi="Arial" w:cs="Arial"/>
          <w:b/>
          <w:bCs/>
          <w:iCs/>
          <w:sz w:val="24"/>
          <w:szCs w:val="24"/>
        </w:rPr>
        <w:t>.</w:t>
      </w:r>
      <w:r w:rsidR="0020458D">
        <w:rPr>
          <w:rFonts w:ascii="Arial" w:hAnsi="Arial" w:cs="Arial"/>
          <w:b/>
          <w:bCs/>
          <w:iCs/>
          <w:sz w:val="24"/>
          <w:szCs w:val="24"/>
        </w:rPr>
        <w:t xml:space="preserve"> </w:t>
      </w:r>
      <w:r w:rsidR="0020458D" w:rsidRPr="0020458D">
        <w:rPr>
          <w:rFonts w:ascii="Arial" w:hAnsi="Arial" w:cs="Arial"/>
          <w:bCs/>
          <w:iCs/>
          <w:sz w:val="24"/>
          <w:szCs w:val="24"/>
        </w:rPr>
        <w:t>Sea que las partes lo aleguen o no, en el presente asunto se procede analizar si en el caso opera alguna causa de improcedencia o sobreseimiento, por tratarse de una cuestión de orden público, conforme a lo previsto en el último párrafo de los artículos, 228 y 229 del Código Procesal Administrativo para el Estado de San Luis Potosí.</w:t>
      </w:r>
    </w:p>
    <w:p w:rsidR="0020458D" w:rsidRDefault="0020458D" w:rsidP="0050787F">
      <w:pPr>
        <w:spacing w:after="0"/>
        <w:ind w:firstLine="708"/>
        <w:jc w:val="both"/>
        <w:rPr>
          <w:rFonts w:ascii="Arial" w:hAnsi="Arial" w:cs="Arial"/>
          <w:bCs/>
          <w:iCs/>
          <w:sz w:val="24"/>
          <w:szCs w:val="24"/>
        </w:rPr>
      </w:pPr>
    </w:p>
    <w:p w:rsidR="000124FF" w:rsidRDefault="0020458D" w:rsidP="0020458D">
      <w:pPr>
        <w:spacing w:after="0"/>
        <w:ind w:firstLine="708"/>
        <w:jc w:val="both"/>
        <w:rPr>
          <w:rFonts w:ascii="Arial" w:hAnsi="Arial" w:cs="Arial"/>
          <w:bCs/>
          <w:iCs/>
          <w:sz w:val="24"/>
          <w:szCs w:val="20"/>
        </w:rPr>
      </w:pPr>
      <w:r w:rsidRPr="0076760F">
        <w:rPr>
          <w:rFonts w:ascii="Arial" w:hAnsi="Arial" w:cs="Arial"/>
          <w:bCs/>
          <w:iCs/>
          <w:sz w:val="24"/>
          <w:szCs w:val="20"/>
        </w:rPr>
        <w:t>En ese tenor, se desprende que la enjuiciada establece en su contestación,</w:t>
      </w:r>
      <w:r>
        <w:rPr>
          <w:rFonts w:ascii="Arial" w:hAnsi="Arial" w:cs="Arial"/>
          <w:bCs/>
          <w:iCs/>
          <w:sz w:val="24"/>
          <w:szCs w:val="20"/>
        </w:rPr>
        <w:t xml:space="preserve"> </w:t>
      </w:r>
      <w:r w:rsidRPr="0076760F">
        <w:rPr>
          <w:rFonts w:ascii="Arial" w:hAnsi="Arial" w:cs="Arial"/>
          <w:bCs/>
          <w:iCs/>
          <w:sz w:val="24"/>
          <w:szCs w:val="20"/>
        </w:rPr>
        <w:t>en</w:t>
      </w:r>
      <w:r>
        <w:rPr>
          <w:rFonts w:ascii="Arial" w:hAnsi="Arial" w:cs="Arial"/>
          <w:bCs/>
          <w:iCs/>
          <w:sz w:val="24"/>
          <w:szCs w:val="20"/>
        </w:rPr>
        <w:t xml:space="preserve"> lo relativo a la</w:t>
      </w:r>
      <w:r w:rsidRPr="0076760F">
        <w:rPr>
          <w:rFonts w:ascii="Arial" w:hAnsi="Arial" w:cs="Arial"/>
          <w:bCs/>
          <w:iCs/>
          <w:sz w:val="24"/>
          <w:szCs w:val="20"/>
        </w:rPr>
        <w:t xml:space="preserve"> improcedencia,</w:t>
      </w:r>
      <w:r>
        <w:rPr>
          <w:rFonts w:ascii="Arial" w:hAnsi="Arial" w:cs="Arial"/>
          <w:bCs/>
          <w:iCs/>
          <w:sz w:val="24"/>
          <w:szCs w:val="20"/>
        </w:rPr>
        <w:t xml:space="preserve"> que el acto impugnado fue dirigido y practicado sobre </w:t>
      </w:r>
      <w:r w:rsidR="00C507DA">
        <w:rPr>
          <w:rFonts w:ascii="Arial" w:hAnsi="Arial" w:cs="Arial"/>
          <w:bCs/>
          <w:iCs/>
          <w:color w:val="FF0000"/>
          <w:sz w:val="24"/>
          <w:szCs w:val="20"/>
        </w:rPr>
        <w:t>**********</w:t>
      </w:r>
      <w:r>
        <w:rPr>
          <w:rFonts w:ascii="Arial" w:hAnsi="Arial" w:cs="Arial"/>
          <w:bCs/>
          <w:iCs/>
          <w:sz w:val="24"/>
          <w:szCs w:val="20"/>
        </w:rPr>
        <w:t xml:space="preserve">, y no a la </w:t>
      </w:r>
      <w:r w:rsidR="00C507DA">
        <w:rPr>
          <w:rFonts w:ascii="Arial" w:hAnsi="Arial" w:cs="Arial"/>
          <w:bCs/>
          <w:iCs/>
          <w:color w:val="FF0000"/>
          <w:sz w:val="24"/>
          <w:szCs w:val="20"/>
        </w:rPr>
        <w:t>**********</w:t>
      </w:r>
      <w:r>
        <w:rPr>
          <w:rFonts w:ascii="Arial" w:hAnsi="Arial" w:cs="Arial"/>
          <w:bCs/>
          <w:iCs/>
          <w:sz w:val="24"/>
          <w:szCs w:val="20"/>
        </w:rPr>
        <w:t>,</w:t>
      </w:r>
      <w:r w:rsidR="000124FF">
        <w:rPr>
          <w:rFonts w:ascii="Arial" w:hAnsi="Arial" w:cs="Arial"/>
          <w:bCs/>
          <w:iCs/>
          <w:sz w:val="24"/>
          <w:szCs w:val="20"/>
        </w:rPr>
        <w:t xml:space="preserve"> alegando que dicho acto no afecta los intereses jurídicos de ésta última, </w:t>
      </w:r>
      <w:r w:rsidR="000124FF" w:rsidRPr="0076760F">
        <w:rPr>
          <w:rFonts w:ascii="Arial" w:hAnsi="Arial" w:cs="Arial"/>
          <w:bCs/>
          <w:iCs/>
          <w:sz w:val="24"/>
          <w:szCs w:val="20"/>
        </w:rPr>
        <w:t>empero del análisis efectuado al mismo,</w:t>
      </w:r>
      <w:r w:rsidR="000124FF">
        <w:rPr>
          <w:rFonts w:ascii="Arial" w:hAnsi="Arial" w:cs="Arial"/>
          <w:bCs/>
          <w:iCs/>
          <w:sz w:val="24"/>
          <w:szCs w:val="20"/>
        </w:rPr>
        <w:t xml:space="preserve"> se desprende que el acto impugnado sí afecta los intereses de la actora.</w:t>
      </w:r>
    </w:p>
    <w:p w:rsidR="000124FF" w:rsidRDefault="000124FF" w:rsidP="0020458D">
      <w:pPr>
        <w:spacing w:after="0"/>
        <w:ind w:firstLine="708"/>
        <w:jc w:val="both"/>
        <w:rPr>
          <w:rFonts w:ascii="Arial" w:hAnsi="Arial" w:cs="Arial"/>
          <w:bCs/>
          <w:iCs/>
          <w:sz w:val="24"/>
          <w:szCs w:val="20"/>
        </w:rPr>
      </w:pPr>
    </w:p>
    <w:p w:rsidR="0020458D" w:rsidRDefault="000124FF" w:rsidP="0020458D">
      <w:pPr>
        <w:spacing w:after="0"/>
        <w:ind w:firstLine="708"/>
        <w:jc w:val="both"/>
        <w:rPr>
          <w:rFonts w:ascii="Arial" w:hAnsi="Arial" w:cs="Arial"/>
          <w:bCs/>
          <w:iCs/>
          <w:sz w:val="24"/>
          <w:szCs w:val="20"/>
        </w:rPr>
      </w:pPr>
      <w:r>
        <w:rPr>
          <w:rFonts w:ascii="Arial" w:hAnsi="Arial" w:cs="Arial"/>
          <w:bCs/>
          <w:iCs/>
          <w:sz w:val="24"/>
          <w:szCs w:val="20"/>
        </w:rPr>
        <w:t xml:space="preserve">Lo anterior es así, ya que del </w:t>
      </w:r>
      <w:r w:rsidRPr="008E10B1">
        <w:rPr>
          <w:rFonts w:ascii="Arial" w:hAnsi="Arial" w:cs="Arial"/>
          <w:bCs/>
          <w:iCs/>
          <w:color w:val="FF0000"/>
          <w:sz w:val="24"/>
          <w:szCs w:val="20"/>
        </w:rPr>
        <w:t xml:space="preserve">oficio </w:t>
      </w:r>
      <w:r w:rsidR="00E46735" w:rsidRPr="00E46735">
        <w:rPr>
          <w:rFonts w:ascii="Arial" w:hAnsi="Arial" w:cs="Arial"/>
          <w:bCs/>
          <w:iCs/>
          <w:color w:val="FF0000"/>
          <w:sz w:val="24"/>
          <w:szCs w:val="20"/>
        </w:rPr>
        <w:t>**********</w:t>
      </w:r>
      <w:r w:rsidRPr="00E46735">
        <w:rPr>
          <w:rFonts w:ascii="Arial" w:hAnsi="Arial" w:cs="Arial"/>
          <w:bCs/>
          <w:iCs/>
          <w:color w:val="FF0000"/>
          <w:sz w:val="24"/>
          <w:szCs w:val="20"/>
        </w:rPr>
        <w:t xml:space="preserve"> </w:t>
      </w:r>
      <w:r>
        <w:rPr>
          <w:rFonts w:ascii="Arial" w:hAnsi="Arial" w:cs="Arial"/>
          <w:bCs/>
          <w:iCs/>
          <w:sz w:val="24"/>
          <w:szCs w:val="20"/>
        </w:rPr>
        <w:t>de fecha veintitrés de mayo de dos mil veinticinco, signado por la Secretario de Acuerdos del Juzgado Cuarto Mercantil, se señ</w:t>
      </w:r>
      <w:r w:rsidR="007F7DA9">
        <w:rPr>
          <w:rFonts w:ascii="Arial" w:hAnsi="Arial" w:cs="Arial"/>
          <w:bCs/>
          <w:iCs/>
          <w:sz w:val="24"/>
          <w:szCs w:val="20"/>
        </w:rPr>
        <w:t xml:space="preserve">ala que derivado de un desacato a un mandamiento judicial se le impuso una multa al </w:t>
      </w:r>
      <w:r w:rsidR="007F7DA9" w:rsidRPr="00922A0D">
        <w:rPr>
          <w:rFonts w:ascii="Arial" w:hAnsi="Arial" w:cs="Arial"/>
          <w:bCs/>
          <w:i/>
          <w:iCs/>
          <w:sz w:val="20"/>
          <w:szCs w:val="20"/>
        </w:rPr>
        <w:t xml:space="preserve">“MAESTRO EN DERECHO </w:t>
      </w:r>
      <w:r w:rsidR="00C507DA" w:rsidRPr="00C507DA">
        <w:rPr>
          <w:rFonts w:ascii="Arial" w:hAnsi="Arial" w:cs="Arial"/>
          <w:bCs/>
          <w:i/>
          <w:iCs/>
          <w:color w:val="FF0000"/>
          <w:sz w:val="20"/>
          <w:szCs w:val="20"/>
        </w:rPr>
        <w:t>**********</w:t>
      </w:r>
      <w:r w:rsidR="007F7DA9" w:rsidRPr="00C507DA">
        <w:rPr>
          <w:rFonts w:ascii="Arial" w:hAnsi="Arial" w:cs="Arial"/>
          <w:bCs/>
          <w:i/>
          <w:iCs/>
          <w:color w:val="FF0000"/>
          <w:sz w:val="20"/>
          <w:szCs w:val="20"/>
        </w:rPr>
        <w:t xml:space="preserve">, </w:t>
      </w:r>
      <w:r w:rsidR="00C507DA" w:rsidRPr="00C507DA">
        <w:rPr>
          <w:rFonts w:ascii="Arial" w:hAnsi="Arial" w:cs="Arial"/>
          <w:bCs/>
          <w:i/>
          <w:iCs/>
          <w:color w:val="FF0000"/>
          <w:sz w:val="20"/>
          <w:szCs w:val="20"/>
        </w:rPr>
        <w:t>**********</w:t>
      </w:r>
      <w:r w:rsidR="008E10B1" w:rsidRPr="00C507DA">
        <w:rPr>
          <w:rFonts w:ascii="Arial" w:hAnsi="Arial" w:cs="Arial"/>
          <w:bCs/>
          <w:i/>
          <w:iCs/>
          <w:sz w:val="20"/>
          <w:szCs w:val="20"/>
        </w:rPr>
        <w:t>”,</w:t>
      </w:r>
      <w:r w:rsidR="008E10B1" w:rsidRPr="00C507DA">
        <w:rPr>
          <w:rFonts w:ascii="Arial" w:hAnsi="Arial" w:cs="Arial"/>
          <w:bCs/>
          <w:i/>
          <w:iCs/>
          <w:color w:val="FF0000"/>
          <w:sz w:val="20"/>
          <w:szCs w:val="20"/>
        </w:rPr>
        <w:t xml:space="preserve"> </w:t>
      </w:r>
      <w:r w:rsidR="008E10B1">
        <w:rPr>
          <w:rFonts w:ascii="Arial" w:hAnsi="Arial" w:cs="Arial"/>
          <w:bCs/>
          <w:iCs/>
          <w:sz w:val="24"/>
          <w:szCs w:val="20"/>
        </w:rPr>
        <w:t xml:space="preserve">documento visible a </w:t>
      </w:r>
      <w:r w:rsidR="008E10B1" w:rsidRPr="008E10B1">
        <w:rPr>
          <w:rFonts w:ascii="Arial" w:hAnsi="Arial" w:cs="Arial"/>
          <w:bCs/>
          <w:iCs/>
          <w:color w:val="FF0000"/>
          <w:sz w:val="24"/>
          <w:szCs w:val="20"/>
        </w:rPr>
        <w:t>foja 85</w:t>
      </w:r>
      <w:r w:rsidR="008E10B1">
        <w:rPr>
          <w:rFonts w:ascii="Arial" w:hAnsi="Arial" w:cs="Arial"/>
          <w:bCs/>
          <w:iCs/>
          <w:sz w:val="24"/>
          <w:szCs w:val="20"/>
        </w:rPr>
        <w:t>.</w:t>
      </w:r>
    </w:p>
    <w:p w:rsidR="008E10B1" w:rsidRDefault="008E10B1" w:rsidP="0020458D">
      <w:pPr>
        <w:spacing w:after="0"/>
        <w:ind w:firstLine="708"/>
        <w:jc w:val="both"/>
        <w:rPr>
          <w:rFonts w:ascii="Arial" w:hAnsi="Arial" w:cs="Arial"/>
          <w:bCs/>
          <w:iCs/>
          <w:sz w:val="24"/>
          <w:szCs w:val="20"/>
        </w:rPr>
      </w:pPr>
    </w:p>
    <w:p w:rsidR="00D0076B" w:rsidRDefault="008E10B1" w:rsidP="00D0076B">
      <w:pPr>
        <w:spacing w:after="0" w:line="360" w:lineRule="auto"/>
        <w:ind w:firstLine="708"/>
        <w:jc w:val="both"/>
        <w:rPr>
          <w:rFonts w:ascii="Arial" w:hAnsi="Arial" w:cs="Arial"/>
          <w:b/>
          <w:sz w:val="24"/>
          <w:szCs w:val="20"/>
        </w:rPr>
      </w:pPr>
      <w:r>
        <w:rPr>
          <w:rFonts w:ascii="Arial" w:hAnsi="Arial" w:cs="Arial"/>
          <w:bCs/>
          <w:iCs/>
          <w:sz w:val="24"/>
          <w:szCs w:val="20"/>
        </w:rPr>
        <w:t xml:space="preserve">Así mismo, del </w:t>
      </w:r>
      <w:r w:rsidR="00D0076B">
        <w:rPr>
          <w:rFonts w:ascii="Arial" w:hAnsi="Arial" w:cs="Arial"/>
          <w:bCs/>
          <w:iCs/>
          <w:sz w:val="24"/>
          <w:szCs w:val="20"/>
        </w:rPr>
        <w:t xml:space="preserve">propio acto impugnado, es decir del </w:t>
      </w:r>
      <w:r w:rsidR="00D0076B" w:rsidRPr="00D0076B">
        <w:rPr>
          <w:rFonts w:ascii="Arial" w:hAnsi="Arial" w:cs="Arial"/>
          <w:color w:val="FF0000"/>
          <w:sz w:val="24"/>
          <w:szCs w:val="24"/>
        </w:rPr>
        <w:t xml:space="preserve">mandamiento de ejecución número </w:t>
      </w:r>
      <w:r w:rsidR="00C507DA">
        <w:rPr>
          <w:rFonts w:ascii="Arial" w:hAnsi="Arial" w:cs="Arial"/>
          <w:color w:val="FF0000"/>
          <w:sz w:val="24"/>
          <w:szCs w:val="24"/>
        </w:rPr>
        <w:t>**********</w:t>
      </w:r>
      <w:r w:rsidR="00D0076B">
        <w:rPr>
          <w:rFonts w:ascii="Arial" w:hAnsi="Arial" w:cs="Arial"/>
          <w:sz w:val="24"/>
          <w:szCs w:val="24"/>
        </w:rPr>
        <w:t xml:space="preserve">, se desprende que va dirigido al </w:t>
      </w:r>
      <w:r w:rsidR="00D0076B" w:rsidRPr="00922A0D">
        <w:rPr>
          <w:rFonts w:ascii="Arial" w:hAnsi="Arial" w:cs="Arial"/>
          <w:sz w:val="20"/>
        </w:rPr>
        <w:t>“</w:t>
      </w:r>
      <w:r w:rsidR="00D0076B" w:rsidRPr="00922A0D">
        <w:rPr>
          <w:rFonts w:ascii="Arial" w:hAnsi="Arial" w:cs="Arial"/>
          <w:bCs/>
          <w:i/>
          <w:iCs/>
          <w:sz w:val="20"/>
        </w:rPr>
        <w:t xml:space="preserve">MAESTRO EN DERECHO </w:t>
      </w:r>
      <w:r w:rsidR="00C507DA">
        <w:rPr>
          <w:rFonts w:ascii="Arial" w:hAnsi="Arial" w:cs="Arial"/>
          <w:bCs/>
          <w:iCs/>
          <w:color w:val="FF0000"/>
          <w:sz w:val="24"/>
          <w:szCs w:val="20"/>
        </w:rPr>
        <w:t>**********</w:t>
      </w:r>
      <w:r w:rsidR="00C507DA">
        <w:rPr>
          <w:rFonts w:ascii="Arial" w:hAnsi="Arial" w:cs="Arial"/>
          <w:bCs/>
          <w:iCs/>
          <w:sz w:val="24"/>
          <w:szCs w:val="20"/>
        </w:rPr>
        <w:t xml:space="preserve">, </w:t>
      </w:r>
      <w:r w:rsidR="00D0076B" w:rsidRPr="00922A0D">
        <w:rPr>
          <w:rFonts w:ascii="Arial" w:hAnsi="Arial" w:cs="Arial"/>
          <w:bCs/>
          <w:i/>
          <w:iCs/>
          <w:sz w:val="20"/>
        </w:rPr>
        <w:t xml:space="preserve"> </w:t>
      </w:r>
      <w:r w:rsidR="00C507DA">
        <w:rPr>
          <w:rFonts w:ascii="Arial" w:hAnsi="Arial" w:cs="Arial"/>
          <w:bCs/>
          <w:iCs/>
          <w:color w:val="FF0000"/>
          <w:sz w:val="24"/>
          <w:szCs w:val="20"/>
        </w:rPr>
        <w:t>**********</w:t>
      </w:r>
      <w:r w:rsidR="00C507DA">
        <w:rPr>
          <w:rFonts w:ascii="Arial" w:hAnsi="Arial" w:cs="Arial"/>
          <w:bCs/>
          <w:iCs/>
          <w:sz w:val="24"/>
          <w:szCs w:val="20"/>
        </w:rPr>
        <w:t xml:space="preserve">, </w:t>
      </w:r>
      <w:r w:rsidR="00D0076B" w:rsidRPr="00D0076B">
        <w:rPr>
          <w:rFonts w:ascii="Arial" w:hAnsi="Arial" w:cs="Arial"/>
          <w:bCs/>
          <w:iCs/>
          <w:sz w:val="24"/>
          <w:szCs w:val="20"/>
        </w:rPr>
        <w:t xml:space="preserve">por tanto, </w:t>
      </w:r>
      <w:r w:rsidR="00D0076B">
        <w:rPr>
          <w:rFonts w:ascii="Arial" w:hAnsi="Arial" w:cs="Arial"/>
          <w:bCs/>
          <w:iCs/>
          <w:sz w:val="24"/>
          <w:szCs w:val="20"/>
        </w:rPr>
        <w:t xml:space="preserve">a </w:t>
      </w:r>
      <w:r w:rsidR="00D0076B" w:rsidRPr="0076760F">
        <w:rPr>
          <w:rFonts w:ascii="Arial" w:hAnsi="Arial" w:cs="Arial"/>
          <w:sz w:val="24"/>
          <w:szCs w:val="20"/>
        </w:rPr>
        <w:t>juicio de la suscrita Magistrada, los planteamientos de la demandada deben desestimarse y considerarse insuficientes para decretar el sobreseimiento del presente juicio</w:t>
      </w:r>
      <w:r w:rsidR="00D0076B">
        <w:rPr>
          <w:rFonts w:ascii="Arial" w:hAnsi="Arial" w:cs="Arial"/>
          <w:b/>
          <w:sz w:val="24"/>
          <w:szCs w:val="20"/>
        </w:rPr>
        <w:t>.</w:t>
      </w:r>
    </w:p>
    <w:p w:rsidR="00D0076B" w:rsidRDefault="00D03767" w:rsidP="00D03767">
      <w:pPr>
        <w:spacing w:after="0" w:line="360" w:lineRule="auto"/>
        <w:ind w:firstLine="708"/>
        <w:jc w:val="both"/>
        <w:rPr>
          <w:rFonts w:ascii="Arial" w:hAnsi="Arial" w:cs="Arial"/>
          <w:bCs/>
          <w:iCs/>
          <w:sz w:val="24"/>
          <w:szCs w:val="20"/>
        </w:rPr>
      </w:pPr>
      <w:r>
        <w:rPr>
          <w:rFonts w:ascii="Arial" w:hAnsi="Arial" w:cs="Arial"/>
          <w:sz w:val="24"/>
          <w:szCs w:val="20"/>
        </w:rPr>
        <w:t>También</w:t>
      </w:r>
      <w:r w:rsidR="00D0076B" w:rsidRPr="00D0076B">
        <w:rPr>
          <w:rFonts w:ascii="Arial" w:hAnsi="Arial" w:cs="Arial"/>
          <w:sz w:val="24"/>
          <w:szCs w:val="20"/>
        </w:rPr>
        <w:t>,</w:t>
      </w:r>
      <w:r w:rsidR="00D0076B">
        <w:rPr>
          <w:rFonts w:ascii="Arial" w:hAnsi="Arial" w:cs="Arial"/>
          <w:b/>
          <w:sz w:val="24"/>
          <w:szCs w:val="20"/>
        </w:rPr>
        <w:t xml:space="preserve"> </w:t>
      </w:r>
      <w:r w:rsidR="00D0076B" w:rsidRPr="0076760F">
        <w:rPr>
          <w:rFonts w:ascii="Arial" w:hAnsi="Arial" w:cs="Arial"/>
          <w:bCs/>
          <w:iCs/>
          <w:sz w:val="24"/>
          <w:szCs w:val="20"/>
        </w:rPr>
        <w:t xml:space="preserve">la enjuiciada </w:t>
      </w:r>
      <w:r>
        <w:rPr>
          <w:rFonts w:ascii="Arial" w:hAnsi="Arial" w:cs="Arial"/>
          <w:bCs/>
          <w:iCs/>
          <w:sz w:val="24"/>
          <w:szCs w:val="20"/>
        </w:rPr>
        <w:t>establece</w:t>
      </w:r>
      <w:r w:rsidR="00D0076B" w:rsidRPr="0076760F">
        <w:rPr>
          <w:rFonts w:ascii="Arial" w:hAnsi="Arial" w:cs="Arial"/>
          <w:bCs/>
          <w:iCs/>
          <w:sz w:val="24"/>
          <w:szCs w:val="20"/>
        </w:rPr>
        <w:t xml:space="preserve"> en su contestación,</w:t>
      </w:r>
      <w:r>
        <w:rPr>
          <w:rFonts w:ascii="Arial" w:hAnsi="Arial" w:cs="Arial"/>
          <w:bCs/>
          <w:iCs/>
          <w:sz w:val="24"/>
          <w:szCs w:val="20"/>
        </w:rPr>
        <w:t xml:space="preserve"> </w:t>
      </w:r>
      <w:r w:rsidRPr="0076760F">
        <w:rPr>
          <w:rFonts w:ascii="Arial" w:hAnsi="Arial" w:cs="Arial"/>
          <w:bCs/>
          <w:iCs/>
          <w:sz w:val="24"/>
          <w:szCs w:val="20"/>
        </w:rPr>
        <w:t>en</w:t>
      </w:r>
      <w:r>
        <w:rPr>
          <w:rFonts w:ascii="Arial" w:hAnsi="Arial" w:cs="Arial"/>
          <w:bCs/>
          <w:iCs/>
          <w:sz w:val="24"/>
          <w:szCs w:val="20"/>
        </w:rPr>
        <w:t xml:space="preserve"> lo relativo a la</w:t>
      </w:r>
      <w:r w:rsidRPr="0076760F">
        <w:rPr>
          <w:rFonts w:ascii="Arial" w:hAnsi="Arial" w:cs="Arial"/>
          <w:bCs/>
          <w:iCs/>
          <w:sz w:val="24"/>
          <w:szCs w:val="20"/>
        </w:rPr>
        <w:t xml:space="preserve"> improcedencia,</w:t>
      </w:r>
      <w:r>
        <w:rPr>
          <w:rFonts w:ascii="Arial" w:hAnsi="Arial" w:cs="Arial"/>
          <w:bCs/>
          <w:iCs/>
          <w:sz w:val="24"/>
          <w:szCs w:val="20"/>
        </w:rPr>
        <w:t xml:space="preserve"> </w:t>
      </w:r>
      <w:r w:rsidR="001972D4">
        <w:rPr>
          <w:rFonts w:ascii="Arial" w:hAnsi="Arial" w:cs="Arial"/>
          <w:bCs/>
          <w:iCs/>
          <w:sz w:val="24"/>
          <w:szCs w:val="20"/>
        </w:rPr>
        <w:t xml:space="preserve">que el acto impugnado no se ubica en ninguna de las </w:t>
      </w:r>
      <w:r>
        <w:rPr>
          <w:rFonts w:ascii="Arial" w:hAnsi="Arial" w:cs="Arial"/>
          <w:bCs/>
          <w:iCs/>
          <w:sz w:val="24"/>
          <w:szCs w:val="20"/>
        </w:rPr>
        <w:t xml:space="preserve">hipótesis </w:t>
      </w:r>
      <w:r w:rsidR="001972D4">
        <w:rPr>
          <w:rFonts w:ascii="Arial" w:hAnsi="Arial" w:cs="Arial"/>
          <w:bCs/>
          <w:iCs/>
          <w:sz w:val="24"/>
          <w:szCs w:val="20"/>
        </w:rPr>
        <w:t>establecidas en el artículo 7 de la Ley Orgánica de este H. Tribunal, alegando que no se constituye una resolución definitiva que cause un perjuicio inminente y directo en la esfera jurídica y patrimonial de la demandante</w:t>
      </w:r>
      <w:r>
        <w:rPr>
          <w:rFonts w:ascii="Arial" w:hAnsi="Arial" w:cs="Arial"/>
          <w:bCs/>
          <w:iCs/>
          <w:sz w:val="24"/>
          <w:szCs w:val="20"/>
        </w:rPr>
        <w:t xml:space="preserve">. </w:t>
      </w:r>
      <w:r w:rsidR="00DD157E">
        <w:rPr>
          <w:rFonts w:ascii="Arial" w:hAnsi="Arial" w:cs="Arial"/>
          <w:bCs/>
          <w:iCs/>
          <w:sz w:val="24"/>
          <w:szCs w:val="20"/>
        </w:rPr>
        <w:t>Sin embargo</w:t>
      </w:r>
      <w:r w:rsidR="001972D4">
        <w:rPr>
          <w:rFonts w:ascii="Arial" w:hAnsi="Arial" w:cs="Arial"/>
          <w:bCs/>
          <w:iCs/>
          <w:sz w:val="24"/>
          <w:szCs w:val="20"/>
        </w:rPr>
        <w:t xml:space="preserve">, </w:t>
      </w:r>
      <w:r>
        <w:rPr>
          <w:rFonts w:ascii="Arial" w:hAnsi="Arial" w:cs="Arial"/>
          <w:bCs/>
          <w:iCs/>
          <w:sz w:val="24"/>
          <w:szCs w:val="20"/>
        </w:rPr>
        <w:t>es menester señalar que la fracción I del artículo y ley en cita, a la letra dice:</w:t>
      </w:r>
    </w:p>
    <w:p w:rsidR="00D03767" w:rsidRDefault="00D03767" w:rsidP="00D03767">
      <w:pPr>
        <w:spacing w:after="0" w:line="360" w:lineRule="auto"/>
        <w:ind w:firstLine="708"/>
        <w:jc w:val="both"/>
        <w:rPr>
          <w:rFonts w:ascii="Arial" w:hAnsi="Arial" w:cs="Arial"/>
          <w:bCs/>
          <w:iCs/>
          <w:sz w:val="24"/>
          <w:szCs w:val="20"/>
        </w:rPr>
      </w:pPr>
    </w:p>
    <w:p w:rsidR="00D03767" w:rsidRPr="00673FFE" w:rsidRDefault="00D03767" w:rsidP="00D03767">
      <w:pPr>
        <w:spacing w:after="0" w:line="240" w:lineRule="auto"/>
        <w:ind w:left="851" w:right="618"/>
        <w:jc w:val="both"/>
        <w:rPr>
          <w:rFonts w:ascii="Arial" w:hAnsi="Arial" w:cs="Arial"/>
          <w:bCs/>
          <w:i/>
          <w:iCs/>
          <w:szCs w:val="20"/>
        </w:rPr>
      </w:pPr>
      <w:r w:rsidRPr="00673FFE">
        <w:rPr>
          <w:rFonts w:ascii="Arial" w:hAnsi="Arial" w:cs="Arial"/>
          <w:bCs/>
          <w:i/>
          <w:iCs/>
          <w:szCs w:val="20"/>
        </w:rPr>
        <w:lastRenderedPageBreak/>
        <w:t>“</w:t>
      </w:r>
      <w:r w:rsidRPr="00673FFE">
        <w:rPr>
          <w:rFonts w:ascii="Arial" w:hAnsi="Arial" w:cs="Arial"/>
          <w:b/>
          <w:bCs/>
          <w:i/>
          <w:iCs/>
          <w:szCs w:val="20"/>
        </w:rPr>
        <w:t>ARTÍCULO 7º. El Tribunal conocerá de los juicios que se promuevan contra las resoluciones definitivas, actos administrativos y procedimientos siguientes:</w:t>
      </w:r>
    </w:p>
    <w:p w:rsidR="00D03767" w:rsidRPr="00673FFE" w:rsidRDefault="00D03767" w:rsidP="00D03767">
      <w:pPr>
        <w:pStyle w:val="Prrafodelista"/>
        <w:numPr>
          <w:ilvl w:val="0"/>
          <w:numId w:val="2"/>
        </w:numPr>
        <w:spacing w:after="0" w:line="240" w:lineRule="auto"/>
        <w:ind w:right="618"/>
        <w:jc w:val="both"/>
        <w:rPr>
          <w:rFonts w:ascii="Arial" w:hAnsi="Arial" w:cs="Arial"/>
          <w:bCs/>
          <w:i/>
          <w:iCs/>
          <w:szCs w:val="20"/>
        </w:rPr>
      </w:pPr>
      <w:r w:rsidRPr="00673FFE">
        <w:rPr>
          <w:rFonts w:ascii="Arial" w:hAnsi="Arial" w:cs="Arial"/>
          <w:bCs/>
          <w:i/>
          <w:iCs/>
          <w:szCs w:val="20"/>
        </w:rPr>
        <w:t>Las controversias de carácter administrativo y fiscal derivadas de actos o resoluciones definitivas, o que pongan fin a un procedimiento, que dicten, ordenen, ejecuten o traten de ejecutar en agravio de los particulares, las autoridades del Poder Ejecutivo Estatal, de los municipios del Estado, así como de los organismos públicos descentralizados estatales y municipales, cuando los mismos actúen como autoridades;</w:t>
      </w:r>
    </w:p>
    <w:p w:rsidR="00D03767" w:rsidRPr="00673FFE" w:rsidRDefault="00D03767" w:rsidP="00D03767">
      <w:pPr>
        <w:pStyle w:val="Prrafodelista"/>
        <w:spacing w:after="0" w:line="240" w:lineRule="auto"/>
        <w:ind w:left="1571" w:right="618"/>
        <w:jc w:val="both"/>
        <w:rPr>
          <w:rFonts w:ascii="Arial" w:hAnsi="Arial" w:cs="Arial"/>
          <w:bCs/>
          <w:i/>
          <w:iCs/>
          <w:szCs w:val="20"/>
        </w:rPr>
      </w:pPr>
      <w:r w:rsidRPr="00673FFE">
        <w:rPr>
          <w:rFonts w:ascii="Arial" w:hAnsi="Arial" w:cs="Arial"/>
          <w:bCs/>
          <w:i/>
          <w:iCs/>
          <w:szCs w:val="20"/>
        </w:rPr>
        <w:t>…”</w:t>
      </w:r>
    </w:p>
    <w:p w:rsidR="00D03767" w:rsidRDefault="00D03767" w:rsidP="00D03767">
      <w:pPr>
        <w:spacing w:after="0" w:line="360" w:lineRule="auto"/>
        <w:jc w:val="both"/>
        <w:rPr>
          <w:rFonts w:ascii="Arial" w:hAnsi="Arial" w:cs="Arial"/>
          <w:bCs/>
          <w:iCs/>
          <w:sz w:val="24"/>
          <w:szCs w:val="20"/>
        </w:rPr>
      </w:pPr>
    </w:p>
    <w:p w:rsidR="009D3993" w:rsidRDefault="009D3993" w:rsidP="009D3993">
      <w:pPr>
        <w:spacing w:after="0" w:line="360" w:lineRule="auto"/>
        <w:jc w:val="both"/>
        <w:rPr>
          <w:rFonts w:ascii="Arial" w:hAnsi="Arial" w:cs="Arial"/>
          <w:b/>
          <w:sz w:val="24"/>
          <w:szCs w:val="20"/>
        </w:rPr>
      </w:pPr>
      <w:r>
        <w:rPr>
          <w:rFonts w:ascii="Arial" w:hAnsi="Arial" w:cs="Arial"/>
          <w:bCs/>
          <w:iCs/>
          <w:sz w:val="24"/>
          <w:szCs w:val="20"/>
        </w:rPr>
        <w:tab/>
        <w:t xml:space="preserve">Atendiendo a lo anterior, </w:t>
      </w:r>
      <w:r w:rsidRPr="00CF0F89">
        <w:rPr>
          <w:rFonts w:ascii="Arial" w:hAnsi="Arial" w:cs="Arial"/>
          <w:bCs/>
          <w:sz w:val="24"/>
          <w:szCs w:val="24"/>
        </w:rPr>
        <w:t>esta Segunda Sala Unitaria del Tribunal Estatal de Justicia Administrativa,</w:t>
      </w:r>
      <w:r>
        <w:rPr>
          <w:rFonts w:ascii="Arial" w:hAnsi="Arial" w:cs="Arial"/>
          <w:bCs/>
          <w:sz w:val="24"/>
          <w:szCs w:val="24"/>
        </w:rPr>
        <w:t xml:space="preserve"> es competente para resolver el presente juicio, ya que </w:t>
      </w:r>
      <w:r w:rsidRPr="009D3993">
        <w:rPr>
          <w:rFonts w:ascii="Arial" w:hAnsi="Arial" w:cs="Arial"/>
          <w:bCs/>
          <w:iCs/>
          <w:sz w:val="24"/>
          <w:szCs w:val="20"/>
        </w:rPr>
        <w:t>el acto sí constituye un acto susceptible de afectar la esfera jurídica del particular, al formar parte del ejercicio de facultades económico-coactivas del Estado, sin que resulte necesario que se haya consumado mat</w:t>
      </w:r>
      <w:r>
        <w:rPr>
          <w:rFonts w:ascii="Arial" w:hAnsi="Arial" w:cs="Arial"/>
          <w:bCs/>
          <w:iCs/>
          <w:sz w:val="24"/>
          <w:szCs w:val="20"/>
        </w:rPr>
        <w:t xml:space="preserve">erialmente el embargo de bienes, lo anterior en concatenación con el considerando primero de la presente sentencia. Por tanto, a </w:t>
      </w:r>
      <w:r w:rsidRPr="0076760F">
        <w:rPr>
          <w:rFonts w:ascii="Arial" w:hAnsi="Arial" w:cs="Arial"/>
          <w:sz w:val="24"/>
          <w:szCs w:val="20"/>
        </w:rPr>
        <w:t xml:space="preserve">juicio de la suscrita Magistrada, los planteamientos de la demandada </w:t>
      </w:r>
      <w:r>
        <w:rPr>
          <w:rFonts w:ascii="Arial" w:hAnsi="Arial" w:cs="Arial"/>
          <w:sz w:val="24"/>
          <w:szCs w:val="20"/>
        </w:rPr>
        <w:t>son</w:t>
      </w:r>
      <w:r w:rsidRPr="0076760F">
        <w:rPr>
          <w:rFonts w:ascii="Arial" w:hAnsi="Arial" w:cs="Arial"/>
          <w:sz w:val="24"/>
          <w:szCs w:val="20"/>
        </w:rPr>
        <w:t xml:space="preserve"> insuficientes para decretar el sobreseimiento del presente juicio</w:t>
      </w:r>
      <w:r>
        <w:rPr>
          <w:rFonts w:ascii="Arial" w:hAnsi="Arial" w:cs="Arial"/>
          <w:b/>
          <w:sz w:val="24"/>
          <w:szCs w:val="20"/>
        </w:rPr>
        <w:t>.</w:t>
      </w:r>
    </w:p>
    <w:p w:rsidR="009D3993" w:rsidRDefault="009D3993" w:rsidP="009D3993">
      <w:pPr>
        <w:spacing w:after="0" w:line="360" w:lineRule="auto"/>
        <w:jc w:val="both"/>
        <w:rPr>
          <w:rFonts w:ascii="Arial" w:hAnsi="Arial" w:cs="Arial"/>
          <w:b/>
          <w:sz w:val="24"/>
          <w:szCs w:val="20"/>
        </w:rPr>
      </w:pPr>
    </w:p>
    <w:p w:rsidR="009D3993" w:rsidRDefault="009D3993" w:rsidP="009D3993">
      <w:pPr>
        <w:spacing w:after="0" w:line="360" w:lineRule="auto"/>
        <w:ind w:firstLine="708"/>
        <w:jc w:val="both"/>
        <w:rPr>
          <w:rFonts w:ascii="Arial" w:hAnsi="Arial" w:cs="Arial"/>
          <w:bCs/>
          <w:iCs/>
          <w:sz w:val="24"/>
          <w:szCs w:val="20"/>
        </w:rPr>
      </w:pPr>
      <w:r w:rsidRPr="0076760F">
        <w:rPr>
          <w:rFonts w:ascii="Arial" w:hAnsi="Arial" w:cs="Arial"/>
          <w:bCs/>
          <w:iCs/>
          <w:sz w:val="24"/>
          <w:szCs w:val="20"/>
        </w:rPr>
        <w:t xml:space="preserve">Por último, </w:t>
      </w:r>
      <w:r>
        <w:rPr>
          <w:rFonts w:ascii="Arial" w:hAnsi="Arial" w:cs="Arial"/>
          <w:bCs/>
          <w:iCs/>
          <w:sz w:val="24"/>
          <w:szCs w:val="20"/>
        </w:rPr>
        <w:t>esta Segunda</w:t>
      </w:r>
      <w:r w:rsidRPr="0076760F">
        <w:rPr>
          <w:rFonts w:ascii="Arial" w:hAnsi="Arial" w:cs="Arial"/>
          <w:bCs/>
          <w:iCs/>
          <w:sz w:val="24"/>
          <w:szCs w:val="20"/>
        </w:rPr>
        <w:t xml:space="preserve"> Sala practicó estudio oficioso de las causales de improcedencia y sobreseimiento, sin que se advirtiera que en la especie se actualicen, por lo que enseguida se procede al estudio de los conceptos de impugnación.</w:t>
      </w:r>
    </w:p>
    <w:p w:rsidR="009D3993" w:rsidRDefault="009D3993" w:rsidP="009D3993">
      <w:pPr>
        <w:spacing w:after="0" w:line="360" w:lineRule="auto"/>
        <w:ind w:firstLine="708"/>
        <w:jc w:val="both"/>
        <w:rPr>
          <w:rFonts w:ascii="Arial" w:hAnsi="Arial" w:cs="Arial"/>
          <w:bCs/>
          <w:iCs/>
          <w:sz w:val="24"/>
          <w:szCs w:val="20"/>
        </w:rPr>
      </w:pPr>
    </w:p>
    <w:p w:rsidR="003714DF" w:rsidRDefault="009D3993" w:rsidP="003714DF">
      <w:pPr>
        <w:spacing w:after="0" w:line="360" w:lineRule="auto"/>
        <w:ind w:firstLine="709"/>
        <w:jc w:val="both"/>
        <w:rPr>
          <w:rFonts w:ascii="Arial" w:hAnsi="Arial" w:cs="Arial"/>
          <w:sz w:val="24"/>
        </w:rPr>
      </w:pPr>
      <w:r>
        <w:rPr>
          <w:rFonts w:ascii="Arial" w:hAnsi="Arial" w:cs="Arial"/>
          <w:b/>
          <w:bCs/>
          <w:iCs/>
          <w:sz w:val="24"/>
          <w:szCs w:val="20"/>
        </w:rPr>
        <w:t xml:space="preserve">QUINTO. </w:t>
      </w:r>
      <w:r w:rsidRPr="009D3993">
        <w:rPr>
          <w:rFonts w:ascii="Arial" w:hAnsi="Arial" w:cs="Arial"/>
          <w:b/>
          <w:bCs/>
          <w:i/>
          <w:iCs/>
          <w:sz w:val="24"/>
          <w:szCs w:val="20"/>
        </w:rPr>
        <w:t>Conceptos de Impugnación</w:t>
      </w:r>
      <w:r>
        <w:rPr>
          <w:rFonts w:ascii="Arial" w:hAnsi="Arial" w:cs="Arial"/>
          <w:b/>
          <w:bCs/>
          <w:iCs/>
          <w:sz w:val="24"/>
          <w:szCs w:val="20"/>
        </w:rPr>
        <w:t xml:space="preserve">. </w:t>
      </w:r>
      <w:r w:rsidRPr="00695D75">
        <w:rPr>
          <w:rFonts w:ascii="Arial" w:hAnsi="Arial" w:cs="Arial"/>
          <w:sz w:val="24"/>
        </w:rPr>
        <w:t xml:space="preserve">Los conceptos de impugnación que plantea la parte actora son visibles a fojas </w:t>
      </w:r>
      <w:r w:rsidR="00A17A55">
        <w:rPr>
          <w:rFonts w:ascii="Arial" w:hAnsi="Arial" w:cs="Arial"/>
          <w:color w:val="FF0000"/>
          <w:sz w:val="24"/>
        </w:rPr>
        <w:t>5</w:t>
      </w:r>
      <w:r w:rsidRPr="0056251D">
        <w:rPr>
          <w:rFonts w:ascii="Arial" w:hAnsi="Arial" w:cs="Arial"/>
          <w:color w:val="FF0000"/>
          <w:sz w:val="24"/>
        </w:rPr>
        <w:t xml:space="preserve"> a la 1</w:t>
      </w:r>
      <w:r w:rsidR="00A17A55">
        <w:rPr>
          <w:rFonts w:ascii="Arial" w:hAnsi="Arial" w:cs="Arial"/>
          <w:color w:val="FF0000"/>
          <w:sz w:val="24"/>
        </w:rPr>
        <w:t>1</w:t>
      </w:r>
      <w:r>
        <w:rPr>
          <w:rFonts w:ascii="Arial" w:hAnsi="Arial" w:cs="Arial"/>
          <w:sz w:val="24"/>
        </w:rPr>
        <w:t xml:space="preserve"> </w:t>
      </w:r>
      <w:r w:rsidRPr="00695D75">
        <w:rPr>
          <w:rFonts w:ascii="Arial" w:hAnsi="Arial" w:cs="Arial"/>
          <w:sz w:val="24"/>
        </w:rPr>
        <w:t>los que por economía procesal no se transcriben, resultando aplicable al efecto, por analogía, el contenido  de la tesis de Jurisprudencia 2a</w:t>
      </w:r>
      <w:proofErr w:type="gramStart"/>
      <w:r w:rsidRPr="00695D75">
        <w:rPr>
          <w:rFonts w:ascii="Arial" w:hAnsi="Arial" w:cs="Arial"/>
          <w:sz w:val="24"/>
        </w:rPr>
        <w:t>./</w:t>
      </w:r>
      <w:proofErr w:type="gramEnd"/>
      <w:r w:rsidRPr="00695D75">
        <w:rPr>
          <w:rFonts w:ascii="Arial" w:hAnsi="Arial" w:cs="Arial"/>
          <w:sz w:val="24"/>
        </w:rPr>
        <w:t>J. 58/2010, emitida por la Segunda Sala de la Suprema Corte de Justicia de la Nación;</w:t>
      </w:r>
      <w:r w:rsidR="003714DF" w:rsidRPr="003714DF">
        <w:rPr>
          <w:rFonts w:ascii="Arial" w:hAnsi="Arial" w:cs="Arial"/>
          <w:sz w:val="24"/>
        </w:rPr>
        <w:t xml:space="preserve"> </w:t>
      </w:r>
      <w:r w:rsidR="003714DF">
        <w:rPr>
          <w:rFonts w:ascii="Arial" w:hAnsi="Arial" w:cs="Arial"/>
          <w:sz w:val="24"/>
        </w:rPr>
        <w:t>cuyos datos de localización, rubro y contenido, se reproducen a continuación:</w:t>
      </w:r>
    </w:p>
    <w:p w:rsidR="000F16E8" w:rsidRDefault="000F16E8" w:rsidP="009D3993">
      <w:pPr>
        <w:spacing w:after="0" w:line="360" w:lineRule="auto"/>
        <w:ind w:firstLine="708"/>
        <w:jc w:val="both"/>
        <w:rPr>
          <w:rFonts w:ascii="Arial" w:hAnsi="Arial" w:cs="Arial"/>
          <w:bCs/>
          <w:iCs/>
          <w:sz w:val="24"/>
          <w:szCs w:val="20"/>
        </w:rPr>
      </w:pPr>
    </w:p>
    <w:p w:rsidR="003714DF" w:rsidRPr="00673FFE" w:rsidRDefault="00922A0D" w:rsidP="003714DF">
      <w:pPr>
        <w:spacing w:after="0" w:line="240" w:lineRule="auto"/>
        <w:ind w:left="851" w:right="618"/>
        <w:jc w:val="both"/>
        <w:rPr>
          <w:rFonts w:ascii="Arial" w:hAnsi="Arial" w:cs="Arial"/>
          <w:i/>
        </w:rPr>
      </w:pPr>
      <w:r w:rsidRPr="00673FFE">
        <w:rPr>
          <w:rFonts w:ascii="Arial" w:hAnsi="Arial" w:cs="Arial"/>
          <w:i/>
        </w:rPr>
        <w:t>“</w:t>
      </w:r>
      <w:r w:rsidRPr="00673FFE">
        <w:rPr>
          <w:rFonts w:ascii="Arial" w:hAnsi="Arial" w:cs="Arial"/>
          <w:b/>
          <w:i/>
        </w:rPr>
        <w:t xml:space="preserve">CONCEPTOS DE VIOLACIÓN O AGRAVIOS. PARA CUMPLIR CON LOS PRINCIPIOS DE CONGRUENCIA Y EXHAUSTIVIDAD EN LAS SENTENCIAS DE AMPARO ES INNECESARIA SU TRANSCRIPCIÓN.- </w:t>
      </w:r>
      <w:r w:rsidRPr="00673FFE">
        <w:rPr>
          <w:rFonts w:ascii="Arial" w:hAnsi="Arial" w:cs="Arial"/>
          <w:i/>
        </w:rPr>
        <w:t xml:space="preserve">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w:t>
      </w:r>
      <w:r w:rsidR="00C507DA">
        <w:rPr>
          <w:rFonts w:ascii="Arial" w:hAnsi="Arial" w:cs="Arial"/>
          <w:noProof/>
          <w:sz w:val="24"/>
          <w:szCs w:val="24"/>
          <w:lang w:eastAsia="es-MX"/>
        </w:rPr>
        <w:lastRenderedPageBreak/>
        <w:drawing>
          <wp:anchor distT="0" distB="0" distL="114300" distR="114300" simplePos="0" relativeHeight="251661312" behindDoc="1" locked="0" layoutInCell="1" allowOverlap="1" wp14:anchorId="6F43F998" wp14:editId="1DCB2BDD">
            <wp:simplePos x="0" y="0"/>
            <wp:positionH relativeFrom="leftMargin">
              <wp:align>right</wp:align>
            </wp:positionH>
            <wp:positionV relativeFrom="paragraph">
              <wp:posOffset>62555</wp:posOffset>
            </wp:positionV>
            <wp:extent cx="1584960" cy="25971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673FFE">
        <w:rPr>
          <w:rFonts w:ascii="Arial" w:hAnsi="Arial" w:cs="Arial"/>
          <w:i/>
        </w:rPr>
        <w:t>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r w:rsidR="000246AB" w:rsidRPr="000246AB">
        <w:rPr>
          <w:rFonts w:ascii="Arial" w:hAnsi="Arial" w:cs="Arial"/>
          <w:noProof/>
          <w:sz w:val="24"/>
          <w:szCs w:val="24"/>
          <w:lang w:eastAsia="es-MX"/>
        </w:rPr>
        <w:t xml:space="preserve"> </w:t>
      </w:r>
    </w:p>
    <w:p w:rsidR="003714DF" w:rsidRPr="00673FFE" w:rsidRDefault="003714DF" w:rsidP="003714DF">
      <w:pPr>
        <w:spacing w:after="0" w:line="240" w:lineRule="auto"/>
        <w:ind w:right="618"/>
        <w:jc w:val="both"/>
        <w:rPr>
          <w:rFonts w:ascii="Arial" w:hAnsi="Arial" w:cs="Arial"/>
          <w:i/>
        </w:rPr>
      </w:pPr>
    </w:p>
    <w:p w:rsidR="003714DF" w:rsidRPr="00673FFE" w:rsidRDefault="003714DF" w:rsidP="003714DF">
      <w:pPr>
        <w:spacing w:after="0" w:line="240" w:lineRule="auto"/>
        <w:ind w:left="851" w:right="618"/>
        <w:jc w:val="both"/>
        <w:rPr>
          <w:rFonts w:ascii="Arial" w:hAnsi="Arial" w:cs="Arial"/>
          <w:i/>
        </w:rPr>
      </w:pPr>
      <w:r w:rsidRPr="00673FFE">
        <w:rPr>
          <w:rFonts w:ascii="Arial" w:hAnsi="Arial" w:cs="Arial"/>
          <w:i/>
        </w:rPr>
        <w:t xml:space="preserve">Contradicción de tesis 50/2010. Entre las sustentadas por los Tribunales Colegiados Segundo del Noveno Circuito, Primero en Materias Civil y de Trabajo del Décimo Séptimo Circuito y Segundo en Materias Penal y Administrativa del Vigésimo Primer Circuito. 21 de abril de 2010. Unanimidad de cuatro votos. Ausente: Margarita Beatriz Luna Ramos. Ponente: Sergio Salvador Aguirre Anguiano. Secretario: Arnulfo Moreno </w:t>
      </w:r>
      <w:proofErr w:type="spellStart"/>
      <w:r w:rsidRPr="00673FFE">
        <w:rPr>
          <w:rFonts w:ascii="Arial" w:hAnsi="Arial" w:cs="Arial"/>
          <w:i/>
        </w:rPr>
        <w:t>Flores.Tesis</w:t>
      </w:r>
      <w:proofErr w:type="spellEnd"/>
      <w:r w:rsidRPr="00673FFE">
        <w:rPr>
          <w:rFonts w:ascii="Arial" w:hAnsi="Arial" w:cs="Arial"/>
          <w:i/>
        </w:rPr>
        <w:t xml:space="preserve"> de jurisprudencia 58/2010. Aprobada por la Segunda Sala de este Alto Tribunal, en sesión privada del doce de mayo de dos mil diez.</w:t>
      </w:r>
    </w:p>
    <w:p w:rsidR="003714DF" w:rsidRPr="00673FFE" w:rsidRDefault="003714DF" w:rsidP="003714DF">
      <w:pPr>
        <w:spacing w:after="0" w:line="240" w:lineRule="auto"/>
        <w:ind w:left="851" w:right="618"/>
        <w:jc w:val="both"/>
        <w:rPr>
          <w:rFonts w:ascii="Arial" w:hAnsi="Arial" w:cs="Arial"/>
          <w:i/>
        </w:rPr>
      </w:pPr>
    </w:p>
    <w:p w:rsidR="00922A0D" w:rsidRPr="00673FFE" w:rsidRDefault="003714DF" w:rsidP="003714DF">
      <w:pPr>
        <w:spacing w:after="0" w:line="240" w:lineRule="auto"/>
        <w:ind w:left="851" w:right="618"/>
        <w:jc w:val="both"/>
        <w:rPr>
          <w:rFonts w:ascii="Arial" w:hAnsi="Arial" w:cs="Arial"/>
          <w:i/>
        </w:rPr>
      </w:pPr>
      <w:r w:rsidRPr="00673FFE">
        <w:rPr>
          <w:rFonts w:ascii="Arial" w:hAnsi="Arial" w:cs="Arial"/>
          <w:i/>
        </w:rPr>
        <w:t>Registro digital: 164618. Instancia: Segunda Sala. Novena Época. Materia(s): Común. Tesis: 2a</w:t>
      </w:r>
      <w:proofErr w:type="gramStart"/>
      <w:r w:rsidRPr="00673FFE">
        <w:rPr>
          <w:rFonts w:ascii="Arial" w:hAnsi="Arial" w:cs="Arial"/>
          <w:i/>
        </w:rPr>
        <w:t>./</w:t>
      </w:r>
      <w:proofErr w:type="gramEnd"/>
      <w:r w:rsidRPr="00673FFE">
        <w:rPr>
          <w:rFonts w:ascii="Arial" w:hAnsi="Arial" w:cs="Arial"/>
          <w:i/>
        </w:rPr>
        <w:t>J. 58/2010. Fuente: Semanario Judicial de la Federación y su Gaceta. Tomo XXXI, Mayo de 2010, página 830. Tipo: Jurisprudencia.</w:t>
      </w:r>
      <w:r w:rsidR="00922A0D" w:rsidRPr="00673FFE">
        <w:rPr>
          <w:rFonts w:ascii="Arial" w:hAnsi="Arial" w:cs="Arial"/>
          <w:i/>
        </w:rPr>
        <w:t>”</w:t>
      </w:r>
    </w:p>
    <w:p w:rsidR="00922A0D" w:rsidRDefault="00922A0D" w:rsidP="00922A0D">
      <w:pPr>
        <w:spacing w:after="0" w:line="360" w:lineRule="auto"/>
        <w:ind w:firstLine="708"/>
        <w:jc w:val="both"/>
        <w:rPr>
          <w:rFonts w:ascii="Arial" w:hAnsi="Arial" w:cs="Arial"/>
          <w:bCs/>
          <w:iCs/>
          <w:sz w:val="24"/>
          <w:szCs w:val="20"/>
        </w:rPr>
      </w:pPr>
    </w:p>
    <w:p w:rsidR="000F16E8" w:rsidRDefault="000F16E8" w:rsidP="000F16E8">
      <w:pPr>
        <w:spacing w:after="0" w:line="360" w:lineRule="auto"/>
        <w:ind w:firstLine="708"/>
        <w:jc w:val="both"/>
        <w:rPr>
          <w:rFonts w:ascii="Arial" w:hAnsi="Arial" w:cs="Arial"/>
          <w:sz w:val="24"/>
        </w:rPr>
      </w:pPr>
      <w:r w:rsidRPr="00695D75">
        <w:rPr>
          <w:rFonts w:ascii="Arial" w:hAnsi="Arial" w:cs="Arial"/>
          <w:sz w:val="24"/>
        </w:rPr>
        <w:t xml:space="preserve">Por su parte, la autoridad demandada al momento de formular su contestación, defendió la legalidad del acto impugnado, manifestando que el mismo se encontraba debidamente fundado y motivado, expresando las razones por las cuales considera ineficaces los conceptos de la accionante.  </w:t>
      </w:r>
    </w:p>
    <w:p w:rsidR="00922A0D" w:rsidRDefault="00922A0D" w:rsidP="000F16E8">
      <w:pPr>
        <w:spacing w:after="0" w:line="360" w:lineRule="auto"/>
        <w:ind w:firstLine="708"/>
        <w:jc w:val="both"/>
        <w:rPr>
          <w:rFonts w:ascii="Arial" w:hAnsi="Arial" w:cs="Arial"/>
          <w:sz w:val="24"/>
        </w:rPr>
      </w:pPr>
    </w:p>
    <w:p w:rsidR="00922A0D" w:rsidRDefault="00922A0D" w:rsidP="000F16E8">
      <w:pPr>
        <w:spacing w:after="0" w:line="360" w:lineRule="auto"/>
        <w:ind w:firstLine="708"/>
        <w:jc w:val="both"/>
        <w:rPr>
          <w:rFonts w:ascii="Arial" w:hAnsi="Arial" w:cs="Arial"/>
          <w:sz w:val="24"/>
        </w:rPr>
      </w:pPr>
      <w:r w:rsidRPr="00922A0D">
        <w:rPr>
          <w:rFonts w:ascii="Arial" w:hAnsi="Arial" w:cs="Arial"/>
          <w:b/>
          <w:sz w:val="24"/>
        </w:rPr>
        <w:t>SEXTO</w:t>
      </w:r>
      <w:r>
        <w:rPr>
          <w:rFonts w:ascii="Arial" w:hAnsi="Arial" w:cs="Arial"/>
          <w:sz w:val="24"/>
        </w:rPr>
        <w:t xml:space="preserve">. </w:t>
      </w:r>
      <w:r w:rsidRPr="00922A0D">
        <w:rPr>
          <w:rFonts w:ascii="Arial" w:hAnsi="Arial" w:cs="Arial"/>
          <w:b/>
          <w:i/>
          <w:sz w:val="24"/>
        </w:rPr>
        <w:t>Estudio y determinación final</w:t>
      </w:r>
      <w:r>
        <w:rPr>
          <w:rFonts w:ascii="Arial" w:hAnsi="Arial" w:cs="Arial"/>
          <w:sz w:val="24"/>
        </w:rPr>
        <w:t xml:space="preserve">. </w:t>
      </w:r>
      <w:r w:rsidRPr="00922A0D">
        <w:rPr>
          <w:rFonts w:ascii="Arial" w:hAnsi="Arial" w:cs="Arial"/>
          <w:sz w:val="24"/>
        </w:rPr>
        <w:t>El estudio de los conceptos de impugnación que realiza esta Segunda Sala Unitaria, es atendiendo al principio de mayor beneficio, dispuesto en el artículo 252, cuarto párrafo, del Código Procesal Administrativo para el Estado de San Luis Potosí</w:t>
      </w:r>
      <w:r w:rsidR="003714DF">
        <w:rPr>
          <w:rFonts w:ascii="Arial" w:hAnsi="Arial" w:cs="Arial"/>
          <w:sz w:val="24"/>
        </w:rPr>
        <w:t>, que en su parte conducente establece lo siguiente:</w:t>
      </w:r>
    </w:p>
    <w:p w:rsidR="003714DF" w:rsidRDefault="003714DF" w:rsidP="003714DF">
      <w:pPr>
        <w:spacing w:after="0" w:line="240" w:lineRule="auto"/>
        <w:ind w:left="851" w:right="618"/>
        <w:jc w:val="both"/>
        <w:rPr>
          <w:rFonts w:ascii="Arial" w:hAnsi="Arial" w:cs="Arial"/>
          <w:i/>
        </w:rPr>
      </w:pPr>
    </w:p>
    <w:p w:rsidR="003714DF" w:rsidRPr="00673FFE" w:rsidRDefault="003714DF" w:rsidP="003714DF">
      <w:pPr>
        <w:spacing w:after="0" w:line="240" w:lineRule="auto"/>
        <w:ind w:left="851" w:right="618"/>
        <w:jc w:val="both"/>
        <w:rPr>
          <w:rFonts w:ascii="Arial" w:hAnsi="Arial" w:cs="Arial"/>
          <w:i/>
        </w:rPr>
      </w:pPr>
      <w:r w:rsidRPr="00673FFE">
        <w:rPr>
          <w:rFonts w:ascii="Arial" w:hAnsi="Arial" w:cs="Arial"/>
          <w:i/>
        </w:rPr>
        <w:t>“</w:t>
      </w:r>
      <w:r w:rsidRPr="00673FFE">
        <w:rPr>
          <w:rFonts w:ascii="Arial" w:hAnsi="Arial" w:cs="Arial"/>
          <w:b/>
          <w:i/>
        </w:rPr>
        <w:t>ARTÍCULO 252.</w:t>
      </w:r>
      <w:r w:rsidRPr="00673FFE">
        <w:rPr>
          <w:rFonts w:ascii="Arial" w:hAnsi="Arial" w:cs="Arial"/>
          <w:i/>
        </w:rPr>
        <w:t xml:space="preserve"> (…)</w:t>
      </w:r>
    </w:p>
    <w:p w:rsidR="003714DF" w:rsidRPr="00673FFE" w:rsidRDefault="003714DF" w:rsidP="003714DF">
      <w:pPr>
        <w:spacing w:after="0" w:line="240" w:lineRule="auto"/>
        <w:ind w:left="851" w:right="618"/>
        <w:jc w:val="both"/>
        <w:rPr>
          <w:rFonts w:ascii="Arial" w:hAnsi="Arial" w:cs="Arial"/>
          <w:i/>
        </w:rPr>
      </w:pPr>
    </w:p>
    <w:p w:rsidR="003714DF" w:rsidRPr="00673FFE" w:rsidRDefault="003714DF" w:rsidP="003714DF">
      <w:pPr>
        <w:spacing w:after="0" w:line="240" w:lineRule="auto"/>
        <w:ind w:left="851" w:right="618"/>
        <w:jc w:val="both"/>
        <w:rPr>
          <w:rFonts w:ascii="Arial" w:hAnsi="Arial" w:cs="Arial"/>
          <w:i/>
        </w:rPr>
      </w:pPr>
      <w:r w:rsidRPr="00673FFE">
        <w:rPr>
          <w:rFonts w:ascii="Arial" w:hAnsi="Arial" w:cs="Arial"/>
          <w:i/>
        </w:rPr>
        <w:t>Cuando se hagan valer diversas causales de ilegalidad, la sentencia de la Sala deberá examinar primero aquéllas que puedan llevar a declarar la nulidad lisa y llana.”</w:t>
      </w:r>
    </w:p>
    <w:p w:rsidR="003714DF" w:rsidRDefault="003714DF" w:rsidP="003714DF">
      <w:pPr>
        <w:spacing w:after="0" w:line="360" w:lineRule="auto"/>
        <w:jc w:val="both"/>
      </w:pPr>
    </w:p>
    <w:p w:rsidR="003714DF" w:rsidRDefault="003714DF" w:rsidP="005561BF">
      <w:pPr>
        <w:spacing w:after="0" w:line="360" w:lineRule="auto"/>
        <w:ind w:firstLine="708"/>
        <w:jc w:val="both"/>
        <w:rPr>
          <w:rFonts w:ascii="Arial" w:hAnsi="Arial" w:cs="Arial"/>
          <w:sz w:val="24"/>
          <w:szCs w:val="24"/>
        </w:rPr>
      </w:pPr>
      <w:r w:rsidRPr="005561BF">
        <w:rPr>
          <w:rFonts w:ascii="Arial" w:hAnsi="Arial" w:cs="Arial"/>
          <w:sz w:val="24"/>
          <w:szCs w:val="24"/>
        </w:rPr>
        <w:t>Atendiendo a lo anterior</w:t>
      </w:r>
      <w:r w:rsidR="005561BF">
        <w:rPr>
          <w:rFonts w:ascii="Arial" w:hAnsi="Arial" w:cs="Arial"/>
          <w:sz w:val="24"/>
          <w:szCs w:val="24"/>
        </w:rPr>
        <w:t xml:space="preserve">, </w:t>
      </w:r>
      <w:r w:rsidR="005561BF" w:rsidRPr="005561BF">
        <w:rPr>
          <w:rFonts w:ascii="Arial" w:hAnsi="Arial" w:cs="Arial"/>
          <w:sz w:val="24"/>
          <w:szCs w:val="24"/>
        </w:rPr>
        <w:t xml:space="preserve">se desprende que en el </w:t>
      </w:r>
      <w:r w:rsidR="005561BF">
        <w:rPr>
          <w:rFonts w:ascii="Arial" w:hAnsi="Arial" w:cs="Arial"/>
          <w:sz w:val="24"/>
          <w:szCs w:val="24"/>
        </w:rPr>
        <w:t>Primero de los</w:t>
      </w:r>
      <w:r w:rsidR="005561BF" w:rsidRPr="005561BF">
        <w:rPr>
          <w:rFonts w:ascii="Arial" w:hAnsi="Arial" w:cs="Arial"/>
          <w:sz w:val="24"/>
          <w:szCs w:val="24"/>
        </w:rPr>
        <w:t xml:space="preserve"> conceptos de impugnación,  esgrimido en la demanda inicial, es el que genera un mayor beneficio en relación con de las pretensiones del acciónate; sobre este tema en particular,</w:t>
      </w:r>
      <w:r w:rsidR="005561BF">
        <w:rPr>
          <w:rFonts w:ascii="Arial" w:hAnsi="Arial" w:cs="Arial"/>
          <w:sz w:val="24"/>
          <w:szCs w:val="24"/>
        </w:rPr>
        <w:t xml:space="preserve"> </w:t>
      </w:r>
      <w:r w:rsidR="005561BF" w:rsidRPr="005561BF">
        <w:rPr>
          <w:rFonts w:ascii="Arial" w:hAnsi="Arial" w:cs="Arial"/>
          <w:sz w:val="24"/>
          <w:szCs w:val="24"/>
        </w:rPr>
        <w:t>cobra relevancia por analogía, lo considerado por los Tribunales Colegiados de Circuito, en la</w:t>
      </w:r>
      <w:r w:rsidR="005561BF">
        <w:rPr>
          <w:rFonts w:ascii="Arial" w:hAnsi="Arial" w:cs="Arial"/>
          <w:sz w:val="24"/>
          <w:szCs w:val="24"/>
        </w:rPr>
        <w:t xml:space="preserve"> siguiente </w:t>
      </w:r>
      <w:r w:rsidR="005561BF" w:rsidRPr="005561BF">
        <w:rPr>
          <w:rFonts w:ascii="Arial" w:hAnsi="Arial" w:cs="Arial"/>
          <w:sz w:val="24"/>
          <w:szCs w:val="24"/>
        </w:rPr>
        <w:t>tesis:</w:t>
      </w:r>
    </w:p>
    <w:p w:rsidR="00673FFE" w:rsidRDefault="00673FFE" w:rsidP="005561BF">
      <w:pPr>
        <w:spacing w:after="0" w:line="360" w:lineRule="auto"/>
        <w:ind w:firstLine="708"/>
        <w:jc w:val="both"/>
        <w:rPr>
          <w:rFonts w:ascii="Arial" w:hAnsi="Arial" w:cs="Arial"/>
          <w:sz w:val="24"/>
          <w:szCs w:val="24"/>
        </w:rPr>
      </w:pPr>
    </w:p>
    <w:p w:rsidR="005561BF" w:rsidRPr="00673FFE" w:rsidRDefault="005561BF" w:rsidP="005561BF">
      <w:pPr>
        <w:spacing w:after="0" w:line="240" w:lineRule="auto"/>
        <w:ind w:left="851" w:right="618"/>
        <w:jc w:val="both"/>
        <w:rPr>
          <w:rFonts w:ascii="Arial" w:hAnsi="Arial" w:cs="Arial"/>
          <w:i/>
          <w:szCs w:val="20"/>
        </w:rPr>
      </w:pPr>
      <w:r w:rsidRPr="00673FFE">
        <w:rPr>
          <w:rFonts w:ascii="Arial" w:hAnsi="Arial" w:cs="Arial"/>
          <w:i/>
          <w:szCs w:val="20"/>
        </w:rPr>
        <w:t>“</w:t>
      </w:r>
      <w:r w:rsidRPr="00673FFE">
        <w:rPr>
          <w:rFonts w:ascii="Arial" w:hAnsi="Arial" w:cs="Arial"/>
          <w:b/>
          <w:i/>
          <w:szCs w:val="20"/>
        </w:rPr>
        <w:t xml:space="preserve">CONCEPTOS DE ANULACIÓN EN EL JUICIO EN MATERIA ADMINISTRATIVA. MÉTODO PARA DETERMINAR LA PREEMINENCIA DE SU ESTUDIO EN RELACIÓN CON EL MAYOR BENEFICIO JURÍDICO QUE PUEDAN PRODUCIR AL ACTOR, </w:t>
      </w:r>
      <w:r w:rsidRPr="00673FFE">
        <w:rPr>
          <w:rFonts w:ascii="Arial" w:hAnsi="Arial" w:cs="Arial"/>
          <w:b/>
          <w:i/>
          <w:szCs w:val="20"/>
        </w:rPr>
        <w:lastRenderedPageBreak/>
        <w:t>PARA CUMPLIR CON EL DERECHO DE ACCESO EFECTIVO A UNA JUSTICIA COMPLETA (LEGISLACIÓN DEL ESTADO DE JALISCO).</w:t>
      </w:r>
      <w:r w:rsidRPr="00673FFE">
        <w:rPr>
          <w:rFonts w:ascii="Arial" w:hAnsi="Arial" w:cs="Arial"/>
          <w:i/>
          <w:szCs w:val="20"/>
        </w:rPr>
        <w:t xml:space="preserve"> El artículo 17, segundo párrafo, de la Constitución Política de los Estados Unidos Mexicanos prevé los principios de congruencia y exhaustividad de las sentencias, al señalar que toda persona tiene derecho a que se le administre justicia, entre otras, de manera completa. Por su parte, los artículos 72 y 76 de la Ley de Justicia Administrativa del Estado de Jalisco establecen el estudio preponderante de los conceptos de anulación que tengan por efecto declarar la nulidad del acto impugnado, y la obligación implícita de la autoridad jurisdiccional de verificar los puntos litigiosos para definir la nulidad que decretará, ya sea para efectos o lisa y llana. Entonces, para determinar la preeminencia en el estudio de los conceptos de anulación planteados por el actor en el juicio en materia administrativa, deben examinarse la demanda de nulidad y las consideraciones del acto impugnado, a efecto de clasificarlos temáticamente y distinguir los aspectos que rijan de manera fundamental el sentido del acto que se pretende nulificar; luego, deberá abordarse el estudio del concepto seleccionado que se dirija a combatir el fondo, ya que, de resultar fundado, producirá un mayor beneficio jurídico al actor, con lo cual se cumple el derecho de acceso efectivo a una justicia completa. Cabe señalar que ese pronunciamiento debe hacerse de forma explícita, para que no se genere incertidumbre a las partes y, en el análisis de la resolución por cuestiones de legalidad que, en su caso, se realice, el inconforme no quede indefenso para controvertir las razones otorgadas.</w:t>
      </w:r>
    </w:p>
    <w:p w:rsidR="000F16E8" w:rsidRPr="00673FFE" w:rsidRDefault="000F16E8" w:rsidP="005561BF">
      <w:pPr>
        <w:spacing w:after="0" w:line="240" w:lineRule="auto"/>
        <w:ind w:left="851" w:right="618"/>
        <w:jc w:val="both"/>
        <w:rPr>
          <w:rFonts w:ascii="Arial" w:hAnsi="Arial" w:cs="Arial"/>
          <w:bCs/>
          <w:i/>
          <w:iCs/>
          <w:szCs w:val="20"/>
        </w:rPr>
      </w:pPr>
    </w:p>
    <w:p w:rsidR="009D3993" w:rsidRPr="00673FFE" w:rsidRDefault="005561BF" w:rsidP="005561BF">
      <w:pPr>
        <w:pStyle w:val="NormalWeb"/>
        <w:shd w:val="clear" w:color="auto" w:fill="FFFFFF"/>
        <w:spacing w:before="0" w:beforeAutospacing="0"/>
        <w:ind w:left="851" w:right="618"/>
        <w:jc w:val="both"/>
        <w:rPr>
          <w:rFonts w:ascii="Arial" w:hAnsi="Arial" w:cs="Arial"/>
          <w:i/>
          <w:color w:val="212529"/>
          <w:sz w:val="22"/>
          <w:szCs w:val="20"/>
        </w:rPr>
      </w:pPr>
      <w:r w:rsidRPr="00673FFE">
        <w:rPr>
          <w:rFonts w:ascii="Arial" w:hAnsi="Arial" w:cs="Arial"/>
          <w:i/>
          <w:color w:val="212529"/>
          <w:sz w:val="22"/>
          <w:szCs w:val="20"/>
        </w:rPr>
        <w:t>SEXTO TRIBUNAL COLEGIADO EN MATERIA ADMINISTRATIVA DEL TERCER CIRCUITO.</w:t>
      </w:r>
    </w:p>
    <w:p w:rsidR="005561BF" w:rsidRPr="00673FFE" w:rsidRDefault="005561BF" w:rsidP="005561BF">
      <w:pPr>
        <w:pStyle w:val="NormalWeb"/>
        <w:shd w:val="clear" w:color="auto" w:fill="FFFFFF"/>
        <w:spacing w:before="0" w:beforeAutospacing="0"/>
        <w:ind w:left="851" w:right="618"/>
        <w:jc w:val="both"/>
        <w:rPr>
          <w:rFonts w:ascii="Arial" w:hAnsi="Arial" w:cs="Arial"/>
          <w:i/>
          <w:color w:val="212529"/>
          <w:sz w:val="22"/>
          <w:szCs w:val="20"/>
        </w:rPr>
      </w:pPr>
      <w:r w:rsidRPr="00673FFE">
        <w:rPr>
          <w:rStyle w:val="fw-bold"/>
          <w:rFonts w:ascii="Arial" w:eastAsia="Calibri" w:hAnsi="Arial" w:cs="Arial"/>
          <w:i/>
          <w:color w:val="212529"/>
          <w:sz w:val="22"/>
          <w:szCs w:val="20"/>
        </w:rPr>
        <w:t>Registro digital: </w:t>
      </w:r>
      <w:r w:rsidRPr="00673FFE">
        <w:rPr>
          <w:rFonts w:ascii="Arial" w:hAnsi="Arial" w:cs="Arial"/>
          <w:i/>
          <w:color w:val="212529"/>
          <w:sz w:val="22"/>
          <w:szCs w:val="20"/>
        </w:rPr>
        <w:t xml:space="preserve">2020398. </w:t>
      </w:r>
      <w:r w:rsidRPr="00673FFE">
        <w:rPr>
          <w:rStyle w:val="fw-bold"/>
          <w:rFonts w:ascii="Arial" w:eastAsia="Calibri" w:hAnsi="Arial" w:cs="Arial"/>
          <w:i/>
          <w:color w:val="212529"/>
          <w:sz w:val="22"/>
          <w:szCs w:val="20"/>
        </w:rPr>
        <w:t>Instancia: </w:t>
      </w:r>
      <w:r w:rsidRPr="00673FFE">
        <w:rPr>
          <w:rFonts w:ascii="Arial" w:hAnsi="Arial" w:cs="Arial"/>
          <w:i/>
          <w:color w:val="212529"/>
          <w:sz w:val="22"/>
          <w:szCs w:val="20"/>
        </w:rPr>
        <w:t xml:space="preserve">Tribunales Colegiados de Circuito. </w:t>
      </w:r>
      <w:r w:rsidRPr="00673FFE">
        <w:rPr>
          <w:rStyle w:val="fw-bold"/>
          <w:rFonts w:ascii="Arial" w:eastAsia="Calibri" w:hAnsi="Arial" w:cs="Arial"/>
          <w:i/>
          <w:color w:val="212529"/>
          <w:sz w:val="22"/>
          <w:szCs w:val="20"/>
        </w:rPr>
        <w:t>Décima Época</w:t>
      </w:r>
      <w:r w:rsidRPr="00673FFE">
        <w:rPr>
          <w:rFonts w:ascii="Arial" w:hAnsi="Arial" w:cs="Arial"/>
          <w:i/>
          <w:color w:val="212529"/>
          <w:sz w:val="22"/>
          <w:szCs w:val="20"/>
        </w:rPr>
        <w:t xml:space="preserve">. </w:t>
      </w:r>
      <w:r w:rsidRPr="00673FFE">
        <w:rPr>
          <w:rStyle w:val="fw-bold"/>
          <w:rFonts w:ascii="Arial" w:eastAsia="Calibri" w:hAnsi="Arial" w:cs="Arial"/>
          <w:i/>
          <w:color w:val="212529"/>
          <w:sz w:val="22"/>
          <w:szCs w:val="20"/>
        </w:rPr>
        <w:t>Materia(s): </w:t>
      </w:r>
      <w:r w:rsidRPr="00673FFE">
        <w:rPr>
          <w:rFonts w:ascii="Arial" w:hAnsi="Arial" w:cs="Arial"/>
          <w:i/>
          <w:color w:val="212529"/>
          <w:sz w:val="22"/>
          <w:szCs w:val="20"/>
        </w:rPr>
        <w:t xml:space="preserve">Constitucional, Administrativa. </w:t>
      </w:r>
      <w:r w:rsidRPr="00673FFE">
        <w:rPr>
          <w:rStyle w:val="fw-bold"/>
          <w:rFonts w:ascii="Arial" w:eastAsia="Calibri" w:hAnsi="Arial" w:cs="Arial"/>
          <w:i/>
          <w:color w:val="212529"/>
          <w:sz w:val="22"/>
          <w:szCs w:val="20"/>
        </w:rPr>
        <w:t>Tesis: </w:t>
      </w:r>
      <w:r w:rsidRPr="00673FFE">
        <w:rPr>
          <w:rFonts w:ascii="Arial" w:hAnsi="Arial" w:cs="Arial"/>
          <w:i/>
          <w:color w:val="212529"/>
          <w:sz w:val="22"/>
          <w:szCs w:val="20"/>
        </w:rPr>
        <w:t xml:space="preserve">III.6o.A.10 A (10a.). </w:t>
      </w:r>
      <w:r w:rsidRPr="00673FFE">
        <w:rPr>
          <w:rStyle w:val="fw-bold"/>
          <w:rFonts w:ascii="Arial" w:eastAsia="Calibri" w:hAnsi="Arial" w:cs="Arial"/>
          <w:i/>
          <w:color w:val="212529"/>
          <w:sz w:val="22"/>
          <w:szCs w:val="20"/>
        </w:rPr>
        <w:t>Fuente: </w:t>
      </w:r>
      <w:r w:rsidRPr="00673FFE">
        <w:rPr>
          <w:rFonts w:ascii="Arial" w:hAnsi="Arial" w:cs="Arial"/>
          <w:i/>
          <w:color w:val="212529"/>
          <w:sz w:val="22"/>
          <w:szCs w:val="20"/>
        </w:rPr>
        <w:t>Gaceta del Semanario Judicial de la Federación</w:t>
      </w:r>
      <w:proofErr w:type="gramStart"/>
      <w:r w:rsidRPr="00673FFE">
        <w:rPr>
          <w:rFonts w:ascii="Arial" w:hAnsi="Arial" w:cs="Arial"/>
          <w:i/>
          <w:color w:val="212529"/>
          <w:sz w:val="22"/>
          <w:szCs w:val="20"/>
        </w:rPr>
        <w:t>..</w:t>
      </w:r>
      <w:proofErr w:type="gramEnd"/>
      <w:r w:rsidRPr="00673FFE">
        <w:rPr>
          <w:rFonts w:ascii="Arial" w:hAnsi="Arial" w:cs="Arial"/>
          <w:i/>
          <w:color w:val="212529"/>
          <w:sz w:val="22"/>
          <w:szCs w:val="20"/>
        </w:rPr>
        <w:t xml:space="preserve"> Libro 69, Agosto de 2019, Tomo IV, página 4481. </w:t>
      </w:r>
      <w:r w:rsidRPr="00673FFE">
        <w:rPr>
          <w:rStyle w:val="fw-bold"/>
          <w:rFonts w:ascii="Arial" w:eastAsia="Calibri" w:hAnsi="Arial" w:cs="Arial"/>
          <w:i/>
          <w:color w:val="212529"/>
          <w:sz w:val="22"/>
          <w:szCs w:val="20"/>
        </w:rPr>
        <w:t>Tipo: </w:t>
      </w:r>
      <w:r w:rsidRPr="00673FFE">
        <w:rPr>
          <w:rFonts w:ascii="Arial" w:hAnsi="Arial" w:cs="Arial"/>
          <w:i/>
          <w:color w:val="212529"/>
          <w:sz w:val="22"/>
          <w:szCs w:val="20"/>
        </w:rPr>
        <w:t>Aislada</w:t>
      </w:r>
      <w:r w:rsidR="00431C4B" w:rsidRPr="00673FFE">
        <w:rPr>
          <w:rFonts w:ascii="Arial" w:hAnsi="Arial" w:cs="Arial"/>
          <w:i/>
          <w:color w:val="212529"/>
          <w:sz w:val="22"/>
          <w:szCs w:val="20"/>
        </w:rPr>
        <w:t>.”</w:t>
      </w:r>
    </w:p>
    <w:p w:rsidR="0078603F" w:rsidRDefault="0078603F" w:rsidP="0078603F">
      <w:pPr>
        <w:spacing w:after="0" w:line="360" w:lineRule="auto"/>
        <w:jc w:val="both"/>
        <w:rPr>
          <w:rFonts w:ascii="Arial" w:hAnsi="Arial" w:cs="Arial"/>
          <w:bCs/>
          <w:iCs/>
          <w:sz w:val="24"/>
          <w:szCs w:val="20"/>
        </w:rPr>
      </w:pPr>
    </w:p>
    <w:p w:rsidR="005561BF" w:rsidRDefault="00431C4B" w:rsidP="0078603F">
      <w:pPr>
        <w:spacing w:after="0" w:line="360" w:lineRule="auto"/>
        <w:ind w:firstLine="708"/>
        <w:jc w:val="both"/>
        <w:rPr>
          <w:rFonts w:ascii="Arial" w:hAnsi="Arial" w:cs="Arial"/>
          <w:bCs/>
          <w:iCs/>
          <w:sz w:val="24"/>
          <w:szCs w:val="20"/>
        </w:rPr>
      </w:pPr>
      <w:r w:rsidRPr="00431C4B">
        <w:rPr>
          <w:rFonts w:ascii="Arial" w:hAnsi="Arial" w:cs="Arial"/>
          <w:bCs/>
          <w:iCs/>
          <w:sz w:val="24"/>
          <w:szCs w:val="20"/>
        </w:rPr>
        <w:t>En este orden de análisis, en el re</w:t>
      </w:r>
      <w:r w:rsidR="0078603F">
        <w:rPr>
          <w:rFonts w:ascii="Arial" w:hAnsi="Arial" w:cs="Arial"/>
          <w:bCs/>
          <w:iCs/>
          <w:sz w:val="24"/>
          <w:szCs w:val="20"/>
        </w:rPr>
        <w:t>ferido concepto de impugnación-</w:t>
      </w:r>
      <w:r w:rsidRPr="0078603F">
        <w:rPr>
          <w:rFonts w:ascii="Arial" w:hAnsi="Arial" w:cs="Arial"/>
          <w:bCs/>
          <w:i/>
          <w:iCs/>
          <w:sz w:val="24"/>
          <w:szCs w:val="20"/>
        </w:rPr>
        <w:t>Primero</w:t>
      </w:r>
      <w:r w:rsidRPr="00431C4B">
        <w:rPr>
          <w:rFonts w:ascii="Arial" w:hAnsi="Arial" w:cs="Arial"/>
          <w:bCs/>
          <w:iCs/>
          <w:sz w:val="24"/>
          <w:szCs w:val="20"/>
        </w:rPr>
        <w:t xml:space="preserve">- </w:t>
      </w:r>
      <w:r>
        <w:rPr>
          <w:rFonts w:ascii="Arial" w:hAnsi="Arial" w:cs="Arial"/>
          <w:bCs/>
          <w:iCs/>
          <w:sz w:val="24"/>
          <w:szCs w:val="20"/>
        </w:rPr>
        <w:t>la</w:t>
      </w:r>
      <w:r w:rsidRPr="00431C4B">
        <w:rPr>
          <w:rFonts w:ascii="Arial" w:hAnsi="Arial" w:cs="Arial"/>
          <w:bCs/>
          <w:iCs/>
          <w:sz w:val="24"/>
          <w:szCs w:val="20"/>
        </w:rPr>
        <w:t xml:space="preserve"> accionante medularmente argumentó,</w:t>
      </w:r>
      <w:r>
        <w:rPr>
          <w:rFonts w:ascii="Arial" w:hAnsi="Arial" w:cs="Arial"/>
          <w:bCs/>
          <w:iCs/>
          <w:sz w:val="24"/>
          <w:szCs w:val="20"/>
        </w:rPr>
        <w:t xml:space="preserve"> </w:t>
      </w:r>
      <w:r w:rsidRPr="00431C4B">
        <w:rPr>
          <w:rFonts w:ascii="Arial" w:hAnsi="Arial" w:cs="Arial"/>
          <w:bCs/>
          <w:iCs/>
          <w:sz w:val="24"/>
          <w:szCs w:val="20"/>
        </w:rPr>
        <w:t xml:space="preserve">que la autoridad demandada al emitir el acto impugnado, </w:t>
      </w:r>
      <w:r w:rsidR="0078603F">
        <w:rPr>
          <w:rFonts w:ascii="Arial" w:hAnsi="Arial" w:cs="Arial"/>
          <w:bCs/>
          <w:iCs/>
          <w:sz w:val="24"/>
          <w:szCs w:val="20"/>
        </w:rPr>
        <w:t>no fundó</w:t>
      </w:r>
      <w:r>
        <w:rPr>
          <w:rFonts w:ascii="Arial" w:hAnsi="Arial" w:cs="Arial"/>
          <w:bCs/>
          <w:iCs/>
          <w:sz w:val="24"/>
          <w:szCs w:val="20"/>
        </w:rPr>
        <w:t xml:space="preserve"> </w:t>
      </w:r>
      <w:r w:rsidR="000B4795">
        <w:rPr>
          <w:rFonts w:ascii="Arial" w:hAnsi="Arial" w:cs="Arial"/>
          <w:bCs/>
          <w:iCs/>
          <w:sz w:val="24"/>
          <w:szCs w:val="20"/>
        </w:rPr>
        <w:t xml:space="preserve">debidamente su competencia, alegando </w:t>
      </w:r>
      <w:r w:rsidR="00627D8C">
        <w:rPr>
          <w:rFonts w:ascii="Arial" w:hAnsi="Arial" w:cs="Arial"/>
          <w:bCs/>
          <w:iCs/>
          <w:sz w:val="24"/>
          <w:szCs w:val="20"/>
        </w:rPr>
        <w:t>que al emitir el acto de molestia, deb</w:t>
      </w:r>
      <w:r w:rsidR="0078603F">
        <w:rPr>
          <w:rFonts w:ascii="Arial" w:hAnsi="Arial" w:cs="Arial"/>
          <w:bCs/>
          <w:iCs/>
          <w:sz w:val="24"/>
          <w:szCs w:val="20"/>
        </w:rPr>
        <w:t>ió</w:t>
      </w:r>
      <w:r w:rsidR="00627D8C">
        <w:rPr>
          <w:rFonts w:ascii="Arial" w:hAnsi="Arial" w:cs="Arial"/>
          <w:bCs/>
          <w:iCs/>
          <w:sz w:val="24"/>
          <w:szCs w:val="20"/>
        </w:rPr>
        <w:t xml:space="preserve"> invocar las disposiciones legales, acuerdo o decreto, que otorguen facultades a la autoridad emisora y, en caso de que estas normas incluyan diversos supuestos, </w:t>
      </w:r>
      <w:r w:rsidR="0078603F">
        <w:rPr>
          <w:rFonts w:ascii="Arial" w:hAnsi="Arial" w:cs="Arial"/>
          <w:bCs/>
          <w:iCs/>
          <w:sz w:val="24"/>
          <w:szCs w:val="20"/>
        </w:rPr>
        <w:t>debió</w:t>
      </w:r>
      <w:r w:rsidR="00627D8C">
        <w:rPr>
          <w:rFonts w:ascii="Arial" w:hAnsi="Arial" w:cs="Arial"/>
          <w:bCs/>
          <w:iCs/>
          <w:sz w:val="24"/>
          <w:szCs w:val="20"/>
        </w:rPr>
        <w:t xml:space="preserve"> precisar con claridad y detalle, el apartado, la fracción o fracciones, incisos y </w:t>
      </w:r>
      <w:proofErr w:type="spellStart"/>
      <w:r w:rsidR="00627D8C">
        <w:rPr>
          <w:rFonts w:ascii="Arial" w:hAnsi="Arial" w:cs="Arial"/>
          <w:bCs/>
          <w:iCs/>
          <w:sz w:val="24"/>
          <w:szCs w:val="20"/>
        </w:rPr>
        <w:t>subincisos</w:t>
      </w:r>
      <w:proofErr w:type="spellEnd"/>
      <w:r w:rsidR="0078603F">
        <w:rPr>
          <w:rFonts w:ascii="Arial" w:hAnsi="Arial" w:cs="Arial"/>
          <w:bCs/>
          <w:iCs/>
          <w:sz w:val="24"/>
          <w:szCs w:val="20"/>
        </w:rPr>
        <w:t>, en que apoyó</w:t>
      </w:r>
      <w:r w:rsidR="00627D8C">
        <w:rPr>
          <w:rFonts w:ascii="Arial" w:hAnsi="Arial" w:cs="Arial"/>
          <w:bCs/>
          <w:iCs/>
          <w:sz w:val="24"/>
          <w:szCs w:val="20"/>
        </w:rPr>
        <w:t xml:space="preserve"> su actuación;</w:t>
      </w:r>
      <w:r w:rsidR="00F030B4">
        <w:rPr>
          <w:rFonts w:ascii="Arial" w:hAnsi="Arial" w:cs="Arial"/>
          <w:bCs/>
          <w:iCs/>
          <w:sz w:val="24"/>
          <w:szCs w:val="20"/>
        </w:rPr>
        <w:t xml:space="preserve"> </w:t>
      </w:r>
      <w:r w:rsidR="0078603F">
        <w:rPr>
          <w:rFonts w:ascii="Arial" w:hAnsi="Arial" w:cs="Arial"/>
          <w:bCs/>
          <w:iCs/>
          <w:sz w:val="24"/>
          <w:szCs w:val="20"/>
        </w:rPr>
        <w:t>y al no ser así, dejó</w:t>
      </w:r>
      <w:r w:rsidR="00F030B4">
        <w:rPr>
          <w:rFonts w:ascii="Arial" w:hAnsi="Arial" w:cs="Arial"/>
          <w:bCs/>
          <w:iCs/>
          <w:sz w:val="24"/>
          <w:szCs w:val="20"/>
        </w:rPr>
        <w:t xml:space="preserve"> en est</w:t>
      </w:r>
      <w:r w:rsidR="0078603F">
        <w:rPr>
          <w:rFonts w:ascii="Arial" w:hAnsi="Arial" w:cs="Arial"/>
          <w:bCs/>
          <w:iCs/>
          <w:sz w:val="24"/>
          <w:szCs w:val="20"/>
        </w:rPr>
        <w:t>ado de indefensión a la parte actora</w:t>
      </w:r>
      <w:r w:rsidR="00F030B4">
        <w:rPr>
          <w:rFonts w:ascii="Arial" w:hAnsi="Arial" w:cs="Arial"/>
          <w:bCs/>
          <w:iCs/>
          <w:sz w:val="24"/>
          <w:szCs w:val="20"/>
        </w:rPr>
        <w:t>,</w:t>
      </w:r>
      <w:r w:rsidRPr="00431C4B">
        <w:rPr>
          <w:rFonts w:ascii="Arial" w:hAnsi="Arial" w:cs="Arial"/>
          <w:bCs/>
          <w:iCs/>
          <w:sz w:val="24"/>
          <w:szCs w:val="20"/>
        </w:rPr>
        <w:t xml:space="preserve"> lo que contraviene los principios de certeza y </w:t>
      </w:r>
      <w:r w:rsidR="00F84F79">
        <w:rPr>
          <w:rFonts w:ascii="Arial" w:hAnsi="Arial" w:cs="Arial"/>
          <w:bCs/>
          <w:iCs/>
          <w:sz w:val="24"/>
          <w:szCs w:val="20"/>
        </w:rPr>
        <w:t>seguridad jurídica.</w:t>
      </w:r>
    </w:p>
    <w:p w:rsidR="00A93E98" w:rsidRDefault="00A93E98" w:rsidP="0078603F">
      <w:pPr>
        <w:spacing w:after="0" w:line="360" w:lineRule="auto"/>
        <w:ind w:firstLine="708"/>
        <w:jc w:val="both"/>
        <w:rPr>
          <w:rFonts w:ascii="Arial" w:hAnsi="Arial" w:cs="Arial"/>
          <w:bCs/>
          <w:iCs/>
          <w:sz w:val="24"/>
          <w:szCs w:val="20"/>
        </w:rPr>
      </w:pPr>
    </w:p>
    <w:p w:rsidR="00A93E98" w:rsidRDefault="00A93E98" w:rsidP="00A93E98">
      <w:pPr>
        <w:spacing w:after="0" w:line="360" w:lineRule="auto"/>
        <w:ind w:firstLine="708"/>
        <w:jc w:val="both"/>
        <w:rPr>
          <w:rFonts w:ascii="Arial" w:hAnsi="Arial" w:cs="Arial"/>
          <w:bCs/>
          <w:iCs/>
          <w:sz w:val="24"/>
          <w:szCs w:val="20"/>
        </w:rPr>
      </w:pPr>
      <w:r>
        <w:rPr>
          <w:rFonts w:ascii="Arial" w:hAnsi="Arial" w:cs="Arial"/>
          <w:sz w:val="24"/>
        </w:rPr>
        <w:t xml:space="preserve">De igual manera, </w:t>
      </w:r>
      <w:r w:rsidRPr="00F030B4">
        <w:rPr>
          <w:rFonts w:ascii="Arial" w:hAnsi="Arial" w:cs="Arial"/>
          <w:bCs/>
          <w:iCs/>
          <w:sz w:val="24"/>
          <w:szCs w:val="20"/>
        </w:rPr>
        <w:t xml:space="preserve">no pasa inadvertido a esta juzgadora que la competencia es una cuestión de orden público que constituye una de las exigencias primordiales de todo acto de autoridad, al tratarse de un presupuesto procesal, conforme al artículo 16 Constitucional, por lo que, con independencia de lo esgrimido por la </w:t>
      </w:r>
      <w:proofErr w:type="spellStart"/>
      <w:r w:rsidRPr="00F030B4">
        <w:rPr>
          <w:rFonts w:ascii="Arial" w:hAnsi="Arial" w:cs="Arial"/>
          <w:bCs/>
          <w:iCs/>
          <w:sz w:val="24"/>
          <w:szCs w:val="20"/>
        </w:rPr>
        <w:t>enjuiciante</w:t>
      </w:r>
      <w:proofErr w:type="spellEnd"/>
      <w:r w:rsidRPr="00F030B4">
        <w:rPr>
          <w:rFonts w:ascii="Arial" w:hAnsi="Arial" w:cs="Arial"/>
          <w:bCs/>
          <w:iCs/>
          <w:sz w:val="24"/>
          <w:szCs w:val="20"/>
        </w:rPr>
        <w:t xml:space="preserve">, su estudio es preferente y de </w:t>
      </w:r>
      <w:r w:rsidR="00C507DA">
        <w:rPr>
          <w:rFonts w:ascii="Arial" w:hAnsi="Arial" w:cs="Arial"/>
          <w:bCs/>
          <w:iCs/>
          <w:noProof/>
          <w:sz w:val="24"/>
          <w:szCs w:val="20"/>
          <w:lang w:eastAsia="es-MX"/>
        </w:rPr>
        <w:lastRenderedPageBreak/>
        <w:drawing>
          <wp:anchor distT="0" distB="0" distL="114300" distR="114300" simplePos="0" relativeHeight="251662336" behindDoc="1" locked="0" layoutInCell="1" allowOverlap="1" wp14:anchorId="249852FC" wp14:editId="02B4661E">
            <wp:simplePos x="0" y="0"/>
            <wp:positionH relativeFrom="column">
              <wp:posOffset>-1684817</wp:posOffset>
            </wp:positionH>
            <wp:positionV relativeFrom="paragraph">
              <wp:posOffset>-13586</wp:posOffset>
            </wp:positionV>
            <wp:extent cx="1584960" cy="25971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F030B4">
        <w:rPr>
          <w:rFonts w:ascii="Arial" w:hAnsi="Arial" w:cs="Arial"/>
          <w:bCs/>
          <w:iCs/>
          <w:sz w:val="24"/>
          <w:szCs w:val="20"/>
        </w:rPr>
        <w:t xml:space="preserve">oficio por parte del órgano Jurisdiccional que resuelve, ya que atañe a la correcta integración de un procedimiento que concluye con una resolución definitiva en la que se establecen cargas fiscales a un particular, este criterio encuentra apoyo, por analogía, en lo dispuesto en la tesis de Jurisprudencia VIII.3o. J/22, localizable en Tomo XXV, Abril de 2007, página 1377, del Semanario Judicial de la Federación y su Gaceta, que en su rubro y contenido refiere:  </w:t>
      </w:r>
    </w:p>
    <w:p w:rsidR="00A93E98" w:rsidRDefault="00A93E98" w:rsidP="00A93E98">
      <w:pPr>
        <w:spacing w:after="0" w:line="360" w:lineRule="auto"/>
        <w:ind w:firstLine="708"/>
        <w:jc w:val="both"/>
        <w:rPr>
          <w:rFonts w:ascii="Arial" w:hAnsi="Arial" w:cs="Arial"/>
          <w:bCs/>
          <w:iCs/>
          <w:sz w:val="24"/>
          <w:szCs w:val="20"/>
        </w:rPr>
      </w:pPr>
    </w:p>
    <w:p w:rsidR="00A93E98" w:rsidRPr="00673FFE" w:rsidRDefault="00A93E98" w:rsidP="00A93E98">
      <w:pPr>
        <w:spacing w:after="0" w:line="240" w:lineRule="auto"/>
        <w:ind w:left="851" w:right="618"/>
        <w:jc w:val="both"/>
        <w:rPr>
          <w:rFonts w:ascii="Arial" w:hAnsi="Arial" w:cs="Arial"/>
          <w:bCs/>
          <w:i/>
          <w:iCs/>
          <w:szCs w:val="20"/>
        </w:rPr>
      </w:pPr>
      <w:r w:rsidRPr="00673FFE">
        <w:rPr>
          <w:rFonts w:ascii="Arial" w:hAnsi="Arial" w:cs="Arial"/>
          <w:bCs/>
          <w:i/>
          <w:iCs/>
          <w:szCs w:val="20"/>
        </w:rPr>
        <w:t>“</w:t>
      </w:r>
      <w:r w:rsidRPr="00673FFE">
        <w:rPr>
          <w:rFonts w:ascii="Arial" w:hAnsi="Arial" w:cs="Arial"/>
          <w:b/>
          <w:bCs/>
          <w:i/>
          <w:iCs/>
          <w:szCs w:val="20"/>
        </w:rPr>
        <w:t>COMPETENCIA DE LAS AUTORIDADES ADMINISTRATIVAS. AL SER UN PRESUPUESTO PROCESAL CUYO ESTUDIO ES DE ORDEN PÚBLICO LAS SALAS DEL TRIBUNAL FEDERAL DE JUSTICIA FISCAL Y ADMINISTRATIVA DEBEN ANALIZARLA DE OFICIO, SIN DISTINGUIR SI SE TRATA DE LA INDEBIDA, INSUFICIENTE O DE LA FALTA DE FUNDAMENTACIÓN DE AQUÉLLA.</w:t>
      </w:r>
      <w:r w:rsidRPr="00673FFE">
        <w:rPr>
          <w:rFonts w:ascii="Arial" w:hAnsi="Arial" w:cs="Arial"/>
          <w:bCs/>
          <w:i/>
          <w:iCs/>
          <w:szCs w:val="20"/>
        </w:rPr>
        <w:t xml:space="preserve"> De la interpretación de las tesis jurisprudenciales P./J. 10/94, 2a./J. 99/2006, 2a./J. 57/2001 y 2a./J. 115/2005, publicadas en la Gaceta del Semanario Judicial de la Federación, Octava Época, Número 77, mayo de 1994, página 12 y Semanario Judicial de la Federación y su Gaceta, Novena Época, Tomos XXIV, julio de 2006; XIV, noviembre de 2001; y, XXII, septiembre de 2005, páginas 345, 31 y 310, respectivamente, de rubros: "COMPETENCIA. SU FUNDAMENTACIÓN ES REQUISITO ESENCIAL DEL ACTO DE AUTORIDAD."; "COMPETENCIA DE LA AUTORIDAD DEMANDADA EN EL JUICIO DE NULIDAD. DEBE ANALIZARSE EN TODOS LOS CASOS POR EL TRIBUNAL FEDERAL DE JUSTICIA FISCAL Y ADMINISTRATIVA."; "COMPETENCIA DE LAS AUTORIDADES ADMINISTRATIVAS. EN EL MANDAMIENTO ESCRITO QUE CONTIENE EL ACTO DE MOLESTIA, DEBE SEÑALARSE CON PRECISIÓN EL PRECEPTO LEGAL QUE LES OTORGUE LA ATRIBUCIÓN EJERCIDA Y, EN SU CASO, LA RESPECTIVA FRACCIÓN, INCISO Y SUBINCISO."; y "COMPETENCIA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 se colige que cuando se analiza la competencia material, por grado o territorio de cualquier autoridad administrativa, entre las que se incluye a la fiscal, no cabe distinguir entre su falta o ausencia o una indebida o incompleta fundamentación, para que las Salas del Tribunal Federal de Justicia Fiscal y Administrativa estén obligadas a examinarla en forma oficiosa, toda vez que, como presupuesto procesal que atañe a la correcta integración de un procedimiento, es una cuestión de orden público, mayor aún en un procedimiento que concluye con una resolución definitiva que establece cargas fiscales a un particular. Lo anterior es así, ya que por imperativo del artículo 16 de la Constitución Política de los Estados Unidos Mexicanos la autoridad que lleva a cabo un acto de molestia, tiene la ineludible obligación de justificar a plenitud que está facultada para hacerlo, lo cual implica necesariamente que cuenta con competencia para ello en los tres ámbitos mencionados, es decir, por razón de materia, grado o territorio, expresando en el documento respectivo el carácter con el que suscribe y el dispositivo, acuerdo o decreto que le otorgue dicha legitimación, aun en el supuesto de que la norma legal no contemple apartados, fracción o fracciones, inciso y </w:t>
      </w:r>
      <w:proofErr w:type="spellStart"/>
      <w:r w:rsidRPr="00673FFE">
        <w:rPr>
          <w:rFonts w:ascii="Arial" w:hAnsi="Arial" w:cs="Arial"/>
          <w:bCs/>
          <w:i/>
          <w:iCs/>
          <w:szCs w:val="20"/>
        </w:rPr>
        <w:t>subincisos</w:t>
      </w:r>
      <w:proofErr w:type="spellEnd"/>
      <w:r w:rsidRPr="00673FFE">
        <w:rPr>
          <w:rFonts w:ascii="Arial" w:hAnsi="Arial" w:cs="Arial"/>
          <w:bCs/>
          <w:i/>
          <w:iCs/>
          <w:szCs w:val="20"/>
        </w:rPr>
        <w:t xml:space="preserve">, pues en tal caso, debe llegar incluso al </w:t>
      </w:r>
      <w:r w:rsidRPr="00673FFE">
        <w:rPr>
          <w:rFonts w:ascii="Arial" w:hAnsi="Arial" w:cs="Arial"/>
          <w:bCs/>
          <w:i/>
          <w:iCs/>
          <w:szCs w:val="20"/>
        </w:rPr>
        <w:lastRenderedPageBreak/>
        <w:t>extremo de hacer la transcripción correspondiente del precepto en que funde debidamente su competencia, toda vez que la garantía de fundamentación consagrada en el citado artículo 16, lleva implícita la idea de exactitud y precisión en la cita de las normas legales que facultan a la autoridad administrativa para emitir el acto de molestia de que se trate, ya que sólo así podrá justificar si su actuación se encuentra dentro del ámbito competencial respectivo; de tal manera que si en un acto de molestia no se citan con exactitud y precisión las normas legales que facultan a la autoridad administrativa para afectar al gobernado, ese acto concreto de autoridad carece de eficacia y validez, en tanto que aquélla no proporcionó los elementos esenciales que permitan conocer si tiene competencia para incursionar en la esfera jurídica del particular, pues de lo contrario se le dejaría en estado de indefensión, toda vez que ignoraría cuál de todas las normas legales que integran el texto normativo es la específicamente aplicable a la actuación del órgano del que emana y en ese sentido, aun cuando la indebida, insuficiente o falta de fundamentación de la competencia de la autoridad generan la ilegalidad de la resolución administrativa en términos de la fracción II del artículo 238 del Código Fiscal de la Federación, vigente hasta el 31 de diciembre de 2005, cuyo contenido sustancial se reproduce en la fracción II del artículo 51 de la Ley Federal de Procedimiento Contencioso Administrativo, relativa a la omisión de los requisitos formales exigidos por las leyes; conforme al contenido y alcance del penúltimo párrafo de ese numeral, coincidente con el penúltimo párrafo del invocado artículo 51, las Salas del Tribunal Federal de Justicia Fiscal y Administrativa están obligadas a examinarla de oficio, al resultar ilegal el acto combatido, precisamente por la actuación o intervención de una autoridad que no acreditó tener competencia.</w:t>
      </w:r>
    </w:p>
    <w:p w:rsidR="00A93E98" w:rsidRPr="00673FFE" w:rsidRDefault="00A93E98" w:rsidP="00A93E98">
      <w:pPr>
        <w:spacing w:after="0" w:line="240" w:lineRule="auto"/>
        <w:ind w:left="851" w:right="618"/>
        <w:jc w:val="both"/>
        <w:rPr>
          <w:rFonts w:ascii="Arial" w:hAnsi="Arial" w:cs="Arial"/>
          <w:bCs/>
          <w:i/>
          <w:iCs/>
          <w:szCs w:val="20"/>
        </w:rPr>
      </w:pPr>
    </w:p>
    <w:p w:rsidR="00A93E98" w:rsidRPr="00673FFE" w:rsidRDefault="00A93E98" w:rsidP="00A93E98">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673FFE">
        <w:rPr>
          <w:rFonts w:ascii="Arial" w:hAnsi="Arial" w:cs="Arial"/>
          <w:i/>
          <w:color w:val="212529"/>
          <w:sz w:val="22"/>
          <w:szCs w:val="20"/>
        </w:rPr>
        <w:t>TERCER TRIBUNAL COLEGIADO DEL OCTAVO CIRCUITO.</w:t>
      </w:r>
    </w:p>
    <w:p w:rsidR="00A93E98" w:rsidRPr="00673FFE" w:rsidRDefault="00A93E98" w:rsidP="00A93E98">
      <w:pPr>
        <w:pStyle w:val="NormalWeb"/>
        <w:shd w:val="clear" w:color="auto" w:fill="FFFFFF"/>
        <w:spacing w:before="0" w:beforeAutospacing="0" w:after="0" w:afterAutospacing="0"/>
        <w:ind w:left="851" w:right="618"/>
        <w:jc w:val="both"/>
        <w:rPr>
          <w:rStyle w:val="fw-bold"/>
          <w:rFonts w:ascii="Arial" w:eastAsia="Calibri" w:hAnsi="Arial" w:cs="Arial"/>
          <w:i/>
          <w:color w:val="212529"/>
          <w:sz w:val="22"/>
          <w:szCs w:val="20"/>
        </w:rPr>
      </w:pPr>
    </w:p>
    <w:p w:rsidR="00A93E98" w:rsidRPr="00673FFE" w:rsidRDefault="00A93E98" w:rsidP="00A93E98">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673FFE">
        <w:rPr>
          <w:rStyle w:val="fw-bold"/>
          <w:rFonts w:ascii="Arial" w:eastAsia="Calibri" w:hAnsi="Arial" w:cs="Arial"/>
          <w:i/>
          <w:color w:val="212529"/>
          <w:sz w:val="22"/>
          <w:szCs w:val="20"/>
        </w:rPr>
        <w:t>Registro digital: </w:t>
      </w:r>
      <w:r w:rsidRPr="00673FFE">
        <w:rPr>
          <w:rFonts w:ascii="Arial" w:hAnsi="Arial" w:cs="Arial"/>
          <w:i/>
          <w:color w:val="212529"/>
          <w:sz w:val="22"/>
          <w:szCs w:val="20"/>
        </w:rPr>
        <w:t xml:space="preserve">172812. </w:t>
      </w:r>
      <w:r w:rsidRPr="00673FFE">
        <w:rPr>
          <w:rStyle w:val="fw-bold"/>
          <w:rFonts w:ascii="Arial" w:eastAsia="Calibri" w:hAnsi="Arial" w:cs="Arial"/>
          <w:i/>
          <w:color w:val="212529"/>
          <w:sz w:val="22"/>
          <w:szCs w:val="20"/>
        </w:rPr>
        <w:t>Instancia: </w:t>
      </w:r>
      <w:r w:rsidRPr="00673FFE">
        <w:rPr>
          <w:rFonts w:ascii="Arial" w:hAnsi="Arial" w:cs="Arial"/>
          <w:i/>
          <w:color w:val="212529"/>
          <w:sz w:val="22"/>
          <w:szCs w:val="20"/>
        </w:rPr>
        <w:t xml:space="preserve">Tribunales Colegiados de Circuito. </w:t>
      </w:r>
      <w:r w:rsidRPr="00673FFE">
        <w:rPr>
          <w:rStyle w:val="fw-bold"/>
          <w:rFonts w:ascii="Arial" w:eastAsia="Calibri" w:hAnsi="Arial" w:cs="Arial"/>
          <w:i/>
          <w:color w:val="212529"/>
          <w:sz w:val="22"/>
          <w:szCs w:val="20"/>
        </w:rPr>
        <w:t>Novena Época. Materia(s): </w:t>
      </w:r>
      <w:r w:rsidRPr="00673FFE">
        <w:rPr>
          <w:rFonts w:ascii="Arial" w:hAnsi="Arial" w:cs="Arial"/>
          <w:i/>
          <w:color w:val="212529"/>
          <w:sz w:val="22"/>
          <w:szCs w:val="20"/>
        </w:rPr>
        <w:t xml:space="preserve">Administrativa. </w:t>
      </w:r>
      <w:r w:rsidRPr="00673FFE">
        <w:rPr>
          <w:rStyle w:val="fw-bold"/>
          <w:rFonts w:ascii="Arial" w:eastAsia="Calibri" w:hAnsi="Arial" w:cs="Arial"/>
          <w:i/>
          <w:color w:val="212529"/>
          <w:sz w:val="22"/>
          <w:szCs w:val="20"/>
        </w:rPr>
        <w:t>Tesis: </w:t>
      </w:r>
      <w:r w:rsidRPr="00673FFE">
        <w:rPr>
          <w:rFonts w:ascii="Arial" w:hAnsi="Arial" w:cs="Arial"/>
          <w:i/>
          <w:color w:val="212529"/>
          <w:sz w:val="22"/>
          <w:szCs w:val="20"/>
        </w:rPr>
        <w:t xml:space="preserve">VIII.3o. J/22. </w:t>
      </w:r>
      <w:r w:rsidRPr="00673FFE">
        <w:rPr>
          <w:rStyle w:val="fw-bold"/>
          <w:rFonts w:ascii="Arial" w:eastAsia="Calibri" w:hAnsi="Arial" w:cs="Arial"/>
          <w:i/>
          <w:color w:val="212529"/>
          <w:sz w:val="22"/>
          <w:szCs w:val="20"/>
        </w:rPr>
        <w:t>Fuente: </w:t>
      </w:r>
      <w:r w:rsidRPr="00673FFE">
        <w:rPr>
          <w:rFonts w:ascii="Arial" w:hAnsi="Arial" w:cs="Arial"/>
          <w:i/>
          <w:color w:val="212529"/>
          <w:sz w:val="22"/>
          <w:szCs w:val="20"/>
        </w:rPr>
        <w:t xml:space="preserve">Semanario Judicial de la Federación y su Gaceta. Tomo XXV, Abril de 2007, página 1377. </w:t>
      </w:r>
      <w:r w:rsidRPr="00673FFE">
        <w:rPr>
          <w:rStyle w:val="fw-bold"/>
          <w:rFonts w:ascii="Arial" w:eastAsia="Calibri" w:hAnsi="Arial" w:cs="Arial"/>
          <w:i/>
          <w:color w:val="212529"/>
          <w:sz w:val="22"/>
          <w:szCs w:val="20"/>
        </w:rPr>
        <w:t>Tipo: </w:t>
      </w:r>
      <w:r w:rsidRPr="00673FFE">
        <w:rPr>
          <w:rFonts w:ascii="Arial" w:hAnsi="Arial" w:cs="Arial"/>
          <w:i/>
          <w:color w:val="212529"/>
          <w:sz w:val="22"/>
          <w:szCs w:val="20"/>
        </w:rPr>
        <w:t>Jurisprudencia.”</w:t>
      </w:r>
    </w:p>
    <w:p w:rsidR="00A93E98" w:rsidRDefault="00A93E98" w:rsidP="00A93E98">
      <w:pPr>
        <w:pStyle w:val="NormalWeb"/>
        <w:shd w:val="clear" w:color="auto" w:fill="FFFFFF"/>
        <w:spacing w:before="0" w:beforeAutospacing="0" w:after="0" w:afterAutospacing="0"/>
        <w:ind w:right="618"/>
        <w:jc w:val="both"/>
        <w:rPr>
          <w:rFonts w:ascii="Arial" w:hAnsi="Arial" w:cs="Arial"/>
          <w:i/>
          <w:color w:val="212529"/>
          <w:sz w:val="20"/>
          <w:szCs w:val="20"/>
        </w:rPr>
      </w:pPr>
    </w:p>
    <w:p w:rsidR="00A93E98" w:rsidRPr="0078603F" w:rsidRDefault="00A93E98" w:rsidP="00A93E98">
      <w:pPr>
        <w:pStyle w:val="NormalWeb"/>
        <w:shd w:val="clear" w:color="auto" w:fill="FFFFFF"/>
        <w:spacing w:before="0" w:beforeAutospacing="0" w:after="0" w:afterAutospacing="0"/>
        <w:ind w:right="618"/>
        <w:jc w:val="both"/>
        <w:rPr>
          <w:rFonts w:ascii="Arial" w:hAnsi="Arial" w:cs="Arial"/>
          <w:color w:val="212529"/>
          <w:sz w:val="20"/>
          <w:szCs w:val="20"/>
        </w:rPr>
      </w:pPr>
    </w:p>
    <w:p w:rsidR="00A93E98" w:rsidRDefault="00A93E98" w:rsidP="00A93E98">
      <w:pPr>
        <w:spacing w:after="0" w:line="360" w:lineRule="auto"/>
        <w:ind w:firstLine="708"/>
        <w:jc w:val="both"/>
        <w:rPr>
          <w:rFonts w:ascii="Arial" w:hAnsi="Arial" w:cs="Arial"/>
          <w:bCs/>
          <w:iCs/>
          <w:sz w:val="24"/>
          <w:szCs w:val="20"/>
        </w:rPr>
      </w:pPr>
      <w:r w:rsidRPr="0078603F">
        <w:rPr>
          <w:rFonts w:ascii="Arial" w:hAnsi="Arial" w:cs="Arial"/>
          <w:bCs/>
          <w:iCs/>
          <w:sz w:val="24"/>
          <w:szCs w:val="20"/>
        </w:rPr>
        <w:t>Sobre este tema cobra relevancia, por analogía y en su parte conducente, lo contenido en la Tesis Asilada II.3o.A.55 A (10a.), localizada en el registro digital: 2003589, del Semanario Judicial de la Federación, que dispone:</w:t>
      </w:r>
    </w:p>
    <w:p w:rsidR="00A93E98" w:rsidRDefault="00A93E98" w:rsidP="00A93E98">
      <w:pPr>
        <w:spacing w:after="0" w:line="360" w:lineRule="auto"/>
        <w:ind w:firstLine="708"/>
        <w:jc w:val="both"/>
        <w:rPr>
          <w:rFonts w:ascii="Arial" w:hAnsi="Arial" w:cs="Arial"/>
          <w:bCs/>
          <w:iCs/>
          <w:sz w:val="24"/>
          <w:szCs w:val="20"/>
        </w:rPr>
      </w:pPr>
    </w:p>
    <w:p w:rsidR="00A93E98" w:rsidRPr="00673FFE" w:rsidRDefault="00A93E98" w:rsidP="00A93E98">
      <w:pPr>
        <w:spacing w:after="0" w:line="240" w:lineRule="auto"/>
        <w:ind w:left="709" w:right="618"/>
        <w:jc w:val="both"/>
        <w:rPr>
          <w:rFonts w:ascii="Arial" w:hAnsi="Arial" w:cs="Arial"/>
          <w:bCs/>
          <w:i/>
          <w:iCs/>
        </w:rPr>
      </w:pPr>
      <w:r w:rsidRPr="00673FFE">
        <w:rPr>
          <w:rFonts w:ascii="Arial" w:hAnsi="Arial" w:cs="Arial"/>
          <w:bCs/>
          <w:i/>
          <w:iCs/>
        </w:rPr>
        <w:t>“</w:t>
      </w:r>
      <w:r w:rsidRPr="00673FFE">
        <w:rPr>
          <w:rFonts w:ascii="Arial" w:hAnsi="Arial" w:cs="Arial"/>
          <w:b/>
          <w:bCs/>
          <w:i/>
          <w:iCs/>
        </w:rPr>
        <w:t>INCOMPETENCIA DE LA AUTORIDAD DEMANDADA EN EL JUICIO CONTENCIOSO ADMINISTRATIVO. REGLAS PARA SU ESTUDIO CONFORME A LOS ARTÍCULOS 50, SEGUNDO PÁRRAFO Y 51, PENÚLTIMO PÁRRAFO, DE LA LEY FEDERAL DE PROCEDIMIENTO RELATIVO, ANTES DE LA REFORMA A ESTE ÚLTIMO, PUBLICADA EN EL DIARIO OFICIAL DE LA FEDERACIÓN EL 10 DE DICIEMBRE DE 2010 (APLICACIÓN DE LAS JURISPRUDENCIAS 2a./J. 9/2011 Y 2a./J. 218/2007).</w:t>
      </w:r>
      <w:r w:rsidRPr="00673FFE">
        <w:rPr>
          <w:rFonts w:ascii="Arial" w:hAnsi="Arial" w:cs="Arial"/>
          <w:bCs/>
          <w:i/>
          <w:iCs/>
        </w:rPr>
        <w:t xml:space="preserve"> De acuerdo con la ejecutoria dictada en la contradicción de tesis 294/2010, de la que derivó la jurisprudencia 2a./J. 9/2011 y la solicitud de aclaración de ésta (2/2011), de la Segunda Sala de la Suprema Corte de Justicia de la Nación, y conforme a los artículos 50, segundo párrafo y 51, penúltimo párrafo, de la Ley Federal de Procedimiento Contencioso Administrativo, antes de la reforma a este último, publicada en el Diario Oficial de la Federación el 10 de diciembre de 2010, las Salas del Tribunal Federal de Justicia Fiscal y Administrativa están obligadas a </w:t>
      </w:r>
      <w:r w:rsidR="00C507DA">
        <w:rPr>
          <w:rFonts w:ascii="Arial" w:hAnsi="Arial" w:cs="Arial"/>
          <w:b/>
          <w:bCs/>
          <w:i/>
          <w:iCs/>
          <w:noProof/>
          <w:lang w:eastAsia="es-MX"/>
        </w:rPr>
        <w:lastRenderedPageBreak/>
        <w:drawing>
          <wp:anchor distT="0" distB="0" distL="114300" distR="114300" simplePos="0" relativeHeight="251663360" behindDoc="1" locked="0" layoutInCell="1" allowOverlap="1" wp14:anchorId="2E53ED2D" wp14:editId="64BEAC04">
            <wp:simplePos x="0" y="0"/>
            <wp:positionH relativeFrom="leftMargin">
              <wp:align>right</wp:align>
            </wp:positionH>
            <wp:positionV relativeFrom="paragraph">
              <wp:posOffset>23200</wp:posOffset>
            </wp:positionV>
            <wp:extent cx="1584960" cy="25971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673FFE">
        <w:rPr>
          <w:rFonts w:ascii="Arial" w:hAnsi="Arial" w:cs="Arial"/>
          <w:bCs/>
          <w:i/>
          <w:iCs/>
        </w:rPr>
        <w:t xml:space="preserve">estudiar, preferentemente, la incompetencia de la autoridad demandada en el juicio contencioso administrativo, en dos casos: a) Cuando el actor plantee conceptos de impugnación relativos al tema, los que incluso deberán analizarse en un orden apropiado, comenzando por los que conlleven la obtención de los mayores beneficios para el demandante (incompetencia material, por ejemplo) y posteriormente, estudiar, los que puedan implicar menores beneficios (falta de fundamentación de la competencia, por ejemplo) hasta agotar el análisis respectivo, y b) Cuando, a pesar de no haberse planteado, la Sala Fiscal deba pronunciarse oficiosamente al respecto, siempre que en ese aspecto existan planteamientos que pudieran resultar fundados, lo que significa, acorde con la diversa jurisprudencia 2a./J. 218/2007, que si en la demanda de origen no existen agravios en los que se exponga la incompetencia y la Sala Fiscal tampoco se pronuncia oficiosamente al respecto, deberá entenderse que tácitamente, con su silencio, estima que es competente la autoridad demandada para emitir el acto controvertido, pues si efectivamente fuere incompetente, entonces así lo habría declarado de oficio, de todo lo cual se sigue que si la Sala Fiscal no se pronuncia expresamente sobre la incompetencia de la autoridad demandada y con ello le reconoce tácitamente como competente, entonces su decisión implícita solo podrá considerarse constitucionalmente válida si, en verdad, no existe argumento alguno de incompetencia que sea fundado, aspecto que debe ser cuidadosamente controlado en amparo, razón por la cual los Tribunales Colegiados deben verificar que las decisiones expresas o tácitas en materia de incompetencia de dicha demandada efectivamente sean correctas.  </w:t>
      </w:r>
    </w:p>
    <w:p w:rsidR="00A93E98" w:rsidRPr="00673FFE" w:rsidRDefault="00A93E98" w:rsidP="00A93E98">
      <w:pPr>
        <w:spacing w:after="0" w:line="240" w:lineRule="auto"/>
        <w:ind w:left="709" w:right="618"/>
        <w:jc w:val="both"/>
        <w:rPr>
          <w:rFonts w:ascii="Arial" w:hAnsi="Arial" w:cs="Arial"/>
          <w:bCs/>
          <w:iCs/>
        </w:rPr>
      </w:pPr>
      <w:r w:rsidRPr="00673FFE">
        <w:rPr>
          <w:rFonts w:ascii="Arial" w:hAnsi="Arial" w:cs="Arial"/>
          <w:bCs/>
          <w:i/>
          <w:iCs/>
        </w:rPr>
        <w:t>TERCER TRIBUNAL COLEGIADO EN MATERIA ADMINISTRATIVA DEL SEGUNDO CIRCUITO</w:t>
      </w:r>
      <w:r w:rsidRPr="00673FFE">
        <w:rPr>
          <w:rFonts w:ascii="Arial" w:hAnsi="Arial" w:cs="Arial"/>
          <w:bCs/>
          <w:iCs/>
        </w:rPr>
        <w:t>.”</w:t>
      </w:r>
    </w:p>
    <w:p w:rsidR="00A93E98" w:rsidRDefault="00A93E98" w:rsidP="00A93E98">
      <w:pPr>
        <w:spacing w:after="0" w:line="240" w:lineRule="auto"/>
        <w:ind w:left="709" w:right="618"/>
        <w:jc w:val="both"/>
        <w:rPr>
          <w:rFonts w:ascii="Arial" w:hAnsi="Arial" w:cs="Arial"/>
          <w:bCs/>
          <w:iCs/>
          <w:sz w:val="24"/>
          <w:szCs w:val="20"/>
        </w:rPr>
      </w:pPr>
    </w:p>
    <w:p w:rsidR="00A93E98" w:rsidRDefault="00A93E98" w:rsidP="00A93E98">
      <w:pPr>
        <w:spacing w:after="0" w:line="360" w:lineRule="auto"/>
        <w:ind w:right="475" w:firstLine="567"/>
        <w:jc w:val="both"/>
        <w:rPr>
          <w:rFonts w:ascii="Arial" w:hAnsi="Arial" w:cs="Arial"/>
          <w:sz w:val="24"/>
        </w:rPr>
      </w:pPr>
    </w:p>
    <w:p w:rsidR="00A93E98" w:rsidRDefault="00A93E98" w:rsidP="00A93E98">
      <w:pPr>
        <w:spacing w:after="0" w:line="360" w:lineRule="auto"/>
        <w:ind w:right="475" w:firstLine="567"/>
        <w:jc w:val="both"/>
        <w:rPr>
          <w:rFonts w:ascii="Arial" w:hAnsi="Arial" w:cs="Arial"/>
          <w:sz w:val="24"/>
        </w:rPr>
      </w:pPr>
      <w:r>
        <w:rPr>
          <w:rFonts w:ascii="Arial" w:hAnsi="Arial" w:cs="Arial"/>
          <w:sz w:val="24"/>
        </w:rPr>
        <w:t xml:space="preserve">Ahora bien, precisado lo anterior, a juicio de la Suscrita Magistrada de esta Segunda Sala Unitaria, el argumento de impugnación de la actora, en estudio, </w:t>
      </w:r>
      <w:r>
        <w:rPr>
          <w:rFonts w:ascii="Arial" w:hAnsi="Arial" w:cs="Arial"/>
          <w:b/>
          <w:sz w:val="24"/>
        </w:rPr>
        <w:t>resulta esencialmente fundado y suficiente para declarar la nulidad del cato impugnado</w:t>
      </w:r>
      <w:r>
        <w:rPr>
          <w:rFonts w:ascii="Arial" w:hAnsi="Arial" w:cs="Arial"/>
          <w:sz w:val="24"/>
        </w:rPr>
        <w:t xml:space="preserve">, atendiendo a las consideraciones siguientes: </w:t>
      </w:r>
    </w:p>
    <w:p w:rsidR="00A93E98" w:rsidRDefault="00A93E98" w:rsidP="00A93E98">
      <w:pPr>
        <w:spacing w:after="0" w:line="360" w:lineRule="auto"/>
        <w:jc w:val="both"/>
        <w:rPr>
          <w:rFonts w:ascii="Arial" w:hAnsi="Arial" w:cs="Arial"/>
          <w:bCs/>
          <w:iCs/>
          <w:sz w:val="24"/>
          <w:szCs w:val="20"/>
        </w:rPr>
      </w:pPr>
    </w:p>
    <w:p w:rsidR="003462BB" w:rsidRDefault="003462BB" w:rsidP="003462BB">
      <w:pPr>
        <w:spacing w:after="0" w:line="360" w:lineRule="auto"/>
        <w:ind w:firstLine="567"/>
        <w:jc w:val="both"/>
        <w:rPr>
          <w:rFonts w:ascii="Arial" w:hAnsi="Arial" w:cs="Arial"/>
          <w:bCs/>
          <w:iCs/>
          <w:sz w:val="24"/>
          <w:szCs w:val="20"/>
        </w:rPr>
      </w:pPr>
      <w:r>
        <w:rPr>
          <w:rFonts w:ascii="Arial" w:hAnsi="Arial" w:cs="Arial"/>
          <w:sz w:val="24"/>
        </w:rPr>
        <w:t xml:space="preserve">La autoridad demudada, </w:t>
      </w:r>
      <w:r w:rsidRPr="003462BB">
        <w:rPr>
          <w:rFonts w:ascii="Arial" w:hAnsi="Arial" w:cs="Arial"/>
          <w:color w:val="FF0000"/>
          <w:sz w:val="24"/>
          <w:szCs w:val="24"/>
        </w:rPr>
        <w:t>Director de Recaudación y Política Fiscal de la Secretaria de Finanzas de Gobierno del Estado de San Luis Potosí</w:t>
      </w:r>
      <w:r>
        <w:rPr>
          <w:rFonts w:ascii="Arial" w:hAnsi="Arial" w:cs="Arial"/>
          <w:sz w:val="24"/>
          <w:szCs w:val="24"/>
        </w:rPr>
        <w:t xml:space="preserve">, </w:t>
      </w:r>
      <w:r>
        <w:rPr>
          <w:rFonts w:ascii="Arial" w:hAnsi="Arial" w:cs="Arial"/>
          <w:sz w:val="24"/>
        </w:rPr>
        <w:t xml:space="preserve">al emitir el </w:t>
      </w:r>
      <w:r w:rsidRPr="00D0076B">
        <w:rPr>
          <w:rFonts w:ascii="Arial" w:hAnsi="Arial" w:cs="Arial"/>
          <w:color w:val="FF0000"/>
          <w:sz w:val="24"/>
          <w:szCs w:val="24"/>
        </w:rPr>
        <w:t xml:space="preserve">mandamiento de ejecución número </w:t>
      </w:r>
      <w:r w:rsidR="00C507DA">
        <w:rPr>
          <w:rFonts w:ascii="Arial" w:hAnsi="Arial" w:cs="Arial"/>
          <w:color w:val="FF0000"/>
          <w:sz w:val="24"/>
          <w:szCs w:val="24"/>
        </w:rPr>
        <w:t>**********</w:t>
      </w:r>
      <w:r>
        <w:rPr>
          <w:rFonts w:ascii="Arial" w:hAnsi="Arial" w:cs="Arial"/>
          <w:sz w:val="24"/>
          <w:szCs w:val="24"/>
        </w:rPr>
        <w:t>,</w:t>
      </w:r>
      <w:r w:rsidR="00F90503">
        <w:rPr>
          <w:rFonts w:ascii="Arial" w:hAnsi="Arial" w:cs="Arial"/>
          <w:sz w:val="24"/>
          <w:szCs w:val="24"/>
        </w:rPr>
        <w:t xml:space="preserve"> fundó</w:t>
      </w:r>
      <w:r>
        <w:rPr>
          <w:rFonts w:ascii="Arial" w:hAnsi="Arial" w:cs="Arial"/>
          <w:sz w:val="24"/>
          <w:szCs w:val="24"/>
        </w:rPr>
        <w:t xml:space="preserve"> su competencia en los artículos 31 fracción II y 33 fracciones V, VII, XI, XII y L de la Ley Orgánica de la Administración Pública del Estado de San Luis Potosí; </w:t>
      </w:r>
      <w:r w:rsidR="005E3828">
        <w:rPr>
          <w:rFonts w:ascii="Arial" w:hAnsi="Arial" w:cs="Arial"/>
          <w:sz w:val="24"/>
          <w:szCs w:val="24"/>
        </w:rPr>
        <w:t xml:space="preserve">47 fracción I inciso c) y f), 78 y 82 del Código Fiscal del Estado de San Luis Potosí; </w:t>
      </w:r>
      <w:r w:rsidR="00F90503">
        <w:rPr>
          <w:rFonts w:ascii="Arial" w:hAnsi="Arial" w:cs="Arial"/>
          <w:sz w:val="24"/>
          <w:szCs w:val="24"/>
        </w:rPr>
        <w:t>artículos 1, 3 fracción II inciso a) y último párrafo, 15 fracciones XV, XXII, XXIII, XXVII, XXXI, XXXV y XXXVII, así como el último párrafo del artículo 3 del Decreto Administrativo que adiciona disposiciones del Reglamento Interior de la Secretaría de Finanzas publicado en el Periódico Oficial en fechas 17 de junio de 2006, 16 de julio de 2011, 19 de enero de 2016 y 15 de mayo de 2016.</w:t>
      </w:r>
    </w:p>
    <w:p w:rsidR="003462BB" w:rsidRDefault="003462BB" w:rsidP="00A93E98">
      <w:pPr>
        <w:spacing w:after="0" w:line="360" w:lineRule="auto"/>
        <w:jc w:val="both"/>
        <w:rPr>
          <w:rFonts w:ascii="Arial" w:hAnsi="Arial" w:cs="Arial"/>
          <w:bCs/>
          <w:iCs/>
          <w:sz w:val="24"/>
          <w:szCs w:val="20"/>
        </w:rPr>
      </w:pPr>
    </w:p>
    <w:p w:rsidR="00367E09" w:rsidRDefault="00F90503" w:rsidP="00367E09">
      <w:pPr>
        <w:spacing w:after="0" w:line="360" w:lineRule="auto"/>
        <w:ind w:firstLine="708"/>
        <w:jc w:val="both"/>
        <w:rPr>
          <w:rFonts w:ascii="Arial" w:hAnsi="Arial" w:cs="Arial"/>
          <w:bCs/>
          <w:iCs/>
          <w:sz w:val="24"/>
          <w:szCs w:val="20"/>
        </w:rPr>
      </w:pPr>
      <w:r>
        <w:rPr>
          <w:rFonts w:ascii="Arial" w:hAnsi="Arial" w:cs="Arial"/>
          <w:bCs/>
          <w:iCs/>
          <w:sz w:val="24"/>
          <w:szCs w:val="20"/>
        </w:rPr>
        <w:lastRenderedPageBreak/>
        <w:t>Aunado a lo anterior</w:t>
      </w:r>
      <w:r w:rsidR="00084904">
        <w:rPr>
          <w:rFonts w:ascii="Arial" w:hAnsi="Arial" w:cs="Arial"/>
          <w:bCs/>
          <w:iCs/>
          <w:sz w:val="24"/>
          <w:szCs w:val="20"/>
        </w:rPr>
        <w:t>, la de demanda</w:t>
      </w:r>
      <w:r w:rsidR="00927D12">
        <w:rPr>
          <w:rFonts w:ascii="Arial" w:hAnsi="Arial" w:cs="Arial"/>
          <w:bCs/>
          <w:iCs/>
          <w:sz w:val="24"/>
          <w:szCs w:val="20"/>
        </w:rPr>
        <w:t>da</w:t>
      </w:r>
      <w:r w:rsidR="00084904">
        <w:rPr>
          <w:rFonts w:ascii="Arial" w:hAnsi="Arial" w:cs="Arial"/>
          <w:bCs/>
          <w:iCs/>
          <w:sz w:val="24"/>
          <w:szCs w:val="20"/>
        </w:rPr>
        <w:t xml:space="preserve"> en su contestación, específicamente en sus argumentos expresados contra </w:t>
      </w:r>
      <w:r w:rsidR="00084904" w:rsidRPr="00431C4B">
        <w:rPr>
          <w:rFonts w:ascii="Arial" w:hAnsi="Arial" w:cs="Arial"/>
          <w:bCs/>
          <w:iCs/>
          <w:sz w:val="24"/>
          <w:szCs w:val="20"/>
        </w:rPr>
        <w:t>el re</w:t>
      </w:r>
      <w:r w:rsidR="00084904">
        <w:rPr>
          <w:rFonts w:ascii="Arial" w:hAnsi="Arial" w:cs="Arial"/>
          <w:bCs/>
          <w:iCs/>
          <w:sz w:val="24"/>
          <w:szCs w:val="20"/>
        </w:rPr>
        <w:t>ferido concepto de impugnación</w:t>
      </w:r>
      <w:r>
        <w:rPr>
          <w:rFonts w:ascii="Arial" w:hAnsi="Arial" w:cs="Arial"/>
          <w:bCs/>
          <w:iCs/>
          <w:sz w:val="24"/>
          <w:szCs w:val="20"/>
        </w:rPr>
        <w:t xml:space="preserve"> </w:t>
      </w:r>
      <w:r w:rsidR="00084904">
        <w:rPr>
          <w:rFonts w:ascii="Arial" w:hAnsi="Arial" w:cs="Arial"/>
          <w:bCs/>
          <w:iCs/>
          <w:sz w:val="24"/>
          <w:szCs w:val="20"/>
        </w:rPr>
        <w:t>-</w:t>
      </w:r>
      <w:r w:rsidR="00084904" w:rsidRPr="0078603F">
        <w:rPr>
          <w:rFonts w:ascii="Arial" w:hAnsi="Arial" w:cs="Arial"/>
          <w:bCs/>
          <w:i/>
          <w:iCs/>
          <w:sz w:val="24"/>
          <w:szCs w:val="20"/>
        </w:rPr>
        <w:t>Primero</w:t>
      </w:r>
      <w:r w:rsidR="00084904" w:rsidRPr="00431C4B">
        <w:rPr>
          <w:rFonts w:ascii="Arial" w:hAnsi="Arial" w:cs="Arial"/>
          <w:bCs/>
          <w:iCs/>
          <w:sz w:val="24"/>
          <w:szCs w:val="20"/>
        </w:rPr>
        <w:t xml:space="preserve">- </w:t>
      </w:r>
      <w:r w:rsidR="00084904">
        <w:rPr>
          <w:rFonts w:ascii="Arial" w:hAnsi="Arial" w:cs="Arial"/>
          <w:bCs/>
          <w:iCs/>
          <w:sz w:val="24"/>
          <w:szCs w:val="20"/>
        </w:rPr>
        <w:t>arguye que resulta inoperante</w:t>
      </w:r>
      <w:r w:rsidR="00367E09">
        <w:rPr>
          <w:rFonts w:ascii="Arial" w:hAnsi="Arial" w:cs="Arial"/>
          <w:bCs/>
          <w:iCs/>
          <w:sz w:val="24"/>
          <w:szCs w:val="20"/>
        </w:rPr>
        <w:t>, ya que</w:t>
      </w:r>
      <w:r w:rsidR="00084904">
        <w:rPr>
          <w:rFonts w:ascii="Arial" w:hAnsi="Arial" w:cs="Arial"/>
          <w:bCs/>
          <w:iCs/>
          <w:sz w:val="24"/>
          <w:szCs w:val="20"/>
        </w:rPr>
        <w:t xml:space="preserve"> el </w:t>
      </w:r>
      <w:r w:rsidR="00084904" w:rsidRPr="00F90503">
        <w:rPr>
          <w:rFonts w:ascii="Arial" w:hAnsi="Arial" w:cs="Arial"/>
          <w:bCs/>
          <w:iCs/>
          <w:color w:val="FF0000"/>
          <w:sz w:val="24"/>
          <w:szCs w:val="20"/>
        </w:rPr>
        <w:t xml:space="preserve">mandamiento de ejecución </w:t>
      </w:r>
      <w:r w:rsidR="00927D12" w:rsidRPr="00D0076B">
        <w:rPr>
          <w:rFonts w:ascii="Arial" w:hAnsi="Arial" w:cs="Arial"/>
          <w:color w:val="FF0000"/>
          <w:sz w:val="24"/>
          <w:szCs w:val="24"/>
        </w:rPr>
        <w:t xml:space="preserve">número </w:t>
      </w:r>
      <w:r w:rsidR="00C507DA">
        <w:rPr>
          <w:rFonts w:ascii="Arial" w:hAnsi="Arial" w:cs="Arial"/>
          <w:color w:val="FF0000"/>
          <w:sz w:val="24"/>
          <w:szCs w:val="24"/>
        </w:rPr>
        <w:t>**********</w:t>
      </w:r>
      <w:r w:rsidR="00927D12">
        <w:rPr>
          <w:rFonts w:ascii="Arial" w:hAnsi="Arial" w:cs="Arial"/>
          <w:color w:val="FF0000"/>
          <w:sz w:val="24"/>
          <w:szCs w:val="24"/>
        </w:rPr>
        <w:t xml:space="preserve"> </w:t>
      </w:r>
      <w:r w:rsidR="00084904">
        <w:rPr>
          <w:rFonts w:ascii="Arial" w:hAnsi="Arial" w:cs="Arial"/>
          <w:bCs/>
          <w:iCs/>
          <w:sz w:val="24"/>
          <w:szCs w:val="20"/>
        </w:rPr>
        <w:t xml:space="preserve">fue </w:t>
      </w:r>
      <w:r>
        <w:rPr>
          <w:rFonts w:ascii="Arial" w:hAnsi="Arial" w:cs="Arial"/>
          <w:bCs/>
          <w:iCs/>
          <w:sz w:val="24"/>
          <w:szCs w:val="20"/>
        </w:rPr>
        <w:t>emitido</w:t>
      </w:r>
      <w:r w:rsidR="00084904">
        <w:rPr>
          <w:rFonts w:ascii="Arial" w:hAnsi="Arial" w:cs="Arial"/>
          <w:bCs/>
          <w:iCs/>
          <w:sz w:val="24"/>
          <w:szCs w:val="20"/>
        </w:rPr>
        <w:t xml:space="preserve"> </w:t>
      </w:r>
      <w:r w:rsidR="00367E09">
        <w:rPr>
          <w:rFonts w:ascii="Arial" w:hAnsi="Arial" w:cs="Arial"/>
          <w:bCs/>
          <w:iCs/>
          <w:sz w:val="24"/>
          <w:szCs w:val="20"/>
        </w:rPr>
        <w:t>debidamente fundado y motivado,</w:t>
      </w:r>
      <w:r w:rsidR="005E3828">
        <w:rPr>
          <w:rFonts w:ascii="Arial" w:hAnsi="Arial" w:cs="Arial"/>
          <w:bCs/>
          <w:iCs/>
          <w:sz w:val="24"/>
          <w:szCs w:val="20"/>
        </w:rPr>
        <w:t xml:space="preserve"> así mismo</w:t>
      </w:r>
      <w:r w:rsidR="00367E09">
        <w:rPr>
          <w:rFonts w:ascii="Arial" w:hAnsi="Arial" w:cs="Arial"/>
          <w:bCs/>
          <w:iCs/>
          <w:sz w:val="24"/>
          <w:szCs w:val="20"/>
        </w:rPr>
        <w:t xml:space="preserve"> argument</w:t>
      </w:r>
      <w:r w:rsidR="00F2736D">
        <w:rPr>
          <w:rFonts w:ascii="Arial" w:hAnsi="Arial" w:cs="Arial"/>
          <w:bCs/>
          <w:iCs/>
          <w:sz w:val="24"/>
          <w:szCs w:val="20"/>
        </w:rPr>
        <w:t>ó</w:t>
      </w:r>
      <w:r w:rsidR="00367E09">
        <w:rPr>
          <w:rFonts w:ascii="Arial" w:hAnsi="Arial" w:cs="Arial"/>
          <w:bCs/>
          <w:iCs/>
          <w:sz w:val="24"/>
          <w:szCs w:val="20"/>
        </w:rPr>
        <w:t xml:space="preserve"> lo siguiente:</w:t>
      </w:r>
    </w:p>
    <w:p w:rsidR="00F2736D" w:rsidRDefault="00F2736D" w:rsidP="00367E09">
      <w:pPr>
        <w:spacing w:after="0" w:line="360" w:lineRule="auto"/>
        <w:ind w:firstLine="708"/>
        <w:jc w:val="both"/>
        <w:rPr>
          <w:rFonts w:ascii="Arial" w:hAnsi="Arial" w:cs="Arial"/>
          <w:bCs/>
          <w:iCs/>
          <w:sz w:val="24"/>
          <w:szCs w:val="20"/>
        </w:rPr>
      </w:pPr>
    </w:p>
    <w:p w:rsidR="00E05A18" w:rsidRPr="00673FFE" w:rsidRDefault="00367E09" w:rsidP="00F2736D">
      <w:pPr>
        <w:spacing w:after="0" w:line="240" w:lineRule="auto"/>
        <w:ind w:left="851" w:right="618"/>
        <w:jc w:val="both"/>
        <w:rPr>
          <w:rFonts w:ascii="Arial" w:hAnsi="Arial" w:cs="Arial"/>
          <w:bCs/>
          <w:i/>
          <w:iCs/>
          <w:szCs w:val="20"/>
        </w:rPr>
      </w:pPr>
      <w:r w:rsidRPr="00673FFE">
        <w:rPr>
          <w:rFonts w:ascii="Arial" w:hAnsi="Arial" w:cs="Arial"/>
          <w:bCs/>
          <w:i/>
          <w:iCs/>
          <w:szCs w:val="20"/>
        </w:rPr>
        <w:t xml:space="preserve">“Ahora bien, en el presente asunto el Director de Recaudación y Política Fiscal dependiente de la Dirección General de Ingresos dependiente de la Secretaría de </w:t>
      </w:r>
      <w:r w:rsidR="00F2736D" w:rsidRPr="00673FFE">
        <w:rPr>
          <w:rFonts w:ascii="Arial" w:hAnsi="Arial" w:cs="Arial"/>
          <w:bCs/>
          <w:i/>
          <w:iCs/>
          <w:szCs w:val="20"/>
        </w:rPr>
        <w:t xml:space="preserve">Finanzas del Gobierno del Estado </w:t>
      </w:r>
      <w:r w:rsidR="00F2736D" w:rsidRPr="00673FFE">
        <w:rPr>
          <w:rFonts w:ascii="Arial" w:hAnsi="Arial" w:cs="Arial"/>
          <w:b/>
          <w:bCs/>
          <w:i/>
          <w:iCs/>
          <w:szCs w:val="20"/>
          <w:u w:val="single"/>
        </w:rPr>
        <w:t xml:space="preserve">al emitir el mandamientos de </w:t>
      </w:r>
      <w:proofErr w:type="spellStart"/>
      <w:r w:rsidR="00F2736D" w:rsidRPr="00673FFE">
        <w:rPr>
          <w:rFonts w:ascii="Arial" w:hAnsi="Arial" w:cs="Arial"/>
          <w:b/>
          <w:bCs/>
          <w:i/>
          <w:iCs/>
          <w:szCs w:val="20"/>
          <w:u w:val="single"/>
        </w:rPr>
        <w:t>de</w:t>
      </w:r>
      <w:proofErr w:type="spellEnd"/>
      <w:r w:rsidR="00F2736D" w:rsidRPr="00673FFE">
        <w:rPr>
          <w:rFonts w:ascii="Arial" w:hAnsi="Arial" w:cs="Arial"/>
          <w:b/>
          <w:bCs/>
          <w:i/>
          <w:iCs/>
          <w:szCs w:val="20"/>
          <w:u w:val="single"/>
        </w:rPr>
        <w:t xml:space="preserve"> ejecución cumplió con las formalidades previstas en el artículo 16 Constitucional y 46 fracción IV del Código Fiscal del Estado de San Luis Potosí</w:t>
      </w:r>
      <w:r w:rsidR="00F2736D" w:rsidRPr="00673FFE">
        <w:rPr>
          <w:rFonts w:ascii="Arial" w:hAnsi="Arial" w:cs="Arial"/>
          <w:bCs/>
          <w:i/>
          <w:iCs/>
          <w:szCs w:val="20"/>
        </w:rPr>
        <w:t xml:space="preserve"> </w:t>
      </w:r>
      <w:r w:rsidR="00F2736D" w:rsidRPr="00673FFE">
        <w:rPr>
          <w:rFonts w:ascii="Arial" w:hAnsi="Arial" w:cs="Arial"/>
          <w:b/>
          <w:bCs/>
          <w:i/>
          <w:iCs/>
          <w:szCs w:val="20"/>
        </w:rPr>
        <w:t>al haber invocado los artículos 31 fracción II, 33 fracciones V y XI de la Ley Orgánica de la Administración Pública del Estado de San Luis Potosí; 18, 47 fracción I incisos c) y f), 79, 80 del Código Fiscal del Estado de San Luis Potosí; 3° fracción II inciso a), último párrafo y 15 fracción XV del Reglamento Interior de la Secretaría de Finanzas del Gobierno del Estado dentro del acto controvertido</w:t>
      </w:r>
      <w:r w:rsidR="00F2736D" w:rsidRPr="00673FFE">
        <w:rPr>
          <w:rFonts w:ascii="Arial" w:hAnsi="Arial" w:cs="Arial"/>
          <w:bCs/>
          <w:i/>
          <w:iCs/>
          <w:szCs w:val="20"/>
        </w:rPr>
        <w:t>…</w:t>
      </w:r>
    </w:p>
    <w:p w:rsidR="00E05A18" w:rsidRPr="00673FFE" w:rsidRDefault="00E05A18" w:rsidP="00F2736D">
      <w:pPr>
        <w:spacing w:after="0" w:line="240" w:lineRule="auto"/>
        <w:ind w:left="851" w:right="618"/>
        <w:jc w:val="both"/>
        <w:rPr>
          <w:rFonts w:ascii="Arial" w:hAnsi="Arial" w:cs="Arial"/>
          <w:bCs/>
          <w:i/>
          <w:iCs/>
          <w:szCs w:val="20"/>
        </w:rPr>
      </w:pPr>
      <w:r w:rsidRPr="00673FFE">
        <w:rPr>
          <w:rFonts w:ascii="Arial" w:hAnsi="Arial" w:cs="Arial"/>
          <w:bCs/>
          <w:i/>
          <w:iCs/>
          <w:szCs w:val="20"/>
        </w:rPr>
        <w:t>…</w:t>
      </w:r>
    </w:p>
    <w:p w:rsidR="00A93E98" w:rsidRPr="00673FFE" w:rsidRDefault="00E05A18" w:rsidP="00F2736D">
      <w:pPr>
        <w:spacing w:after="0" w:line="240" w:lineRule="auto"/>
        <w:ind w:left="851" w:right="618"/>
        <w:jc w:val="both"/>
        <w:rPr>
          <w:rFonts w:ascii="Arial" w:hAnsi="Arial" w:cs="Arial"/>
          <w:bCs/>
          <w:i/>
          <w:iCs/>
          <w:szCs w:val="20"/>
        </w:rPr>
      </w:pPr>
      <w:r w:rsidRPr="00673FFE">
        <w:rPr>
          <w:rFonts w:ascii="Arial" w:hAnsi="Arial" w:cs="Arial"/>
          <w:bCs/>
          <w:i/>
          <w:iCs/>
          <w:szCs w:val="20"/>
        </w:rPr>
        <w:t xml:space="preserve">Y con base en los elementos anteriores, deberá considerarse infundado el argumento de la actora en el sentido de que el Director de Recaudación y Política Fiscal carece de facultades para emitir </w:t>
      </w:r>
      <w:r w:rsidRPr="00673FFE">
        <w:rPr>
          <w:rFonts w:ascii="Arial" w:hAnsi="Arial" w:cs="Arial"/>
          <w:b/>
          <w:bCs/>
          <w:i/>
          <w:iCs/>
          <w:szCs w:val="20"/>
          <w:u w:val="single"/>
        </w:rPr>
        <w:t>mandamientos de ejecución quero tengan por objeto hacer efectivas multas impuestas por autoridades judiciales estatales</w:t>
      </w:r>
      <w:r w:rsidRPr="00673FFE">
        <w:rPr>
          <w:rFonts w:ascii="Arial" w:hAnsi="Arial" w:cs="Arial"/>
          <w:bCs/>
          <w:i/>
          <w:iCs/>
          <w:szCs w:val="20"/>
        </w:rPr>
        <w:t xml:space="preserve"> ya que como se manifestó a párrafos anteriores, </w:t>
      </w:r>
      <w:r w:rsidRPr="00673FFE">
        <w:rPr>
          <w:rFonts w:ascii="Arial" w:hAnsi="Arial" w:cs="Arial"/>
          <w:b/>
          <w:bCs/>
          <w:i/>
          <w:iCs/>
          <w:szCs w:val="20"/>
          <w:u w:val="single"/>
        </w:rPr>
        <w:t>la autoridad</w:t>
      </w:r>
      <w:r w:rsidRPr="00673FFE">
        <w:rPr>
          <w:rFonts w:ascii="Arial" w:hAnsi="Arial" w:cs="Arial"/>
          <w:bCs/>
          <w:i/>
          <w:iCs/>
          <w:szCs w:val="20"/>
        </w:rPr>
        <w:t xml:space="preserve"> que se representa </w:t>
      </w:r>
      <w:r w:rsidRPr="00673FFE">
        <w:rPr>
          <w:rFonts w:ascii="Arial" w:hAnsi="Arial" w:cs="Arial"/>
          <w:b/>
          <w:bCs/>
          <w:i/>
          <w:iCs/>
          <w:szCs w:val="20"/>
          <w:u w:val="single"/>
        </w:rPr>
        <w:t>fundó correctamente su competencia,</w:t>
      </w:r>
      <w:r w:rsidRPr="00673FFE">
        <w:rPr>
          <w:rFonts w:ascii="Arial" w:hAnsi="Arial" w:cs="Arial"/>
          <w:bCs/>
          <w:i/>
          <w:iCs/>
          <w:szCs w:val="20"/>
        </w:rPr>
        <w:t xml:space="preserve"> ya que de una lectura que haga ese órgano colegiado a los mismos se pude advertir que cuenta con atribuciones para ello…</w:t>
      </w:r>
      <w:r w:rsidR="00F2736D" w:rsidRPr="00673FFE">
        <w:rPr>
          <w:rFonts w:ascii="Arial" w:hAnsi="Arial" w:cs="Arial"/>
          <w:bCs/>
          <w:i/>
          <w:iCs/>
          <w:szCs w:val="20"/>
        </w:rPr>
        <w:t>”</w:t>
      </w:r>
      <w:r w:rsidR="004911D4" w:rsidRPr="00673FFE">
        <w:rPr>
          <w:rFonts w:ascii="Arial" w:hAnsi="Arial" w:cs="Arial"/>
          <w:bCs/>
          <w:i/>
          <w:iCs/>
          <w:szCs w:val="20"/>
        </w:rPr>
        <w:t xml:space="preserve"> </w:t>
      </w:r>
    </w:p>
    <w:p w:rsidR="00F2736D" w:rsidRPr="00673FFE" w:rsidRDefault="004911D4" w:rsidP="00F2736D">
      <w:pPr>
        <w:spacing w:after="0" w:line="240" w:lineRule="auto"/>
        <w:ind w:left="851" w:right="618"/>
        <w:jc w:val="both"/>
        <w:rPr>
          <w:rFonts w:ascii="Arial" w:hAnsi="Arial" w:cs="Arial"/>
          <w:bCs/>
          <w:i/>
          <w:iCs/>
          <w:szCs w:val="20"/>
        </w:rPr>
      </w:pPr>
      <w:r w:rsidRPr="00673FFE">
        <w:rPr>
          <w:rFonts w:ascii="Arial" w:hAnsi="Arial" w:cs="Arial"/>
          <w:bCs/>
          <w:i/>
          <w:iCs/>
          <w:szCs w:val="20"/>
        </w:rPr>
        <w:t>(Énfasis añadido)</w:t>
      </w:r>
    </w:p>
    <w:p w:rsidR="00367E09" w:rsidRDefault="00367E09" w:rsidP="00F84F79">
      <w:pPr>
        <w:spacing w:after="0" w:line="360" w:lineRule="auto"/>
        <w:jc w:val="both"/>
        <w:rPr>
          <w:rFonts w:ascii="Arial" w:hAnsi="Arial" w:cs="Arial"/>
          <w:bCs/>
          <w:iCs/>
          <w:sz w:val="24"/>
          <w:szCs w:val="20"/>
        </w:rPr>
      </w:pPr>
    </w:p>
    <w:p w:rsidR="00F2736D" w:rsidRDefault="004911D4" w:rsidP="00F2736D">
      <w:pPr>
        <w:spacing w:after="0" w:line="360" w:lineRule="auto"/>
        <w:ind w:left="143" w:firstLine="708"/>
        <w:jc w:val="both"/>
        <w:rPr>
          <w:rFonts w:ascii="Arial" w:hAnsi="Arial" w:cs="Arial"/>
          <w:bCs/>
          <w:iCs/>
          <w:sz w:val="24"/>
          <w:szCs w:val="20"/>
        </w:rPr>
      </w:pPr>
      <w:r>
        <w:rPr>
          <w:rFonts w:ascii="Arial" w:hAnsi="Arial" w:cs="Arial"/>
          <w:bCs/>
          <w:iCs/>
          <w:sz w:val="24"/>
          <w:szCs w:val="20"/>
        </w:rPr>
        <w:t>Respecto</w:t>
      </w:r>
      <w:r w:rsidR="00F2736D">
        <w:rPr>
          <w:rFonts w:ascii="Arial" w:hAnsi="Arial" w:cs="Arial"/>
          <w:bCs/>
          <w:iCs/>
          <w:sz w:val="24"/>
          <w:szCs w:val="20"/>
        </w:rPr>
        <w:t xml:space="preserve"> a lo anterior, la autoridad demandada transcribió los ordenamientos señalados respectivamente, empero </w:t>
      </w:r>
      <w:r w:rsidR="00E05A18">
        <w:rPr>
          <w:rFonts w:ascii="Arial" w:hAnsi="Arial" w:cs="Arial"/>
          <w:bCs/>
          <w:iCs/>
          <w:sz w:val="24"/>
          <w:szCs w:val="20"/>
        </w:rPr>
        <w:t xml:space="preserve">sobre </w:t>
      </w:r>
      <w:r w:rsidR="00F2736D">
        <w:rPr>
          <w:rFonts w:ascii="Arial" w:hAnsi="Arial" w:cs="Arial"/>
          <w:bCs/>
          <w:iCs/>
          <w:sz w:val="24"/>
          <w:szCs w:val="20"/>
        </w:rPr>
        <w:t>los preceptos legales referente al Código Fiscal del Estado, específicamente del artículo 80, transcribió también su fracción III, lo cual</w:t>
      </w:r>
      <w:r>
        <w:rPr>
          <w:rFonts w:ascii="Arial" w:hAnsi="Arial" w:cs="Arial"/>
          <w:bCs/>
          <w:iCs/>
          <w:sz w:val="24"/>
          <w:szCs w:val="20"/>
        </w:rPr>
        <w:t>,</w:t>
      </w:r>
      <w:r w:rsidR="00F2736D">
        <w:rPr>
          <w:rFonts w:ascii="Arial" w:hAnsi="Arial" w:cs="Arial"/>
          <w:bCs/>
          <w:iCs/>
          <w:sz w:val="24"/>
          <w:szCs w:val="20"/>
        </w:rPr>
        <w:t xml:space="preserve"> no se asentó </w:t>
      </w:r>
      <w:r w:rsidR="00A93E98">
        <w:rPr>
          <w:rFonts w:ascii="Arial" w:hAnsi="Arial" w:cs="Arial"/>
          <w:bCs/>
          <w:iCs/>
          <w:sz w:val="24"/>
          <w:szCs w:val="20"/>
        </w:rPr>
        <w:t xml:space="preserve">ni </w:t>
      </w:r>
      <w:r w:rsidR="00F2736D">
        <w:rPr>
          <w:rFonts w:ascii="Arial" w:hAnsi="Arial" w:cs="Arial"/>
          <w:bCs/>
          <w:iCs/>
          <w:sz w:val="24"/>
          <w:szCs w:val="20"/>
        </w:rPr>
        <w:t>en el mandamiento de ejecución,</w:t>
      </w:r>
      <w:r w:rsidR="00A93E98">
        <w:rPr>
          <w:rFonts w:ascii="Arial" w:hAnsi="Arial" w:cs="Arial"/>
          <w:bCs/>
          <w:iCs/>
          <w:sz w:val="24"/>
          <w:szCs w:val="20"/>
        </w:rPr>
        <w:t xml:space="preserve"> ni en sus argumentos, únicamente </w:t>
      </w:r>
      <w:r w:rsidR="00927D12">
        <w:rPr>
          <w:rFonts w:ascii="Arial" w:hAnsi="Arial" w:cs="Arial"/>
          <w:bCs/>
          <w:iCs/>
          <w:sz w:val="24"/>
          <w:szCs w:val="20"/>
        </w:rPr>
        <w:t xml:space="preserve">lo señaló </w:t>
      </w:r>
      <w:r w:rsidR="00A93E98">
        <w:rPr>
          <w:rFonts w:ascii="Arial" w:hAnsi="Arial" w:cs="Arial"/>
          <w:bCs/>
          <w:iCs/>
          <w:sz w:val="24"/>
          <w:szCs w:val="20"/>
        </w:rPr>
        <w:t>al hacer la transcripción de la</w:t>
      </w:r>
      <w:r w:rsidR="00F2736D">
        <w:rPr>
          <w:rFonts w:ascii="Arial" w:hAnsi="Arial" w:cs="Arial"/>
          <w:bCs/>
          <w:iCs/>
          <w:sz w:val="24"/>
          <w:szCs w:val="20"/>
        </w:rPr>
        <w:t xml:space="preserve"> disposición</w:t>
      </w:r>
      <w:r w:rsidR="00A93E98">
        <w:rPr>
          <w:rFonts w:ascii="Arial" w:hAnsi="Arial" w:cs="Arial"/>
          <w:bCs/>
          <w:iCs/>
          <w:sz w:val="24"/>
          <w:szCs w:val="20"/>
        </w:rPr>
        <w:t xml:space="preserve"> en cita, el cual, </w:t>
      </w:r>
      <w:r w:rsidR="00F2736D">
        <w:rPr>
          <w:rFonts w:ascii="Arial" w:hAnsi="Arial" w:cs="Arial"/>
          <w:bCs/>
          <w:iCs/>
          <w:sz w:val="24"/>
          <w:szCs w:val="20"/>
        </w:rPr>
        <w:t>a la letra dice:</w:t>
      </w:r>
    </w:p>
    <w:p w:rsidR="00F2736D" w:rsidRDefault="00F2736D" w:rsidP="00F2736D">
      <w:pPr>
        <w:spacing w:after="0" w:line="360" w:lineRule="auto"/>
        <w:ind w:left="143" w:firstLine="708"/>
        <w:jc w:val="both"/>
        <w:rPr>
          <w:rFonts w:ascii="Arial" w:hAnsi="Arial" w:cs="Arial"/>
          <w:bCs/>
          <w:iCs/>
          <w:sz w:val="24"/>
          <w:szCs w:val="20"/>
        </w:rPr>
      </w:pPr>
    </w:p>
    <w:p w:rsidR="00F2736D" w:rsidRPr="00673FFE" w:rsidRDefault="004911D4" w:rsidP="004911D4">
      <w:pPr>
        <w:spacing w:after="0" w:line="240" w:lineRule="auto"/>
        <w:ind w:left="851" w:right="618"/>
        <w:jc w:val="both"/>
        <w:rPr>
          <w:rFonts w:ascii="Arial" w:hAnsi="Arial" w:cs="Arial"/>
          <w:bCs/>
          <w:i/>
          <w:iCs/>
          <w:szCs w:val="20"/>
        </w:rPr>
      </w:pPr>
      <w:r w:rsidRPr="00673FFE">
        <w:rPr>
          <w:rFonts w:ascii="Arial" w:hAnsi="Arial" w:cs="Arial"/>
          <w:bCs/>
          <w:i/>
          <w:iCs/>
          <w:szCs w:val="20"/>
        </w:rPr>
        <w:t>“</w:t>
      </w:r>
      <w:r w:rsidRPr="00673FFE">
        <w:rPr>
          <w:rFonts w:ascii="Arial" w:hAnsi="Arial" w:cs="Arial"/>
          <w:b/>
          <w:bCs/>
          <w:i/>
          <w:iCs/>
          <w:szCs w:val="20"/>
        </w:rPr>
        <w:t>ARTICULO 80.-</w:t>
      </w:r>
      <w:r w:rsidRPr="00673FFE">
        <w:rPr>
          <w:rFonts w:ascii="Arial" w:hAnsi="Arial" w:cs="Arial"/>
          <w:bCs/>
          <w:i/>
          <w:iCs/>
          <w:szCs w:val="20"/>
        </w:rPr>
        <w:t xml:space="preserve"> También se ejercitará el procedimiento de ejecución, de acuerdo con las disposiciones de este Capítulo, para hacer efectivos:</w:t>
      </w:r>
      <w:r w:rsidRPr="00673FFE">
        <w:rPr>
          <w:rFonts w:ascii="Arial" w:hAnsi="Arial" w:cs="Arial"/>
          <w:bCs/>
          <w:i/>
          <w:iCs/>
          <w:szCs w:val="20"/>
        </w:rPr>
        <w:cr/>
        <w:t>…</w:t>
      </w:r>
    </w:p>
    <w:p w:rsidR="004911D4" w:rsidRPr="00673FFE" w:rsidRDefault="004911D4" w:rsidP="004911D4">
      <w:pPr>
        <w:spacing w:after="0" w:line="240" w:lineRule="auto"/>
        <w:ind w:left="851" w:right="618"/>
        <w:jc w:val="both"/>
        <w:rPr>
          <w:rFonts w:ascii="Arial" w:hAnsi="Arial" w:cs="Arial"/>
          <w:b/>
          <w:i/>
          <w:szCs w:val="20"/>
          <w:u w:val="single"/>
        </w:rPr>
      </w:pPr>
      <w:r w:rsidRPr="00673FFE">
        <w:rPr>
          <w:rFonts w:ascii="Arial" w:hAnsi="Arial" w:cs="Arial"/>
          <w:b/>
          <w:i/>
          <w:szCs w:val="20"/>
          <w:u w:val="single"/>
        </w:rPr>
        <w:t>III. Las sanciones pecuniarias, en favor del erario estatal o municipal, impuestas por las autoridades judiciales o administrativas;</w:t>
      </w:r>
    </w:p>
    <w:p w:rsidR="004911D4" w:rsidRPr="00673FFE" w:rsidRDefault="004911D4" w:rsidP="004911D4">
      <w:pPr>
        <w:spacing w:after="0" w:line="240" w:lineRule="auto"/>
        <w:ind w:left="851" w:right="618"/>
        <w:jc w:val="both"/>
        <w:rPr>
          <w:rFonts w:ascii="Arial" w:hAnsi="Arial" w:cs="Arial"/>
          <w:b/>
          <w:bCs/>
          <w:i/>
          <w:iCs/>
          <w:szCs w:val="20"/>
        </w:rPr>
      </w:pPr>
      <w:r w:rsidRPr="00673FFE">
        <w:rPr>
          <w:rFonts w:ascii="Arial" w:hAnsi="Arial" w:cs="Arial"/>
          <w:b/>
          <w:bCs/>
          <w:i/>
          <w:iCs/>
          <w:szCs w:val="20"/>
        </w:rPr>
        <w:t>…”</w:t>
      </w:r>
    </w:p>
    <w:p w:rsidR="00F2736D" w:rsidRPr="00673FFE" w:rsidRDefault="00F2736D" w:rsidP="00F84F79">
      <w:pPr>
        <w:spacing w:after="0" w:line="360" w:lineRule="auto"/>
        <w:ind w:firstLine="708"/>
        <w:jc w:val="both"/>
        <w:rPr>
          <w:rFonts w:ascii="Arial" w:hAnsi="Arial" w:cs="Arial"/>
          <w:bCs/>
          <w:iCs/>
          <w:sz w:val="28"/>
          <w:szCs w:val="20"/>
        </w:rPr>
      </w:pPr>
    </w:p>
    <w:p w:rsidR="004911D4" w:rsidRDefault="004911D4">
      <w:pPr>
        <w:spacing w:after="160" w:line="259" w:lineRule="auto"/>
        <w:rPr>
          <w:rFonts w:ascii="Arial" w:hAnsi="Arial" w:cs="Arial"/>
          <w:bCs/>
          <w:iCs/>
          <w:sz w:val="24"/>
          <w:szCs w:val="20"/>
        </w:rPr>
      </w:pPr>
      <w:r>
        <w:rPr>
          <w:rFonts w:ascii="Arial" w:hAnsi="Arial" w:cs="Arial"/>
          <w:bCs/>
          <w:iCs/>
          <w:sz w:val="24"/>
          <w:szCs w:val="20"/>
        </w:rPr>
        <w:tab/>
        <w:t xml:space="preserve">Así mismo, la autoridad demandada, expresó como </w:t>
      </w:r>
      <w:r w:rsidR="00F117C2">
        <w:rPr>
          <w:rFonts w:ascii="Arial" w:hAnsi="Arial" w:cs="Arial"/>
          <w:bCs/>
          <w:iCs/>
          <w:sz w:val="24"/>
          <w:szCs w:val="20"/>
        </w:rPr>
        <w:t xml:space="preserve">argumento </w:t>
      </w:r>
      <w:r>
        <w:rPr>
          <w:rFonts w:ascii="Arial" w:hAnsi="Arial" w:cs="Arial"/>
          <w:bCs/>
          <w:iCs/>
          <w:sz w:val="24"/>
          <w:szCs w:val="20"/>
        </w:rPr>
        <w:t xml:space="preserve">contra </w:t>
      </w:r>
      <w:r w:rsidRPr="00431C4B">
        <w:rPr>
          <w:rFonts w:ascii="Arial" w:hAnsi="Arial" w:cs="Arial"/>
          <w:bCs/>
          <w:iCs/>
          <w:sz w:val="24"/>
          <w:szCs w:val="20"/>
        </w:rPr>
        <w:t>el re</w:t>
      </w:r>
      <w:r>
        <w:rPr>
          <w:rFonts w:ascii="Arial" w:hAnsi="Arial" w:cs="Arial"/>
          <w:bCs/>
          <w:iCs/>
          <w:sz w:val="24"/>
          <w:szCs w:val="20"/>
        </w:rPr>
        <w:t>ferido concepto de impugnación-</w:t>
      </w:r>
      <w:r w:rsidRPr="0078603F">
        <w:rPr>
          <w:rFonts w:ascii="Arial" w:hAnsi="Arial" w:cs="Arial"/>
          <w:bCs/>
          <w:i/>
          <w:iCs/>
          <w:sz w:val="24"/>
          <w:szCs w:val="20"/>
        </w:rPr>
        <w:t>Primero</w:t>
      </w:r>
      <w:r w:rsidRPr="00431C4B">
        <w:rPr>
          <w:rFonts w:ascii="Arial" w:hAnsi="Arial" w:cs="Arial"/>
          <w:bCs/>
          <w:iCs/>
          <w:sz w:val="24"/>
          <w:szCs w:val="20"/>
        </w:rPr>
        <w:t>-</w:t>
      </w:r>
      <w:r w:rsidR="00A93E98">
        <w:rPr>
          <w:rFonts w:ascii="Arial" w:hAnsi="Arial" w:cs="Arial"/>
          <w:bCs/>
          <w:iCs/>
          <w:sz w:val="24"/>
          <w:szCs w:val="20"/>
        </w:rPr>
        <w:t>,</w:t>
      </w:r>
      <w:r w:rsidRPr="00431C4B">
        <w:rPr>
          <w:rFonts w:ascii="Arial" w:hAnsi="Arial" w:cs="Arial"/>
          <w:bCs/>
          <w:iCs/>
          <w:sz w:val="24"/>
          <w:szCs w:val="20"/>
        </w:rPr>
        <w:t xml:space="preserve"> </w:t>
      </w:r>
      <w:r>
        <w:rPr>
          <w:rFonts w:ascii="Arial" w:hAnsi="Arial" w:cs="Arial"/>
          <w:bCs/>
          <w:iCs/>
          <w:sz w:val="24"/>
          <w:szCs w:val="20"/>
        </w:rPr>
        <w:t>lo siguiente:</w:t>
      </w:r>
    </w:p>
    <w:p w:rsidR="004911D4" w:rsidRDefault="004911D4">
      <w:pPr>
        <w:spacing w:after="160" w:line="259" w:lineRule="auto"/>
        <w:rPr>
          <w:rFonts w:ascii="Arial" w:hAnsi="Arial" w:cs="Arial"/>
          <w:bCs/>
          <w:iCs/>
          <w:sz w:val="24"/>
          <w:szCs w:val="20"/>
        </w:rPr>
      </w:pPr>
    </w:p>
    <w:p w:rsidR="004911D4" w:rsidRPr="00673FFE" w:rsidRDefault="00C507DA" w:rsidP="004911D4">
      <w:pPr>
        <w:spacing w:after="160" w:line="240" w:lineRule="auto"/>
        <w:ind w:left="851" w:right="618"/>
        <w:jc w:val="both"/>
        <w:rPr>
          <w:rFonts w:ascii="Arial" w:hAnsi="Arial" w:cs="Arial"/>
          <w:bCs/>
          <w:i/>
          <w:iCs/>
          <w:szCs w:val="20"/>
        </w:rPr>
      </w:pPr>
      <w:r>
        <w:rPr>
          <w:rFonts w:ascii="Arial" w:hAnsi="Arial" w:cs="Arial"/>
          <w:bCs/>
          <w:iCs/>
          <w:noProof/>
          <w:sz w:val="28"/>
          <w:szCs w:val="20"/>
          <w:lang w:eastAsia="es-MX"/>
        </w:rPr>
        <w:lastRenderedPageBreak/>
        <w:drawing>
          <wp:anchor distT="0" distB="0" distL="114300" distR="114300" simplePos="0" relativeHeight="251664384" behindDoc="1" locked="0" layoutInCell="1" allowOverlap="1" wp14:anchorId="053173E4" wp14:editId="55379F15">
            <wp:simplePos x="0" y="0"/>
            <wp:positionH relativeFrom="leftMargin">
              <wp:posOffset>183042</wp:posOffset>
            </wp:positionH>
            <wp:positionV relativeFrom="paragraph">
              <wp:posOffset>-5715</wp:posOffset>
            </wp:positionV>
            <wp:extent cx="1584960" cy="259715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4911D4" w:rsidRPr="00673FFE">
        <w:rPr>
          <w:rFonts w:ascii="Arial" w:hAnsi="Arial" w:cs="Arial"/>
          <w:bCs/>
          <w:i/>
          <w:iCs/>
          <w:szCs w:val="20"/>
        </w:rPr>
        <w:t xml:space="preserve">“De igual manera, se advierte que cuenta con </w:t>
      </w:r>
      <w:r w:rsidR="004911D4" w:rsidRPr="00673FFE">
        <w:rPr>
          <w:rFonts w:ascii="Arial" w:hAnsi="Arial" w:cs="Arial"/>
          <w:b/>
          <w:bCs/>
          <w:i/>
          <w:iCs/>
          <w:szCs w:val="20"/>
          <w:u w:val="single"/>
        </w:rPr>
        <w:t>competencia en razón de grado</w:t>
      </w:r>
      <w:r w:rsidR="004911D4" w:rsidRPr="00673FFE">
        <w:rPr>
          <w:rFonts w:ascii="Arial" w:hAnsi="Arial" w:cs="Arial"/>
          <w:bCs/>
          <w:i/>
          <w:iCs/>
          <w:szCs w:val="20"/>
        </w:rPr>
        <w:t xml:space="preserve"> para emitir mandamientos de ejecución, </w:t>
      </w:r>
      <w:r w:rsidR="004911D4" w:rsidRPr="00673FFE">
        <w:rPr>
          <w:rFonts w:ascii="Arial" w:hAnsi="Arial" w:cs="Arial"/>
          <w:b/>
          <w:bCs/>
          <w:i/>
          <w:iCs/>
          <w:szCs w:val="20"/>
          <w:u w:val="single"/>
        </w:rPr>
        <w:t xml:space="preserve">pues citó los artículos 3° fracción I inciso a) de la Ley Orgánica de la Administración Pública del Estado, </w:t>
      </w:r>
      <w:r w:rsidR="004911D4" w:rsidRPr="00673FFE">
        <w:rPr>
          <w:rFonts w:ascii="Arial" w:hAnsi="Arial" w:cs="Arial"/>
          <w:bCs/>
          <w:i/>
          <w:iCs/>
          <w:szCs w:val="20"/>
        </w:rPr>
        <w:t xml:space="preserve">1° y 3°, fracción II inciso a), del Reglamento Interior de la Secretaría de Finanzas de los cuales </w:t>
      </w:r>
      <w:r w:rsidR="004911D4" w:rsidRPr="00673FFE">
        <w:rPr>
          <w:rFonts w:ascii="Arial" w:hAnsi="Arial" w:cs="Arial"/>
          <w:b/>
          <w:bCs/>
          <w:i/>
          <w:iCs/>
          <w:szCs w:val="20"/>
        </w:rPr>
        <w:t>se desprende que la Dirección de Recaudación y Política Fiscal depende de la Dirección General de Ingresos de la Secretaría de Finanzas la cual además se encuentra vinculada al titular del Poder Ejecutivo del Estado de San Luis Potosí.</w:t>
      </w:r>
    </w:p>
    <w:p w:rsidR="004911D4" w:rsidRDefault="004911D4">
      <w:pPr>
        <w:spacing w:after="160" w:line="259" w:lineRule="auto"/>
        <w:rPr>
          <w:rFonts w:ascii="Arial" w:hAnsi="Arial" w:cs="Arial"/>
          <w:bCs/>
          <w:iCs/>
          <w:sz w:val="24"/>
          <w:szCs w:val="20"/>
        </w:rPr>
      </w:pPr>
      <w:r>
        <w:rPr>
          <w:rFonts w:ascii="Arial" w:hAnsi="Arial" w:cs="Arial"/>
          <w:bCs/>
          <w:iCs/>
          <w:sz w:val="24"/>
          <w:szCs w:val="20"/>
        </w:rPr>
        <w:tab/>
      </w:r>
    </w:p>
    <w:p w:rsidR="00E05A18" w:rsidRDefault="00E05A18" w:rsidP="00A93E98">
      <w:pPr>
        <w:spacing w:after="160"/>
        <w:jc w:val="both"/>
        <w:rPr>
          <w:rFonts w:ascii="Arial" w:hAnsi="Arial" w:cs="Arial"/>
          <w:bCs/>
          <w:iCs/>
          <w:sz w:val="24"/>
          <w:szCs w:val="20"/>
        </w:rPr>
      </w:pPr>
      <w:r>
        <w:rPr>
          <w:rFonts w:ascii="Arial" w:hAnsi="Arial" w:cs="Arial"/>
          <w:bCs/>
          <w:iCs/>
          <w:sz w:val="24"/>
          <w:szCs w:val="20"/>
        </w:rPr>
        <w:tab/>
        <w:t xml:space="preserve">Al respecto, y de </w:t>
      </w:r>
      <w:r w:rsidR="00F117C2">
        <w:rPr>
          <w:rFonts w:ascii="Arial" w:hAnsi="Arial" w:cs="Arial"/>
          <w:bCs/>
          <w:iCs/>
          <w:sz w:val="24"/>
          <w:szCs w:val="20"/>
        </w:rPr>
        <w:t>la literalidad del contenido d</w:t>
      </w:r>
      <w:r>
        <w:rPr>
          <w:rFonts w:ascii="Arial" w:hAnsi="Arial" w:cs="Arial"/>
          <w:bCs/>
          <w:iCs/>
          <w:sz w:val="24"/>
          <w:szCs w:val="20"/>
        </w:rPr>
        <w:t>el acto impugnado, resulta falso que la autoridad demandada haya citado el artículo 3 fracción I inciso a) de la Ley Orgánica de la Administración Pública del E</w:t>
      </w:r>
      <w:r w:rsidR="00A93E98">
        <w:rPr>
          <w:rFonts w:ascii="Arial" w:hAnsi="Arial" w:cs="Arial"/>
          <w:bCs/>
          <w:iCs/>
          <w:sz w:val="24"/>
          <w:szCs w:val="20"/>
        </w:rPr>
        <w:t>stado,</w:t>
      </w:r>
      <w:r w:rsidR="00F117C2">
        <w:rPr>
          <w:rFonts w:ascii="Arial" w:hAnsi="Arial" w:cs="Arial"/>
          <w:bCs/>
          <w:iCs/>
          <w:sz w:val="24"/>
          <w:szCs w:val="20"/>
        </w:rPr>
        <w:t xml:space="preserve"> ya que de una simple lectura, es inconcuso que no se citó </w:t>
      </w:r>
      <w:r w:rsidR="00927D12">
        <w:rPr>
          <w:rFonts w:ascii="Arial" w:hAnsi="Arial" w:cs="Arial"/>
          <w:bCs/>
          <w:iCs/>
          <w:sz w:val="24"/>
          <w:szCs w:val="20"/>
        </w:rPr>
        <w:t xml:space="preserve">en </w:t>
      </w:r>
      <w:r w:rsidR="00F117C2">
        <w:rPr>
          <w:rFonts w:ascii="Arial" w:hAnsi="Arial" w:cs="Arial"/>
          <w:bCs/>
          <w:iCs/>
          <w:sz w:val="24"/>
          <w:szCs w:val="20"/>
        </w:rPr>
        <w:t>el</w:t>
      </w:r>
      <w:r w:rsidR="00A93E98">
        <w:rPr>
          <w:rFonts w:ascii="Arial" w:hAnsi="Arial" w:cs="Arial"/>
          <w:bCs/>
          <w:iCs/>
          <w:sz w:val="24"/>
          <w:szCs w:val="20"/>
        </w:rPr>
        <w:t xml:space="preserve"> </w:t>
      </w:r>
      <w:r>
        <w:rPr>
          <w:rFonts w:ascii="Arial" w:hAnsi="Arial" w:cs="Arial"/>
          <w:bCs/>
          <w:iCs/>
          <w:sz w:val="24"/>
          <w:szCs w:val="20"/>
        </w:rPr>
        <w:t>ordenamiento legal</w:t>
      </w:r>
      <w:r w:rsidR="00F117C2">
        <w:rPr>
          <w:rFonts w:ascii="Arial" w:hAnsi="Arial" w:cs="Arial"/>
          <w:bCs/>
          <w:iCs/>
          <w:sz w:val="24"/>
          <w:szCs w:val="20"/>
        </w:rPr>
        <w:t xml:space="preserve"> en cita, mismo</w:t>
      </w:r>
      <w:r>
        <w:rPr>
          <w:rFonts w:ascii="Arial" w:hAnsi="Arial" w:cs="Arial"/>
          <w:bCs/>
          <w:iCs/>
          <w:sz w:val="24"/>
          <w:szCs w:val="20"/>
        </w:rPr>
        <w:t xml:space="preserve"> que en su parte conducente establece lo siguiente:</w:t>
      </w:r>
    </w:p>
    <w:p w:rsidR="00A93E98" w:rsidRDefault="00A93E98" w:rsidP="00E05A18">
      <w:pPr>
        <w:spacing w:after="160" w:line="259" w:lineRule="auto"/>
        <w:jc w:val="both"/>
        <w:rPr>
          <w:rFonts w:ascii="Arial" w:hAnsi="Arial" w:cs="Arial"/>
          <w:bCs/>
          <w:iCs/>
          <w:sz w:val="24"/>
          <w:szCs w:val="20"/>
        </w:rPr>
      </w:pPr>
    </w:p>
    <w:p w:rsidR="00A93E98" w:rsidRPr="00673FFE" w:rsidRDefault="00A93E98" w:rsidP="00A93E98">
      <w:pPr>
        <w:spacing w:after="160" w:line="240" w:lineRule="auto"/>
        <w:ind w:left="851" w:right="618"/>
        <w:jc w:val="both"/>
        <w:rPr>
          <w:rFonts w:ascii="Arial" w:hAnsi="Arial" w:cs="Arial"/>
          <w:i/>
        </w:rPr>
      </w:pPr>
      <w:r w:rsidRPr="00673FFE">
        <w:rPr>
          <w:rFonts w:ascii="Arial" w:hAnsi="Arial" w:cs="Arial"/>
          <w:i/>
        </w:rPr>
        <w:t>“</w:t>
      </w:r>
      <w:r w:rsidRPr="00673FFE">
        <w:rPr>
          <w:rFonts w:ascii="Arial" w:hAnsi="Arial" w:cs="Arial"/>
          <w:b/>
          <w:i/>
        </w:rPr>
        <w:t>ARTICULO 3o.</w:t>
      </w:r>
      <w:r w:rsidRPr="00673FFE">
        <w:rPr>
          <w:rFonts w:ascii="Arial" w:hAnsi="Arial" w:cs="Arial"/>
          <w:i/>
        </w:rPr>
        <w:t xml:space="preserve"> Para el despacho de los asuntos que competen al Poder Ejecutivo, </w:t>
      </w:r>
      <w:r w:rsidRPr="00673FFE">
        <w:rPr>
          <w:rFonts w:ascii="Arial" w:hAnsi="Arial" w:cs="Arial"/>
          <w:b/>
          <w:i/>
        </w:rPr>
        <w:t>el Gobernador del Estado se auxiliará</w:t>
      </w:r>
      <w:r w:rsidRPr="00673FFE">
        <w:rPr>
          <w:rFonts w:ascii="Arial" w:hAnsi="Arial" w:cs="Arial"/>
          <w:i/>
        </w:rPr>
        <w:t xml:space="preserve"> de las dependencias y entidades que conforman la administración pública del Estado, la cual será: </w:t>
      </w:r>
    </w:p>
    <w:p w:rsidR="00A93E98" w:rsidRPr="00673FFE" w:rsidRDefault="00A93E98" w:rsidP="00A93E98">
      <w:pPr>
        <w:spacing w:after="160" w:line="240" w:lineRule="auto"/>
        <w:ind w:left="851" w:right="618"/>
        <w:jc w:val="both"/>
        <w:rPr>
          <w:rFonts w:ascii="Arial" w:hAnsi="Arial" w:cs="Arial"/>
          <w:i/>
        </w:rPr>
      </w:pPr>
      <w:r w:rsidRPr="00673FFE">
        <w:rPr>
          <w:rFonts w:ascii="Arial" w:hAnsi="Arial" w:cs="Arial"/>
          <w:i/>
        </w:rPr>
        <w:t xml:space="preserve">I. Centralizada, la que se integrará por las siguientes dependencias: </w:t>
      </w:r>
    </w:p>
    <w:p w:rsidR="00A93E98" w:rsidRPr="00673FFE" w:rsidRDefault="00A93E98" w:rsidP="00A93E98">
      <w:pPr>
        <w:spacing w:after="160" w:line="240" w:lineRule="auto"/>
        <w:ind w:left="851" w:right="618"/>
        <w:jc w:val="both"/>
        <w:rPr>
          <w:rFonts w:ascii="Arial" w:hAnsi="Arial" w:cs="Arial"/>
          <w:i/>
        </w:rPr>
      </w:pPr>
      <w:proofErr w:type="gramStart"/>
      <w:r w:rsidRPr="00673FFE">
        <w:rPr>
          <w:rFonts w:ascii="Arial" w:hAnsi="Arial" w:cs="Arial"/>
          <w:i/>
        </w:rPr>
        <w:t>a</w:t>
      </w:r>
      <w:proofErr w:type="gramEnd"/>
      <w:r w:rsidRPr="00673FFE">
        <w:rPr>
          <w:rFonts w:ascii="Arial" w:hAnsi="Arial" w:cs="Arial"/>
          <w:i/>
        </w:rPr>
        <w:t xml:space="preserve">) </w:t>
      </w:r>
      <w:r w:rsidRPr="00673FFE">
        <w:rPr>
          <w:rFonts w:ascii="Arial" w:hAnsi="Arial" w:cs="Arial"/>
          <w:b/>
          <w:i/>
          <w:u w:val="single"/>
        </w:rPr>
        <w:t>Las Secretarías del Despacho</w:t>
      </w:r>
      <w:r w:rsidRPr="00673FFE">
        <w:rPr>
          <w:rFonts w:ascii="Arial" w:hAnsi="Arial" w:cs="Arial"/>
          <w:i/>
        </w:rPr>
        <w:t>;…”</w:t>
      </w:r>
    </w:p>
    <w:p w:rsidR="00A93E98" w:rsidRDefault="00A93E98" w:rsidP="00A93E98">
      <w:pPr>
        <w:spacing w:after="160" w:line="240" w:lineRule="auto"/>
        <w:ind w:right="618"/>
        <w:jc w:val="both"/>
        <w:rPr>
          <w:rFonts w:ascii="Arial" w:hAnsi="Arial" w:cs="Arial"/>
          <w:i/>
          <w:sz w:val="20"/>
        </w:rPr>
      </w:pPr>
    </w:p>
    <w:p w:rsidR="00BF431E" w:rsidRDefault="00BF431E" w:rsidP="00927D12">
      <w:pPr>
        <w:spacing w:after="0" w:line="360" w:lineRule="auto"/>
        <w:ind w:right="475" w:firstLine="708"/>
        <w:jc w:val="both"/>
        <w:rPr>
          <w:rFonts w:ascii="Arial" w:hAnsi="Arial" w:cs="Arial"/>
          <w:b/>
          <w:sz w:val="24"/>
        </w:rPr>
      </w:pPr>
      <w:r>
        <w:rPr>
          <w:rFonts w:ascii="Arial" w:hAnsi="Arial" w:cs="Arial"/>
          <w:bCs/>
          <w:iCs/>
          <w:sz w:val="24"/>
          <w:szCs w:val="20"/>
        </w:rPr>
        <w:t xml:space="preserve">Ahora bien, </w:t>
      </w:r>
      <w:r>
        <w:rPr>
          <w:rFonts w:ascii="Arial" w:hAnsi="Arial" w:cs="Arial"/>
          <w:sz w:val="24"/>
        </w:rPr>
        <w:t>como puede advertirse de los numerales trasuntos, si bien la emisora del acto impugnado –</w:t>
      </w:r>
      <w:r w:rsidR="00DA7E7F">
        <w:rPr>
          <w:rFonts w:ascii="Arial" w:hAnsi="Arial" w:cs="Arial"/>
          <w:sz w:val="24"/>
        </w:rPr>
        <w:t xml:space="preserve"> </w:t>
      </w:r>
      <w:r w:rsidRPr="00E46735">
        <w:rPr>
          <w:rFonts w:ascii="Arial" w:hAnsi="Arial" w:cs="Arial"/>
          <w:color w:val="FF0000"/>
          <w:sz w:val="24"/>
          <w:szCs w:val="24"/>
        </w:rPr>
        <w:t>Director de Recaudación y Política Fiscal de la Secretaria de Finanzas de Gobierno del Estado de San Luis Potosí</w:t>
      </w:r>
      <w:r w:rsidRPr="00E46735">
        <w:rPr>
          <w:rFonts w:ascii="Arial" w:hAnsi="Arial" w:cs="Arial"/>
          <w:color w:val="FF0000"/>
          <w:sz w:val="24"/>
        </w:rPr>
        <w:t xml:space="preserve"> </w:t>
      </w:r>
      <w:r>
        <w:rPr>
          <w:rFonts w:ascii="Arial" w:hAnsi="Arial" w:cs="Arial"/>
          <w:sz w:val="24"/>
        </w:rPr>
        <w:t xml:space="preserve">- en la emisión del mandamiento de ejecución, a fin de fundar su competencia en el acto de molestia cita una serie de artículos, de la </w:t>
      </w:r>
      <w:r>
        <w:rPr>
          <w:rFonts w:ascii="Arial" w:hAnsi="Arial" w:cs="Arial"/>
          <w:sz w:val="24"/>
          <w:szCs w:val="24"/>
        </w:rPr>
        <w:t xml:space="preserve">Ley Orgánica de la Administración Pública del Estado de San Luis Potosí, del </w:t>
      </w:r>
      <w:bookmarkStart w:id="0" w:name="_GoBack"/>
      <w:bookmarkEnd w:id="0"/>
      <w:r>
        <w:rPr>
          <w:rFonts w:ascii="Arial" w:hAnsi="Arial" w:cs="Arial"/>
          <w:sz w:val="24"/>
          <w:szCs w:val="24"/>
        </w:rPr>
        <w:t>Código Fiscal del Estado de San Luis Potosí, y del Reglamento Interior de la Secretaría de Finanzas publicado</w:t>
      </w:r>
      <w:r>
        <w:rPr>
          <w:rFonts w:ascii="Arial" w:hAnsi="Arial" w:cs="Arial"/>
          <w:sz w:val="24"/>
        </w:rPr>
        <w:t xml:space="preserve">; de igual manera lo es que </w:t>
      </w:r>
      <w:r>
        <w:rPr>
          <w:rFonts w:ascii="Arial" w:hAnsi="Arial" w:cs="Arial"/>
          <w:b/>
          <w:sz w:val="24"/>
        </w:rPr>
        <w:t>en ninguno de los normativos jurídicos que refiere</w:t>
      </w:r>
      <w:r w:rsidR="00927D12">
        <w:rPr>
          <w:rFonts w:ascii="Arial" w:hAnsi="Arial" w:cs="Arial"/>
          <w:b/>
          <w:sz w:val="24"/>
        </w:rPr>
        <w:t xml:space="preserve"> en el propio acto impugnado -</w:t>
      </w:r>
      <w:r w:rsidR="00927D12" w:rsidRPr="00927D12">
        <w:rPr>
          <w:rFonts w:ascii="Arial" w:hAnsi="Arial" w:cs="Arial"/>
          <w:bCs/>
          <w:i/>
          <w:iCs/>
          <w:color w:val="FF0000"/>
          <w:sz w:val="24"/>
          <w:szCs w:val="20"/>
        </w:rPr>
        <w:t xml:space="preserve">mandamiento de ejecución </w:t>
      </w:r>
      <w:r w:rsidR="00927D12" w:rsidRPr="00927D12">
        <w:rPr>
          <w:rFonts w:ascii="Arial" w:hAnsi="Arial" w:cs="Arial"/>
          <w:i/>
          <w:color w:val="FF0000"/>
          <w:sz w:val="24"/>
          <w:szCs w:val="24"/>
        </w:rPr>
        <w:t xml:space="preserve">número </w:t>
      </w:r>
      <w:r w:rsidR="00C507DA">
        <w:rPr>
          <w:rFonts w:ascii="Arial" w:hAnsi="Arial" w:cs="Arial"/>
          <w:i/>
          <w:color w:val="FF0000"/>
          <w:sz w:val="24"/>
          <w:szCs w:val="24"/>
        </w:rPr>
        <w:t>**********</w:t>
      </w:r>
      <w:r w:rsidR="00927D12" w:rsidRPr="00927D12">
        <w:rPr>
          <w:rFonts w:ascii="Arial" w:hAnsi="Arial" w:cs="Arial"/>
          <w:b/>
          <w:sz w:val="24"/>
          <w:szCs w:val="24"/>
        </w:rPr>
        <w:t>-</w:t>
      </w:r>
      <w:r>
        <w:rPr>
          <w:rFonts w:ascii="Arial" w:hAnsi="Arial" w:cs="Arial"/>
          <w:b/>
          <w:sz w:val="24"/>
        </w:rPr>
        <w:t xml:space="preserve">, se encuentra contemplada su </w:t>
      </w:r>
      <w:r w:rsidRPr="00BF431E">
        <w:rPr>
          <w:rFonts w:ascii="Arial" w:hAnsi="Arial" w:cs="Arial"/>
          <w:b/>
          <w:sz w:val="24"/>
          <w:u w:val="single"/>
        </w:rPr>
        <w:t>competencia para ejercitar el procedimiento de ejecución</w:t>
      </w:r>
      <w:r>
        <w:rPr>
          <w:rFonts w:ascii="Arial" w:hAnsi="Arial" w:cs="Arial"/>
          <w:b/>
          <w:sz w:val="24"/>
        </w:rPr>
        <w:t xml:space="preserve"> para hacer efectivos las </w:t>
      </w:r>
      <w:r w:rsidRPr="00BF431E">
        <w:rPr>
          <w:rFonts w:ascii="Arial" w:hAnsi="Arial" w:cs="Arial"/>
          <w:b/>
          <w:sz w:val="24"/>
          <w:u w:val="single"/>
        </w:rPr>
        <w:t>sanciones pecuniarias</w:t>
      </w:r>
      <w:r>
        <w:rPr>
          <w:rFonts w:ascii="Arial" w:hAnsi="Arial" w:cs="Arial"/>
          <w:b/>
          <w:sz w:val="24"/>
        </w:rPr>
        <w:t xml:space="preserve"> en favor del erario estatal o municipal, </w:t>
      </w:r>
      <w:r w:rsidRPr="00BF431E">
        <w:rPr>
          <w:rFonts w:ascii="Arial" w:hAnsi="Arial" w:cs="Arial"/>
          <w:b/>
          <w:sz w:val="24"/>
          <w:u w:val="single"/>
        </w:rPr>
        <w:t>impuestas por las autoridades judiciales</w:t>
      </w:r>
      <w:r>
        <w:rPr>
          <w:rFonts w:ascii="Arial" w:hAnsi="Arial" w:cs="Arial"/>
          <w:b/>
          <w:sz w:val="24"/>
        </w:rPr>
        <w:t xml:space="preserve"> o administrativas.</w:t>
      </w:r>
    </w:p>
    <w:p w:rsidR="00927D12" w:rsidRDefault="00927D12" w:rsidP="00927D12">
      <w:pPr>
        <w:spacing w:after="0" w:line="360" w:lineRule="auto"/>
        <w:ind w:right="475" w:firstLine="708"/>
        <w:jc w:val="both"/>
        <w:rPr>
          <w:rFonts w:ascii="Arial" w:hAnsi="Arial" w:cs="Arial"/>
          <w:b/>
          <w:sz w:val="24"/>
        </w:rPr>
      </w:pPr>
    </w:p>
    <w:p w:rsidR="0078603F" w:rsidRDefault="0078603F" w:rsidP="0078603F">
      <w:pPr>
        <w:spacing w:after="0" w:line="360" w:lineRule="auto"/>
        <w:ind w:firstLine="708"/>
        <w:jc w:val="both"/>
        <w:rPr>
          <w:rFonts w:ascii="Arial" w:hAnsi="Arial" w:cs="Arial"/>
          <w:sz w:val="24"/>
        </w:rPr>
      </w:pPr>
      <w:r w:rsidRPr="0078603F">
        <w:rPr>
          <w:rFonts w:ascii="Arial" w:hAnsi="Arial" w:cs="Arial"/>
          <w:bCs/>
          <w:iCs/>
          <w:sz w:val="24"/>
          <w:szCs w:val="20"/>
        </w:rPr>
        <w:tab/>
      </w:r>
      <w:r w:rsidR="00BF431E">
        <w:rPr>
          <w:rFonts w:ascii="Arial" w:hAnsi="Arial" w:cs="Arial"/>
          <w:sz w:val="24"/>
        </w:rPr>
        <w:t xml:space="preserve">Sobre este tópico, ha sido criterio de Máximo Tribunal del país que a fin estimar satisfecha la garantía de la debida fundamentación, contienda en el precitado artículo 16 de la Constitución Política de los Estados Unidos Mexicanos, por lo que hace a la competencia de la autoridad administrativa para emitir el acto de molestia es necesario que en el documento que se </w:t>
      </w:r>
      <w:r w:rsidR="00BF431E">
        <w:rPr>
          <w:rFonts w:ascii="Arial" w:hAnsi="Arial" w:cs="Arial"/>
          <w:sz w:val="24"/>
        </w:rPr>
        <w:lastRenderedPageBreak/>
        <w:t xml:space="preserve">contenga se invoquen las disposiciones legales, acuerdo o decreto que otorgan facultades a la autoridad emisora y, en caso de que estas normas incluyan diversos supuestos, se precisen con claridad y detalle, el apartado, la fracción o fracciones, incisos y </w:t>
      </w:r>
      <w:proofErr w:type="spellStart"/>
      <w:r w:rsidR="00BF431E">
        <w:rPr>
          <w:rFonts w:ascii="Arial" w:hAnsi="Arial" w:cs="Arial"/>
          <w:sz w:val="24"/>
        </w:rPr>
        <w:t>subincisos</w:t>
      </w:r>
      <w:proofErr w:type="spellEnd"/>
      <w:r w:rsidR="00BF431E">
        <w:rPr>
          <w:rFonts w:ascii="Arial" w:hAnsi="Arial" w:cs="Arial"/>
          <w:sz w:val="24"/>
        </w:rPr>
        <w:t>, en que apoya su actuación; pues de no ser así, se dejaría al particular en estado de indefensión, toda vez que se traduciría en que éste ignorara si el proceder de la autoridad se encuentra o no dentro de su ámbito competencial respectivo por razón de materia, grado y territorio y, en consecuencia, si está o no ajustado a derecho.</w:t>
      </w:r>
    </w:p>
    <w:p w:rsidR="006269E4" w:rsidRDefault="006269E4" w:rsidP="0078603F">
      <w:pPr>
        <w:spacing w:after="0" w:line="360" w:lineRule="auto"/>
        <w:ind w:firstLine="708"/>
        <w:jc w:val="both"/>
        <w:rPr>
          <w:rFonts w:ascii="Arial" w:hAnsi="Arial" w:cs="Arial"/>
          <w:sz w:val="24"/>
        </w:rPr>
      </w:pPr>
    </w:p>
    <w:p w:rsidR="006269E4" w:rsidRDefault="006269E4" w:rsidP="0078603F">
      <w:pPr>
        <w:spacing w:after="0" w:line="360" w:lineRule="auto"/>
        <w:ind w:firstLine="708"/>
        <w:jc w:val="both"/>
        <w:rPr>
          <w:rFonts w:ascii="Arial" w:hAnsi="Arial" w:cs="Arial"/>
          <w:sz w:val="24"/>
        </w:rPr>
      </w:pPr>
      <w:r>
        <w:rPr>
          <w:rFonts w:ascii="Arial" w:hAnsi="Arial" w:cs="Arial"/>
          <w:sz w:val="24"/>
        </w:rPr>
        <w:t>Sirve de apoyo a lo anterior, el siguiente criterio jurisprudencial, y que en su parte conducente dispone lo siguiente:</w:t>
      </w:r>
    </w:p>
    <w:p w:rsidR="006269E4" w:rsidRDefault="006269E4" w:rsidP="0078603F">
      <w:pPr>
        <w:spacing w:after="0" w:line="360" w:lineRule="auto"/>
        <w:ind w:firstLine="708"/>
        <w:jc w:val="both"/>
        <w:rPr>
          <w:rFonts w:ascii="Arial" w:hAnsi="Arial" w:cs="Arial"/>
          <w:sz w:val="24"/>
        </w:rPr>
      </w:pPr>
    </w:p>
    <w:p w:rsidR="006269E4" w:rsidRPr="00673FFE" w:rsidRDefault="006269E4" w:rsidP="006269E4">
      <w:pPr>
        <w:spacing w:after="0" w:line="240" w:lineRule="auto"/>
        <w:ind w:left="851" w:right="618"/>
        <w:jc w:val="both"/>
        <w:rPr>
          <w:rFonts w:ascii="Arial" w:hAnsi="Arial" w:cs="Arial"/>
          <w:bCs/>
          <w:i/>
          <w:iCs/>
          <w:szCs w:val="20"/>
        </w:rPr>
      </w:pPr>
      <w:r w:rsidRPr="00673FFE">
        <w:rPr>
          <w:rFonts w:ascii="Arial" w:hAnsi="Arial" w:cs="Arial"/>
          <w:b/>
          <w:bCs/>
          <w:i/>
          <w:iCs/>
          <w:szCs w:val="20"/>
        </w:rPr>
        <w:t xml:space="preserve">“COMPETENCIA DE LAS AUTORIDADES ADMINISTRATIVAS. EN EL MANDAMIENTO ESCRITO QUE CONTIENE EL ACTO DE MOLESTIA, DEBE SEÑALARSE CON PRECISIÓN EL PRECEPTO LEGAL QUE LES OTORGUE LA ATRIBUCIÓN EJERCIDA Y, EN SU CASO, LA RESPECTIVA FRACCIÓN, INCISO Y SUBINCISO. </w:t>
      </w:r>
      <w:r w:rsidRPr="00673FFE">
        <w:rPr>
          <w:rFonts w:ascii="Arial" w:hAnsi="Arial" w:cs="Arial"/>
          <w:bCs/>
          <w:i/>
          <w:iCs/>
          <w:szCs w:val="20"/>
        </w:rPr>
        <w:t xml:space="preserve">De lo dispuesto en la tesis de jurisprudencia P./J. 10/94 del Tribunal Pleno de la Suprema Corte de Justicia de la Nación, publicada en la Gaceta del Semanario Judicial de la Federación, Número 77, mayo de 1994, página 12, de rubro: "COMPETENCIA. SU FUNDAMENTACIÓN ES REQUISITO ESENCIAL DEL ACTO DE AUTORIDAD.", así como de las consideraciones en las cuales se sustentó dicho criterio, se desprende que la garantía de fundamentación consagrada en el artículo 16 de la Constitución Política de los Estados Unidos Mexicanos, lleva implícita la idea de exactitud y precisión en la cita de las normas legales que facultan a la autoridad administrativa para emitir el acto de molestia de que se trate, al atender al valor jurídicamente protegido por la exigencia constitucional, que es la posibilidad de otorgar certeza y seguridad jurídica al particular frente a los actos de las autoridades que afecten o lesionen su interés jurídico y, por tanto, asegurar la prerrogativa de su defensa, ante un acto que no cumpla con los requisitos legales necesarios. En congruencia con lo anterior, </w:t>
      </w:r>
      <w:r w:rsidRPr="00673FFE">
        <w:rPr>
          <w:rFonts w:ascii="Arial" w:hAnsi="Arial" w:cs="Arial"/>
          <w:b/>
          <w:bCs/>
          <w:i/>
          <w:iCs/>
          <w:szCs w:val="20"/>
        </w:rPr>
        <w:t xml:space="preserve">resulta inconcuso que para estimar satisfecha la garantía de la debida fundamentación, que establece dicho precepto constitucional, por lo que hace a la competencia de la autoridad administrativa para emitir el acto de molestia es necesario que en el documento que se contenga se invoquen las disposiciones legales, acuerdo o decreto que otorgan facultades a la autoridad emisora y, en caso de que estas normas incluyan diversos supuestos, se precisen con claridad y detalle, el apartado, la fracción o fracciones, incisos y </w:t>
      </w:r>
      <w:proofErr w:type="spellStart"/>
      <w:r w:rsidRPr="00673FFE">
        <w:rPr>
          <w:rFonts w:ascii="Arial" w:hAnsi="Arial" w:cs="Arial"/>
          <w:b/>
          <w:bCs/>
          <w:i/>
          <w:iCs/>
          <w:szCs w:val="20"/>
        </w:rPr>
        <w:t>subincisos</w:t>
      </w:r>
      <w:proofErr w:type="spellEnd"/>
      <w:r w:rsidRPr="00673FFE">
        <w:rPr>
          <w:rFonts w:ascii="Arial" w:hAnsi="Arial" w:cs="Arial"/>
          <w:b/>
          <w:bCs/>
          <w:i/>
          <w:iCs/>
          <w:szCs w:val="20"/>
        </w:rPr>
        <w:t>, en que apoya su actuación; pues de no ser así, se dejaría al gobernado en estado de indefensión</w:t>
      </w:r>
      <w:r w:rsidRPr="00673FFE">
        <w:rPr>
          <w:rFonts w:ascii="Arial" w:hAnsi="Arial" w:cs="Arial"/>
          <w:bCs/>
          <w:i/>
          <w:iCs/>
          <w:szCs w:val="20"/>
        </w:rPr>
        <w:t xml:space="preserve">, toda vez que se traduciría en que éste ignorara si el proceder de la autoridad se encuentra o no dentro del ámbito competencial respectivo por razón de materia, grado y territorio y, en consecuencia, si está o no ajustado a derecho. </w:t>
      </w:r>
      <w:r w:rsidRPr="00673FFE">
        <w:rPr>
          <w:rFonts w:ascii="Arial" w:hAnsi="Arial" w:cs="Arial"/>
          <w:b/>
          <w:bCs/>
          <w:i/>
          <w:iCs/>
          <w:szCs w:val="20"/>
          <w:u w:val="single"/>
        </w:rPr>
        <w:t>Esto es así, porque no es permisible abrigar en la garantía individual en cuestión ninguna clase de ambigüedad, ya que su finalidad consiste, esencialmente, en una exacta individualización del acto de autoridad, de acuerdo a la hipótesis jurídica en que se ubique el gobernado en relación con las facultades de la autoridad, por razones de seguridad jurídica.</w:t>
      </w:r>
    </w:p>
    <w:p w:rsidR="006269E4" w:rsidRPr="00673FFE" w:rsidRDefault="006269E4" w:rsidP="006269E4">
      <w:pPr>
        <w:spacing w:after="0" w:line="240" w:lineRule="auto"/>
        <w:ind w:left="851" w:right="618"/>
        <w:jc w:val="both"/>
        <w:rPr>
          <w:rFonts w:ascii="Arial" w:hAnsi="Arial" w:cs="Arial"/>
          <w:bCs/>
          <w:i/>
          <w:iCs/>
          <w:szCs w:val="20"/>
        </w:rPr>
      </w:pPr>
    </w:p>
    <w:p w:rsidR="006269E4" w:rsidRPr="00673FFE" w:rsidRDefault="00C507DA" w:rsidP="006269E4">
      <w:pPr>
        <w:spacing w:after="0" w:line="240" w:lineRule="auto"/>
        <w:ind w:left="851" w:right="618"/>
        <w:jc w:val="both"/>
        <w:rPr>
          <w:rFonts w:ascii="Arial" w:hAnsi="Arial" w:cs="Arial"/>
          <w:bCs/>
          <w:i/>
          <w:iCs/>
          <w:szCs w:val="20"/>
        </w:rPr>
      </w:pPr>
      <w:r>
        <w:rPr>
          <w:rFonts w:ascii="Arial" w:hAnsi="Arial" w:cs="Arial"/>
          <w:noProof/>
          <w:sz w:val="24"/>
          <w:szCs w:val="24"/>
          <w:lang w:eastAsia="es-MX"/>
        </w:rPr>
        <w:lastRenderedPageBreak/>
        <w:drawing>
          <wp:anchor distT="0" distB="0" distL="114300" distR="114300" simplePos="0" relativeHeight="251666432" behindDoc="1" locked="0" layoutInCell="1" allowOverlap="1" wp14:anchorId="7D99C90C" wp14:editId="0FC2CF64">
            <wp:simplePos x="0" y="0"/>
            <wp:positionH relativeFrom="leftMargin">
              <wp:posOffset>204470</wp:posOffset>
            </wp:positionH>
            <wp:positionV relativeFrom="paragraph">
              <wp:posOffset>92237</wp:posOffset>
            </wp:positionV>
            <wp:extent cx="1584960" cy="25971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6269E4" w:rsidRPr="00673FFE">
        <w:rPr>
          <w:rFonts w:ascii="Arial" w:hAnsi="Arial" w:cs="Arial"/>
          <w:bCs/>
          <w:i/>
          <w:iCs/>
          <w:szCs w:val="20"/>
        </w:rPr>
        <w:t xml:space="preserve">Contradicción de tesis 94/2000-SS. Entre las sustentadas por el Tercer Tribunal Colegiado en Materia Administrativa del Sexto Circuito y el Primer y Cuarto Tribunales Colegiados en Materia Administrativa, ambos del Primer Circuito. 26 de octubre de 2001. Unanimidad de cuatro votos. Ausente: Juan Díaz Romero. Ponente: Guillermo I. Ortiz </w:t>
      </w:r>
      <w:proofErr w:type="spellStart"/>
      <w:r w:rsidR="006269E4" w:rsidRPr="00673FFE">
        <w:rPr>
          <w:rFonts w:ascii="Arial" w:hAnsi="Arial" w:cs="Arial"/>
          <w:bCs/>
          <w:i/>
          <w:iCs/>
          <w:szCs w:val="20"/>
        </w:rPr>
        <w:t>Mayagoitia</w:t>
      </w:r>
      <w:proofErr w:type="spellEnd"/>
      <w:r w:rsidR="006269E4" w:rsidRPr="00673FFE">
        <w:rPr>
          <w:rFonts w:ascii="Arial" w:hAnsi="Arial" w:cs="Arial"/>
          <w:bCs/>
          <w:i/>
          <w:iCs/>
          <w:szCs w:val="20"/>
        </w:rPr>
        <w:t>. Secretaria: Lourdes Margarita García Galicia.</w:t>
      </w:r>
    </w:p>
    <w:p w:rsidR="006269E4" w:rsidRPr="00673FFE" w:rsidRDefault="006269E4" w:rsidP="006269E4">
      <w:pPr>
        <w:spacing w:after="0" w:line="240" w:lineRule="auto"/>
        <w:ind w:left="851" w:right="618"/>
        <w:jc w:val="both"/>
        <w:rPr>
          <w:rFonts w:ascii="Arial" w:hAnsi="Arial" w:cs="Arial"/>
          <w:bCs/>
          <w:i/>
          <w:iCs/>
          <w:szCs w:val="20"/>
        </w:rPr>
      </w:pPr>
      <w:r w:rsidRPr="00673FFE">
        <w:rPr>
          <w:rFonts w:ascii="Arial" w:hAnsi="Arial" w:cs="Arial"/>
          <w:bCs/>
          <w:i/>
          <w:iCs/>
          <w:szCs w:val="20"/>
        </w:rPr>
        <w:t>Tesis de jurisprudencia 57/2001. Aprobada por la Segunda Sala de este Alto Tribunal, en sesión privada del treinta y uno de octubre de dos mil uno.</w:t>
      </w:r>
    </w:p>
    <w:p w:rsidR="006269E4" w:rsidRPr="00673FFE" w:rsidRDefault="006269E4" w:rsidP="006269E4">
      <w:pPr>
        <w:spacing w:after="0" w:line="240" w:lineRule="auto"/>
        <w:ind w:left="851" w:right="618"/>
        <w:jc w:val="both"/>
        <w:rPr>
          <w:rFonts w:ascii="Arial" w:hAnsi="Arial" w:cs="Arial"/>
          <w:bCs/>
          <w:i/>
          <w:iCs/>
          <w:szCs w:val="20"/>
        </w:rPr>
      </w:pPr>
    </w:p>
    <w:p w:rsidR="006269E4" w:rsidRPr="00673FFE" w:rsidRDefault="006269E4" w:rsidP="006269E4">
      <w:pPr>
        <w:spacing w:after="0" w:line="240" w:lineRule="auto"/>
        <w:ind w:left="851" w:right="618"/>
        <w:jc w:val="both"/>
        <w:rPr>
          <w:rFonts w:ascii="Arial" w:hAnsi="Arial" w:cs="Arial"/>
          <w:color w:val="212529"/>
          <w:szCs w:val="21"/>
        </w:rPr>
      </w:pPr>
      <w:r w:rsidRPr="00673FFE">
        <w:rPr>
          <w:rStyle w:val="fw-bold"/>
          <w:rFonts w:ascii="Arial" w:hAnsi="Arial" w:cs="Arial"/>
          <w:color w:val="212529"/>
          <w:szCs w:val="21"/>
        </w:rPr>
        <w:t>Registro digital: </w:t>
      </w:r>
      <w:r w:rsidRPr="00673FFE">
        <w:rPr>
          <w:rFonts w:ascii="Arial" w:hAnsi="Arial" w:cs="Arial"/>
          <w:color w:val="212529"/>
          <w:szCs w:val="21"/>
        </w:rPr>
        <w:t xml:space="preserve">188432. </w:t>
      </w:r>
      <w:r w:rsidRPr="00673FFE">
        <w:rPr>
          <w:rStyle w:val="fw-bold"/>
          <w:rFonts w:ascii="Arial" w:hAnsi="Arial" w:cs="Arial"/>
          <w:color w:val="212529"/>
          <w:szCs w:val="21"/>
        </w:rPr>
        <w:t>Instancia: </w:t>
      </w:r>
      <w:r w:rsidRPr="00673FFE">
        <w:rPr>
          <w:rFonts w:ascii="Arial" w:hAnsi="Arial" w:cs="Arial"/>
          <w:color w:val="212529"/>
          <w:szCs w:val="21"/>
        </w:rPr>
        <w:t>Segunda Sala. N</w:t>
      </w:r>
      <w:r w:rsidRPr="00673FFE">
        <w:rPr>
          <w:rStyle w:val="fw-bold"/>
          <w:rFonts w:ascii="Arial" w:hAnsi="Arial" w:cs="Arial"/>
          <w:color w:val="212529"/>
          <w:szCs w:val="21"/>
        </w:rPr>
        <w:t>ovena Época. Materia(s): </w:t>
      </w:r>
      <w:r w:rsidRPr="00673FFE">
        <w:rPr>
          <w:rFonts w:ascii="Arial" w:hAnsi="Arial" w:cs="Arial"/>
          <w:color w:val="212529"/>
          <w:szCs w:val="21"/>
        </w:rPr>
        <w:t xml:space="preserve">Administrativa. </w:t>
      </w:r>
      <w:r w:rsidRPr="00673FFE">
        <w:rPr>
          <w:rStyle w:val="fw-bold"/>
          <w:rFonts w:ascii="Arial" w:hAnsi="Arial" w:cs="Arial"/>
          <w:color w:val="212529"/>
          <w:szCs w:val="21"/>
        </w:rPr>
        <w:t>Tesis: </w:t>
      </w:r>
      <w:r w:rsidRPr="00673FFE">
        <w:rPr>
          <w:rFonts w:ascii="Arial" w:hAnsi="Arial" w:cs="Arial"/>
          <w:color w:val="212529"/>
          <w:szCs w:val="21"/>
        </w:rPr>
        <w:t>2a</w:t>
      </w:r>
      <w:proofErr w:type="gramStart"/>
      <w:r w:rsidRPr="00673FFE">
        <w:rPr>
          <w:rFonts w:ascii="Arial" w:hAnsi="Arial" w:cs="Arial"/>
          <w:color w:val="212529"/>
          <w:szCs w:val="21"/>
        </w:rPr>
        <w:t>./</w:t>
      </w:r>
      <w:proofErr w:type="gramEnd"/>
      <w:r w:rsidRPr="00673FFE">
        <w:rPr>
          <w:rFonts w:ascii="Arial" w:hAnsi="Arial" w:cs="Arial"/>
          <w:color w:val="212529"/>
          <w:szCs w:val="21"/>
        </w:rPr>
        <w:t xml:space="preserve">J. 57/2001. </w:t>
      </w:r>
      <w:r w:rsidRPr="00673FFE">
        <w:rPr>
          <w:rStyle w:val="fw-bold"/>
          <w:rFonts w:ascii="Arial" w:hAnsi="Arial" w:cs="Arial"/>
          <w:color w:val="212529"/>
          <w:szCs w:val="21"/>
        </w:rPr>
        <w:t>Fuente: </w:t>
      </w:r>
      <w:r w:rsidRPr="00673FFE">
        <w:rPr>
          <w:rFonts w:ascii="Arial" w:hAnsi="Arial" w:cs="Arial"/>
          <w:color w:val="212529"/>
          <w:szCs w:val="21"/>
        </w:rPr>
        <w:t xml:space="preserve">Semanario Judicial de la Federación y su Gaceta. Tomo XIV, Noviembre de 2001, página 31. </w:t>
      </w:r>
      <w:r w:rsidRPr="00673FFE">
        <w:rPr>
          <w:rStyle w:val="fw-bold"/>
          <w:rFonts w:ascii="Arial" w:hAnsi="Arial" w:cs="Arial"/>
          <w:color w:val="212529"/>
          <w:szCs w:val="21"/>
        </w:rPr>
        <w:t>Tipo: </w:t>
      </w:r>
      <w:r w:rsidRPr="00673FFE">
        <w:rPr>
          <w:rFonts w:ascii="Arial" w:hAnsi="Arial" w:cs="Arial"/>
          <w:color w:val="212529"/>
          <w:szCs w:val="21"/>
        </w:rPr>
        <w:t>Jurisprudencia.”</w:t>
      </w:r>
    </w:p>
    <w:p w:rsidR="006269E4" w:rsidRDefault="006269E4" w:rsidP="006269E4">
      <w:pPr>
        <w:spacing w:after="0" w:line="240" w:lineRule="auto"/>
        <w:ind w:right="618"/>
        <w:jc w:val="both"/>
        <w:rPr>
          <w:rFonts w:ascii="Arial" w:hAnsi="Arial" w:cs="Arial"/>
          <w:color w:val="212529"/>
          <w:sz w:val="20"/>
          <w:szCs w:val="21"/>
        </w:rPr>
      </w:pPr>
    </w:p>
    <w:p w:rsidR="006269E4" w:rsidRDefault="006269E4" w:rsidP="006269E4">
      <w:pPr>
        <w:spacing w:after="0"/>
        <w:ind w:right="618" w:firstLine="708"/>
        <w:jc w:val="both"/>
        <w:rPr>
          <w:rFonts w:ascii="Arial" w:hAnsi="Arial" w:cs="Arial"/>
          <w:sz w:val="24"/>
        </w:rPr>
      </w:pPr>
    </w:p>
    <w:p w:rsidR="006269E4" w:rsidRDefault="006269E4" w:rsidP="006269E4">
      <w:pPr>
        <w:spacing w:after="0"/>
        <w:ind w:right="618" w:firstLine="708"/>
        <w:jc w:val="both"/>
        <w:rPr>
          <w:rFonts w:ascii="Arial" w:hAnsi="Arial" w:cs="Arial"/>
          <w:sz w:val="24"/>
        </w:rPr>
      </w:pPr>
      <w:r>
        <w:rPr>
          <w:rFonts w:ascii="Arial" w:hAnsi="Arial" w:cs="Arial"/>
          <w:sz w:val="24"/>
        </w:rPr>
        <w:t xml:space="preserve">De lo anterior se puede concluir que los actos de molestia, como el impugnado en este requieren, entre otros requisitos, que sean emitidos por autoridad competente cumpliéndose las formalidades esenciales que le den eficacia jurídica, lo que significa que necesariamente debe emitirse </w:t>
      </w:r>
      <w:r>
        <w:rPr>
          <w:rFonts w:ascii="Arial" w:hAnsi="Arial" w:cs="Arial"/>
          <w:b/>
          <w:sz w:val="24"/>
        </w:rPr>
        <w:t>por quien para ello esté legitimado</w:t>
      </w:r>
      <w:r>
        <w:rPr>
          <w:rFonts w:ascii="Arial" w:hAnsi="Arial" w:cs="Arial"/>
          <w:sz w:val="24"/>
        </w:rPr>
        <w:t xml:space="preserve">, expresándose como parte de las formalidades esenciales, el carácter en que la autoridad respectiva lo suscriba y el </w:t>
      </w:r>
      <w:r w:rsidRPr="00D026A2">
        <w:rPr>
          <w:rFonts w:ascii="Arial" w:hAnsi="Arial" w:cs="Arial"/>
          <w:b/>
          <w:sz w:val="24"/>
        </w:rPr>
        <w:t>dispositivo, acuerdo o decreto que le otorgue tal legitimación</w:t>
      </w:r>
      <w:r>
        <w:rPr>
          <w:rFonts w:ascii="Arial" w:hAnsi="Arial" w:cs="Arial"/>
          <w:sz w:val="24"/>
        </w:rPr>
        <w:t xml:space="preserve">; esto es, se deben precisar con claridad y detalle </w:t>
      </w:r>
      <w:r w:rsidRPr="00D026A2">
        <w:rPr>
          <w:rFonts w:ascii="Arial" w:hAnsi="Arial" w:cs="Arial"/>
          <w:b/>
          <w:sz w:val="24"/>
        </w:rPr>
        <w:t xml:space="preserve">el apartado, fracción o fracciones, incisos y </w:t>
      </w:r>
      <w:proofErr w:type="spellStart"/>
      <w:r w:rsidRPr="00D026A2">
        <w:rPr>
          <w:rFonts w:ascii="Arial" w:hAnsi="Arial" w:cs="Arial"/>
          <w:b/>
          <w:sz w:val="24"/>
        </w:rPr>
        <w:t>subincisos</w:t>
      </w:r>
      <w:proofErr w:type="spellEnd"/>
      <w:r w:rsidRPr="00D026A2">
        <w:rPr>
          <w:rFonts w:ascii="Arial" w:hAnsi="Arial" w:cs="Arial"/>
          <w:b/>
          <w:sz w:val="24"/>
        </w:rPr>
        <w:t>, en que se apoya su actuación, a fin de considerar suficientemente fundada su competencia y carácter para determinar el acto</w:t>
      </w:r>
      <w:r>
        <w:rPr>
          <w:rFonts w:ascii="Arial" w:hAnsi="Arial" w:cs="Arial"/>
          <w:sz w:val="24"/>
        </w:rPr>
        <w:t xml:space="preserve">, ya sea que lo haga por sí mismo, por ausencia del titular o por delegación de facultades; pues de no hacerlo así se </w:t>
      </w:r>
      <w:r w:rsidR="00D026A2">
        <w:rPr>
          <w:rFonts w:ascii="Arial" w:hAnsi="Arial" w:cs="Arial"/>
          <w:sz w:val="24"/>
        </w:rPr>
        <w:t xml:space="preserve">estaría violentando las garantías de legalidad y seguridad jurídica mencionadas en los artículos </w:t>
      </w:r>
      <w:r w:rsidR="00D026A2">
        <w:rPr>
          <w:rFonts w:ascii="Arial" w:hAnsi="Arial" w:cs="Arial"/>
          <w:sz w:val="24"/>
          <w:lang w:val="es-ES"/>
        </w:rPr>
        <w:t xml:space="preserve">14 y 16 de la Constitución Federal, en los que se </w:t>
      </w:r>
      <w:r w:rsidR="00D026A2">
        <w:rPr>
          <w:rFonts w:ascii="Arial" w:hAnsi="Arial" w:cs="Arial"/>
          <w:sz w:val="24"/>
        </w:rPr>
        <w:t xml:space="preserve">exige que todo acto de molestia o de privación a los gobernados, debe emitirse por quien tenga facultad expresa para ello, así mismo, de no hacerlo así </w:t>
      </w:r>
      <w:r>
        <w:rPr>
          <w:rFonts w:ascii="Arial" w:hAnsi="Arial" w:cs="Arial"/>
          <w:sz w:val="24"/>
        </w:rPr>
        <w:t>trastocan las exigencias de debida fundamentación y motivación contenidas en el artículo 46 del Código fiscal para el Estado</w:t>
      </w:r>
      <w:r w:rsidR="00D026A2">
        <w:rPr>
          <w:rFonts w:ascii="Arial" w:hAnsi="Arial" w:cs="Arial"/>
          <w:sz w:val="24"/>
        </w:rPr>
        <w:t>, que instaura lo siguiente:</w:t>
      </w:r>
    </w:p>
    <w:p w:rsidR="00D026A2" w:rsidRDefault="00D026A2" w:rsidP="006269E4">
      <w:pPr>
        <w:spacing w:after="0"/>
        <w:ind w:right="618" w:firstLine="708"/>
        <w:jc w:val="both"/>
        <w:rPr>
          <w:rFonts w:ascii="Arial" w:hAnsi="Arial" w:cs="Arial"/>
          <w:sz w:val="24"/>
        </w:rPr>
      </w:pPr>
    </w:p>
    <w:p w:rsidR="00D026A2" w:rsidRPr="00D026A2" w:rsidRDefault="00D026A2" w:rsidP="00D026A2">
      <w:pPr>
        <w:spacing w:after="0" w:line="240" w:lineRule="auto"/>
        <w:ind w:left="851" w:right="618"/>
        <w:jc w:val="both"/>
        <w:rPr>
          <w:rFonts w:ascii="Arial" w:hAnsi="Arial" w:cs="Arial"/>
          <w:color w:val="212529"/>
          <w:sz w:val="18"/>
          <w:szCs w:val="21"/>
        </w:rPr>
      </w:pPr>
    </w:p>
    <w:p w:rsidR="00D026A2" w:rsidRPr="00673FFE" w:rsidRDefault="00D026A2" w:rsidP="00D026A2">
      <w:pPr>
        <w:spacing w:after="0" w:line="240" w:lineRule="auto"/>
        <w:ind w:left="851" w:right="618"/>
        <w:jc w:val="both"/>
        <w:rPr>
          <w:rFonts w:ascii="Arial" w:hAnsi="Arial" w:cs="Arial"/>
          <w:b/>
          <w:i/>
        </w:rPr>
      </w:pPr>
      <w:r w:rsidRPr="00673FFE">
        <w:rPr>
          <w:rFonts w:ascii="Arial" w:hAnsi="Arial" w:cs="Arial"/>
          <w:b/>
          <w:i/>
        </w:rPr>
        <w:t xml:space="preserve">“ARTICULO 46.- Los actos de las autoridades que deban notificarse a los particulares, deberán observar las siguientes reglas: </w:t>
      </w:r>
    </w:p>
    <w:p w:rsidR="00D026A2" w:rsidRPr="00673FFE" w:rsidRDefault="00D026A2" w:rsidP="00D026A2">
      <w:pPr>
        <w:spacing w:after="0" w:line="240" w:lineRule="auto"/>
        <w:ind w:left="851" w:right="618"/>
        <w:jc w:val="both"/>
        <w:rPr>
          <w:rFonts w:ascii="Arial" w:hAnsi="Arial" w:cs="Arial"/>
          <w:i/>
        </w:rPr>
      </w:pPr>
    </w:p>
    <w:p w:rsidR="00D026A2" w:rsidRPr="00673FFE" w:rsidRDefault="00D026A2" w:rsidP="00D026A2">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 xml:space="preserve">Constar por escrito; </w:t>
      </w:r>
    </w:p>
    <w:p w:rsidR="00D026A2" w:rsidRPr="00673FFE" w:rsidRDefault="00D026A2" w:rsidP="00D026A2">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Indicar la persona a la que va dirigido o en su defecto, los datos que permitan su identificación;</w:t>
      </w:r>
    </w:p>
    <w:p w:rsidR="00D026A2" w:rsidRPr="00673FFE" w:rsidRDefault="00D026A2" w:rsidP="00D026A2">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Señalar la autoridad que lo emite;</w:t>
      </w:r>
    </w:p>
    <w:p w:rsidR="00D026A2" w:rsidRPr="00673FFE" w:rsidRDefault="00D026A2" w:rsidP="00D026A2">
      <w:pPr>
        <w:pStyle w:val="Prrafodelista"/>
        <w:numPr>
          <w:ilvl w:val="0"/>
          <w:numId w:val="3"/>
        </w:numPr>
        <w:spacing w:after="0" w:line="240" w:lineRule="auto"/>
        <w:ind w:left="851" w:right="618" w:firstLine="0"/>
        <w:jc w:val="both"/>
        <w:rPr>
          <w:rFonts w:ascii="Arial" w:hAnsi="Arial" w:cs="Arial"/>
          <w:b/>
          <w:i/>
          <w:u w:val="single"/>
        </w:rPr>
      </w:pPr>
      <w:r w:rsidRPr="00673FFE">
        <w:rPr>
          <w:rFonts w:ascii="Arial" w:hAnsi="Arial" w:cs="Arial"/>
          <w:b/>
          <w:i/>
          <w:u w:val="single"/>
        </w:rPr>
        <w:t>Estar fundado y motivado;</w:t>
      </w:r>
    </w:p>
    <w:p w:rsidR="00D026A2" w:rsidRPr="00673FFE" w:rsidRDefault="00D026A2" w:rsidP="00D026A2">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Expresar su objeto o propósito en forma clara y concreta, y</w:t>
      </w:r>
    </w:p>
    <w:p w:rsidR="00D026A2" w:rsidRPr="00673FFE" w:rsidRDefault="00D026A2" w:rsidP="00D026A2">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Ostentar el nombre y la firma del funcionario que lo emite.</w:t>
      </w:r>
    </w:p>
    <w:p w:rsidR="00D026A2" w:rsidRPr="00673FFE" w:rsidRDefault="00D026A2" w:rsidP="00D026A2">
      <w:pPr>
        <w:pStyle w:val="Prrafodelista"/>
        <w:spacing w:after="0" w:line="240" w:lineRule="auto"/>
        <w:ind w:left="851" w:right="618" w:firstLine="565"/>
        <w:jc w:val="both"/>
        <w:rPr>
          <w:rFonts w:ascii="Arial" w:hAnsi="Arial" w:cs="Arial"/>
          <w:i/>
        </w:rPr>
      </w:pPr>
      <w:r w:rsidRPr="00673FFE">
        <w:rPr>
          <w:rFonts w:ascii="Arial" w:hAnsi="Arial" w:cs="Arial"/>
          <w:i/>
        </w:rPr>
        <w:t>… (Énfasis añadido)</w:t>
      </w:r>
    </w:p>
    <w:p w:rsidR="00F84F79" w:rsidRPr="00673FFE" w:rsidRDefault="00F84F79" w:rsidP="00D026A2">
      <w:pPr>
        <w:spacing w:after="0" w:line="360" w:lineRule="auto"/>
        <w:jc w:val="both"/>
        <w:rPr>
          <w:rFonts w:ascii="Arial" w:hAnsi="Arial" w:cs="Arial"/>
          <w:bCs/>
          <w:iCs/>
          <w:sz w:val="28"/>
          <w:szCs w:val="20"/>
        </w:rPr>
      </w:pPr>
    </w:p>
    <w:p w:rsidR="00D026A2" w:rsidRDefault="00D026A2" w:rsidP="00D026A2">
      <w:pPr>
        <w:spacing w:after="0" w:line="360" w:lineRule="auto"/>
        <w:ind w:right="475"/>
        <w:jc w:val="both"/>
        <w:rPr>
          <w:rFonts w:ascii="Arial" w:hAnsi="Arial" w:cs="Arial"/>
          <w:sz w:val="24"/>
          <w:lang w:val="es-ES"/>
        </w:rPr>
      </w:pPr>
      <w:r>
        <w:rPr>
          <w:rFonts w:ascii="Arial" w:hAnsi="Arial" w:cs="Arial"/>
          <w:sz w:val="24"/>
          <w:lang w:val="es-ES"/>
        </w:rPr>
        <w:tab/>
        <w:t xml:space="preserve">Se citan en apoyo a lo anterior, los criterios emitidos en las tesis de jurisprudencia y asiladas, cuyos, datos de localización, rubro y contenido, refieren:   </w:t>
      </w:r>
    </w:p>
    <w:p w:rsidR="00D026A2" w:rsidRDefault="00D026A2" w:rsidP="00D026A2">
      <w:pPr>
        <w:spacing w:after="0" w:line="360" w:lineRule="auto"/>
        <w:jc w:val="both"/>
        <w:rPr>
          <w:rFonts w:ascii="Arial" w:hAnsi="Arial" w:cs="Arial"/>
          <w:bCs/>
          <w:iCs/>
          <w:sz w:val="24"/>
          <w:szCs w:val="20"/>
          <w:lang w:val="es-ES"/>
        </w:rPr>
      </w:pPr>
    </w:p>
    <w:p w:rsidR="00D026A2" w:rsidRPr="00673FFE" w:rsidRDefault="00D026A2" w:rsidP="00252754">
      <w:pPr>
        <w:spacing w:line="240" w:lineRule="auto"/>
        <w:ind w:left="851" w:right="618"/>
        <w:jc w:val="both"/>
        <w:rPr>
          <w:rFonts w:ascii="Arial" w:hAnsi="Arial" w:cs="Arial"/>
          <w:i/>
          <w:szCs w:val="20"/>
        </w:rPr>
      </w:pPr>
      <w:r w:rsidRPr="00673FFE">
        <w:rPr>
          <w:rFonts w:ascii="Arial" w:hAnsi="Arial" w:cs="Arial"/>
          <w:b/>
          <w:i/>
          <w:szCs w:val="20"/>
        </w:rPr>
        <w:t>“FUNDAMENTACIÓN DE LOS ACTOS DE LAS AUTORIDADES ADMINISTRATIVAS. ES INSUFICIENTE SI NO SE SEÑALA CON EXACTITUD Y PRECISIÓN O, EN SU CASO, SE TRANSCRIBE LA PORCIÓN NORMATIVA QUE SUSTENTE SU COMPETENCIA TERRITORIAL.</w:t>
      </w:r>
      <w:r w:rsidRPr="00673FFE">
        <w:rPr>
          <w:rFonts w:ascii="Arial" w:hAnsi="Arial" w:cs="Arial"/>
          <w:i/>
          <w:szCs w:val="20"/>
        </w:rPr>
        <w:t xml:space="preserve"> De la tesis de jurisprudencia 2a./J. 115/2005, emitida por la Segunda Sala de la Suprema Corte de Justicia de la Nación, publicada en el Semanario Judicial de la Federación y su Gaceta, Novena Época, Tomo XXII, septiembre de 2005, página 310, de rubro: "</w:t>
      </w:r>
      <w:hyperlink r:id="rId11" w:tgtFrame="_blank" w:history="1">
        <w:r w:rsidRPr="00673FFE">
          <w:rPr>
            <w:rStyle w:val="Hipervnculo"/>
            <w:rFonts w:ascii="Arial" w:hAnsi="Arial" w:cs="Arial"/>
            <w:i/>
            <w:color w:val="auto"/>
            <w:szCs w:val="20"/>
            <w:u w:val="none"/>
          </w:rPr>
          <w:t>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w:t>
        </w:r>
      </w:hyperlink>
      <w:r w:rsidRPr="00673FFE">
        <w:rPr>
          <w:rFonts w:ascii="Arial" w:hAnsi="Arial" w:cs="Arial"/>
          <w:i/>
          <w:szCs w:val="20"/>
        </w:rPr>
        <w:t>.", se advierte que las garantías de legalidad y seguridad jurídica contenidas en los artículos </w:t>
      </w:r>
      <w:hyperlink r:id="rId12" w:history="1">
        <w:r w:rsidRPr="00673FFE">
          <w:rPr>
            <w:rStyle w:val="Hipervnculo"/>
            <w:rFonts w:ascii="Arial" w:hAnsi="Arial" w:cs="Arial"/>
            <w:i/>
            <w:color w:val="auto"/>
            <w:szCs w:val="20"/>
            <w:u w:val="none"/>
          </w:rPr>
          <w:t>14 y 16 de la Constitución Política de los Estados Unidos Mexicanos</w:t>
        </w:r>
      </w:hyperlink>
      <w:r w:rsidRPr="00673FFE">
        <w:rPr>
          <w:rFonts w:ascii="Arial" w:hAnsi="Arial" w:cs="Arial"/>
          <w:i/>
          <w:szCs w:val="20"/>
        </w:rPr>
        <w:t xml:space="preserve">, tienen el alcance de exigir que en todo acto de autoridad se señalen con exactitud y precisión el o los dispositivos que facultan a quien lo emita y definan el carácter con que éste actúa, ya sea que lo haga por sí mismo, por ausencia del titular correspondiente o por delegación de facultades y, en caso de que esas normas incluyan diversos supuestos, precisar el apartado, fracción o fracciones, incisos o </w:t>
      </w:r>
      <w:proofErr w:type="spellStart"/>
      <w:r w:rsidRPr="00673FFE">
        <w:rPr>
          <w:rFonts w:ascii="Arial" w:hAnsi="Arial" w:cs="Arial"/>
          <w:i/>
          <w:szCs w:val="20"/>
        </w:rPr>
        <w:t>subincisos</w:t>
      </w:r>
      <w:proofErr w:type="spellEnd"/>
      <w:r w:rsidRPr="00673FFE">
        <w:rPr>
          <w:rFonts w:ascii="Arial" w:hAnsi="Arial" w:cs="Arial"/>
          <w:i/>
          <w:szCs w:val="20"/>
        </w:rPr>
        <w:t xml:space="preserve"> en que apoya su actuación, y de no contenerlos, si se trata de una norma compleja, transcribir la parte correspondiente, atento a la exigencia constitucional de certeza y seguridad jurídica del particular frente a los actos de las autoridades que afecten o lesionen su interés jurídico. En ese sentido, si la autoridad administrativa, al fundar su competencia cita los preceptos que la facultan para emitir el acto, pero omite señalar la porción normativa exacta y precisa que delimita su competencia territorial, es evidente que el acto impugnado está insuficientemente fundado, ya que, para satisfacer dicho principio constitucional, en todo acto de molestia deben constar los apartados, fracciones, incisos, </w:t>
      </w:r>
      <w:proofErr w:type="spellStart"/>
      <w:r w:rsidRPr="00673FFE">
        <w:rPr>
          <w:rFonts w:ascii="Arial" w:hAnsi="Arial" w:cs="Arial"/>
          <w:i/>
          <w:szCs w:val="20"/>
        </w:rPr>
        <w:t>subincisos</w:t>
      </w:r>
      <w:proofErr w:type="spellEnd"/>
      <w:r w:rsidRPr="00673FFE">
        <w:rPr>
          <w:rFonts w:ascii="Arial" w:hAnsi="Arial" w:cs="Arial"/>
          <w:i/>
          <w:szCs w:val="20"/>
        </w:rPr>
        <w:t xml:space="preserve"> o párrafos o, en su caso, transcribirse la parte correspondiente, tanto de los que facultan a la autoridad para emitir el acto, como de los que prevén su competencia territorial.</w:t>
      </w:r>
    </w:p>
    <w:p w:rsidR="00D026A2" w:rsidRPr="00673FFE" w:rsidRDefault="00D026A2" w:rsidP="00252754">
      <w:pPr>
        <w:spacing w:line="240" w:lineRule="auto"/>
        <w:ind w:left="851" w:right="618"/>
        <w:jc w:val="both"/>
        <w:rPr>
          <w:rFonts w:ascii="Arial" w:hAnsi="Arial" w:cs="Arial"/>
          <w:i/>
          <w:szCs w:val="20"/>
        </w:rPr>
      </w:pPr>
      <w:r w:rsidRPr="00673FFE">
        <w:rPr>
          <w:rFonts w:ascii="Arial" w:hAnsi="Arial" w:cs="Arial"/>
          <w:i/>
          <w:szCs w:val="20"/>
        </w:rPr>
        <w:t>QUINTO TRIBUNAL COLEGIADO EN MATERIA ADMINISTRATIVA DEL PRIMER CIRCUITO.</w:t>
      </w:r>
    </w:p>
    <w:p w:rsidR="00D026A2" w:rsidRPr="00673FFE" w:rsidRDefault="00D026A2" w:rsidP="00252754">
      <w:pPr>
        <w:spacing w:line="240" w:lineRule="auto"/>
        <w:ind w:left="851" w:right="618"/>
        <w:jc w:val="both"/>
        <w:rPr>
          <w:rFonts w:ascii="Arial" w:hAnsi="Arial" w:cs="Arial"/>
          <w:i/>
          <w:color w:val="212529"/>
          <w:szCs w:val="20"/>
        </w:rPr>
      </w:pPr>
      <w:r w:rsidRPr="00673FFE">
        <w:rPr>
          <w:rStyle w:val="fw-bold"/>
          <w:rFonts w:ascii="Arial" w:hAnsi="Arial" w:cs="Arial"/>
          <w:i/>
          <w:color w:val="212529"/>
          <w:szCs w:val="20"/>
        </w:rPr>
        <w:t>Registro digital: </w:t>
      </w:r>
      <w:r w:rsidRPr="00673FFE">
        <w:rPr>
          <w:rFonts w:ascii="Arial" w:hAnsi="Arial" w:cs="Arial"/>
          <w:i/>
          <w:color w:val="212529"/>
          <w:szCs w:val="20"/>
        </w:rPr>
        <w:t xml:space="preserve">172021. </w:t>
      </w:r>
      <w:r w:rsidRPr="00673FFE">
        <w:rPr>
          <w:rStyle w:val="fw-bold"/>
          <w:rFonts w:ascii="Arial" w:hAnsi="Arial" w:cs="Arial"/>
          <w:i/>
          <w:color w:val="212529"/>
          <w:szCs w:val="20"/>
        </w:rPr>
        <w:t>Instancia: </w:t>
      </w:r>
      <w:r w:rsidRPr="00673FFE">
        <w:rPr>
          <w:rFonts w:ascii="Arial" w:hAnsi="Arial" w:cs="Arial"/>
          <w:i/>
          <w:color w:val="212529"/>
          <w:szCs w:val="20"/>
        </w:rPr>
        <w:t xml:space="preserve">Tribunales Colegiados de Circuito. </w:t>
      </w:r>
      <w:r w:rsidRPr="00673FFE">
        <w:rPr>
          <w:rStyle w:val="fw-bold"/>
          <w:rFonts w:ascii="Arial" w:hAnsi="Arial" w:cs="Arial"/>
          <w:i/>
          <w:color w:val="212529"/>
          <w:szCs w:val="20"/>
        </w:rPr>
        <w:t>Novena Época. Materia(s): </w:t>
      </w:r>
      <w:r w:rsidRPr="00673FFE">
        <w:rPr>
          <w:rFonts w:ascii="Arial" w:hAnsi="Arial" w:cs="Arial"/>
          <w:i/>
          <w:color w:val="212529"/>
          <w:szCs w:val="20"/>
        </w:rPr>
        <w:t xml:space="preserve">Administrativa. </w:t>
      </w:r>
      <w:r w:rsidRPr="00673FFE">
        <w:rPr>
          <w:rStyle w:val="fw-bold"/>
          <w:rFonts w:ascii="Arial" w:hAnsi="Arial" w:cs="Arial"/>
          <w:i/>
          <w:color w:val="212529"/>
          <w:szCs w:val="20"/>
        </w:rPr>
        <w:t>Tesis: </w:t>
      </w:r>
      <w:r w:rsidRPr="00673FFE">
        <w:rPr>
          <w:rFonts w:ascii="Arial" w:hAnsi="Arial" w:cs="Arial"/>
          <w:i/>
          <w:color w:val="212529"/>
          <w:szCs w:val="20"/>
        </w:rPr>
        <w:t xml:space="preserve">I.5o.A.69 A. </w:t>
      </w:r>
      <w:r w:rsidRPr="00673FFE">
        <w:rPr>
          <w:rStyle w:val="fw-bold"/>
          <w:rFonts w:ascii="Arial" w:hAnsi="Arial" w:cs="Arial"/>
          <w:i/>
          <w:color w:val="212529"/>
          <w:szCs w:val="20"/>
        </w:rPr>
        <w:t>Fuente: </w:t>
      </w:r>
      <w:r w:rsidRPr="00673FFE">
        <w:rPr>
          <w:rFonts w:ascii="Arial" w:hAnsi="Arial" w:cs="Arial"/>
          <w:i/>
          <w:color w:val="212529"/>
          <w:szCs w:val="20"/>
        </w:rPr>
        <w:t>Semanario Judicial de la Federación y su Gaceta.</w:t>
      </w:r>
      <w:r w:rsidR="00252754" w:rsidRPr="00673FFE">
        <w:rPr>
          <w:rFonts w:ascii="Arial" w:hAnsi="Arial" w:cs="Arial"/>
          <w:i/>
          <w:color w:val="212529"/>
          <w:szCs w:val="20"/>
        </w:rPr>
        <w:t xml:space="preserve"> </w:t>
      </w:r>
      <w:r w:rsidRPr="00673FFE">
        <w:rPr>
          <w:rFonts w:ascii="Arial" w:hAnsi="Arial" w:cs="Arial"/>
          <w:i/>
          <w:color w:val="212529"/>
          <w:szCs w:val="20"/>
        </w:rPr>
        <w:t xml:space="preserve">Tomo XXVI, Julio de 2007, página 2510. </w:t>
      </w:r>
      <w:r w:rsidRPr="00673FFE">
        <w:rPr>
          <w:rStyle w:val="fw-bold"/>
          <w:rFonts w:ascii="Arial" w:hAnsi="Arial" w:cs="Arial"/>
          <w:i/>
          <w:color w:val="212529"/>
          <w:szCs w:val="20"/>
        </w:rPr>
        <w:t>Tipo: </w:t>
      </w:r>
      <w:r w:rsidRPr="00673FFE">
        <w:rPr>
          <w:rFonts w:ascii="Arial" w:hAnsi="Arial" w:cs="Arial"/>
          <w:i/>
          <w:color w:val="212529"/>
          <w:szCs w:val="20"/>
        </w:rPr>
        <w:t>Aislada.</w:t>
      </w:r>
      <w:r w:rsidR="00252754" w:rsidRPr="00673FFE">
        <w:rPr>
          <w:rFonts w:ascii="Arial" w:hAnsi="Arial" w:cs="Arial"/>
          <w:i/>
          <w:color w:val="212529"/>
          <w:szCs w:val="20"/>
        </w:rPr>
        <w:t>”</w:t>
      </w:r>
    </w:p>
    <w:p w:rsidR="00252754" w:rsidRPr="00673FFE" w:rsidRDefault="00252754" w:rsidP="00252754">
      <w:pPr>
        <w:spacing w:line="240" w:lineRule="auto"/>
        <w:ind w:left="851" w:right="618"/>
        <w:jc w:val="both"/>
        <w:rPr>
          <w:rFonts w:ascii="Arial" w:hAnsi="Arial" w:cs="Arial"/>
          <w:i/>
          <w:color w:val="212529"/>
          <w:szCs w:val="20"/>
        </w:rPr>
      </w:pPr>
    </w:p>
    <w:p w:rsidR="00252754" w:rsidRPr="00673FFE" w:rsidRDefault="00252754" w:rsidP="00252754">
      <w:pPr>
        <w:spacing w:line="240" w:lineRule="auto"/>
        <w:ind w:left="851" w:right="618"/>
        <w:jc w:val="both"/>
        <w:rPr>
          <w:rFonts w:ascii="Arial" w:hAnsi="Arial" w:cs="Arial"/>
          <w:i/>
          <w:color w:val="212529"/>
          <w:szCs w:val="20"/>
        </w:rPr>
      </w:pPr>
      <w:r w:rsidRPr="00673FFE">
        <w:rPr>
          <w:rFonts w:ascii="Arial" w:hAnsi="Arial" w:cs="Arial"/>
          <w:b/>
          <w:i/>
          <w:color w:val="212529"/>
          <w:szCs w:val="20"/>
        </w:rPr>
        <w:t xml:space="preserve">“COMPETENCIA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 </w:t>
      </w:r>
      <w:r w:rsidRPr="00673FFE">
        <w:rPr>
          <w:rFonts w:ascii="Arial" w:hAnsi="Arial" w:cs="Arial"/>
          <w:i/>
          <w:color w:val="212529"/>
          <w:szCs w:val="20"/>
        </w:rPr>
        <w:t>De lo dispuesto en la tesis de jurisprudencia P</w:t>
      </w:r>
      <w:proofErr w:type="gramStart"/>
      <w:r w:rsidRPr="00673FFE">
        <w:rPr>
          <w:rFonts w:ascii="Arial" w:hAnsi="Arial" w:cs="Arial"/>
          <w:i/>
          <w:color w:val="212529"/>
          <w:szCs w:val="20"/>
        </w:rPr>
        <w:t>./</w:t>
      </w:r>
      <w:proofErr w:type="gramEnd"/>
      <w:r w:rsidRPr="00673FFE">
        <w:rPr>
          <w:rFonts w:ascii="Arial" w:hAnsi="Arial" w:cs="Arial"/>
          <w:i/>
          <w:color w:val="212529"/>
          <w:szCs w:val="20"/>
        </w:rPr>
        <w:t xml:space="preserve">J. 10/94 del Tribunal en Pleno de la Suprema Corte de Justicia de la Nación, publicada en la Gaceta del Semanario Judicial de la Federación Número 77, mayo de 1994, página 12, con el rubro: "COMPETENCIA. SU FUNDAMENTACIÓN ES REQUISITO ESENCIAL DEL ACTO DE AUTORIDAD.", así como </w:t>
      </w:r>
      <w:r w:rsidR="007727D2">
        <w:rPr>
          <w:rFonts w:ascii="Arial" w:hAnsi="Arial" w:cs="Arial"/>
          <w:b/>
          <w:i/>
          <w:noProof/>
          <w:color w:val="212529"/>
          <w:szCs w:val="20"/>
          <w:lang w:eastAsia="es-MX"/>
        </w:rPr>
        <w:lastRenderedPageBreak/>
        <w:drawing>
          <wp:anchor distT="0" distB="0" distL="114300" distR="114300" simplePos="0" relativeHeight="251667456" behindDoc="1" locked="0" layoutInCell="1" allowOverlap="1" wp14:anchorId="71EB9995" wp14:editId="766FE1E9">
            <wp:simplePos x="0" y="0"/>
            <wp:positionH relativeFrom="leftMargin">
              <wp:align>right</wp:align>
            </wp:positionH>
            <wp:positionV relativeFrom="paragraph">
              <wp:posOffset>20187</wp:posOffset>
            </wp:positionV>
            <wp:extent cx="1584960" cy="259715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673FFE">
        <w:rPr>
          <w:rFonts w:ascii="Arial" w:hAnsi="Arial" w:cs="Arial"/>
          <w:i/>
          <w:color w:val="212529"/>
          <w:szCs w:val="20"/>
        </w:rPr>
        <w:t xml:space="preserve">de las consideraciones en las cuales se sustentó dicho criterio, se advierte que la garantía de fundamentación consagrada en el artículo 16 de la Constitución Política de los Estados Unidos Mexicanos, lleva implícita la idea de exactitud y precisión en la cita de las normas legales que facultan a la autoridad administrativa para emitir el acto de molestia de que se trate, al atender al valor jurídicamente protegido por la exigencia constitucional, que es la posibilidad de otorgar certeza y seguridad jurídica al particular frente a los actos de las autoridades que afecten o lesionen su interés jurídico y, por tanto, asegurar la prerrogativa de su defensa ante un acto que no cumpla con los requisitos legales necesarios. En congruencia con lo anterior, se concluye que es un requisito esencial y una obligación de la autoridad fundar en el acto de molestia su competencia, pues sólo puede hacer lo que la ley le permite, de ahí que la validez del acto dependerá de que haya sido realizado por la autoridad facultada legalmente para ello dentro de su respectivo ámbito de competencia, regido específicamente por una o varias normas que lo autoricen; por tanto, para considerar que se cumple con la garantía de fundamentación establecida en el artículo 16 de la Constitución Federal, es necesario que la autoridad precise exhaustivamente su competencia por razón de materia, grado o territorio, con base en la ley, reglamento, decreto o acuerdo que le otorgue la atribución ejercida, citando en su caso el apartado, fracción, inciso o </w:t>
      </w:r>
      <w:proofErr w:type="spellStart"/>
      <w:r w:rsidRPr="00673FFE">
        <w:rPr>
          <w:rFonts w:ascii="Arial" w:hAnsi="Arial" w:cs="Arial"/>
          <w:i/>
          <w:color w:val="212529"/>
          <w:szCs w:val="20"/>
        </w:rPr>
        <w:t>subinciso</w:t>
      </w:r>
      <w:proofErr w:type="spellEnd"/>
      <w:r w:rsidRPr="00673FFE">
        <w:rPr>
          <w:rFonts w:ascii="Arial" w:hAnsi="Arial" w:cs="Arial"/>
          <w:i/>
          <w:color w:val="212529"/>
          <w:szCs w:val="20"/>
        </w:rPr>
        <w:t>; sin embargo, en caso de que el ordenamiento legal no los contenga, si se trata de una norma compleja, habrá de transcribirse la parte correspondiente, con la única finalidad de especificar con claridad, certeza y precisión las facultades que le corresponden, pues considerar lo contrario significaría que el gobernado tiene la carga de averiguar en el cúmulo de normas legales que señale la autoridad en el documento que contiene el acto de molestia, si tiene competencia por grado, materia y territorio para actuar en la forma en que lo hace, dejándolo en estado de indefensión, pues ignoraría cuál de todas las normas legales que integran el texto normativo es la específicamente aplicable a la actuación del órgano del que emana, por razón de materia, grado y territorio.</w:t>
      </w:r>
    </w:p>
    <w:p w:rsidR="00252754" w:rsidRPr="00673FFE" w:rsidRDefault="00252754" w:rsidP="00252754">
      <w:pPr>
        <w:spacing w:line="240" w:lineRule="auto"/>
        <w:ind w:left="851" w:right="618"/>
        <w:jc w:val="both"/>
        <w:rPr>
          <w:rFonts w:ascii="Arial" w:hAnsi="Arial" w:cs="Arial"/>
          <w:i/>
          <w:color w:val="212529"/>
          <w:szCs w:val="20"/>
        </w:rPr>
      </w:pPr>
      <w:r w:rsidRPr="00673FFE">
        <w:rPr>
          <w:rFonts w:ascii="Arial" w:hAnsi="Arial" w:cs="Arial"/>
          <w:i/>
          <w:color w:val="212529"/>
          <w:szCs w:val="20"/>
        </w:rPr>
        <w:t>Contradicción de tesis 114/2005-SS. Entre las sustentadas por el Segundo Tribunal Colegiado en Materia de Trabajo del Tercer Circuito, el Tercer Tribunal Colegiado del Vigésimo Tercer Circuito y el Primer Tribunal Colegiado en Materia Administrativa del Tercer Circuito. 2 de septiembre de 2005. Cinco votos. Ponente: Genaro David Góngora Pimentel. Secretario: Alfredo Aragón Jiménez Castro.</w:t>
      </w:r>
    </w:p>
    <w:p w:rsidR="00252754" w:rsidRPr="00673FFE" w:rsidRDefault="00252754" w:rsidP="00252754">
      <w:pPr>
        <w:spacing w:line="240" w:lineRule="auto"/>
        <w:ind w:left="851" w:right="618"/>
        <w:jc w:val="both"/>
        <w:rPr>
          <w:rFonts w:ascii="Arial" w:hAnsi="Arial" w:cs="Arial"/>
          <w:color w:val="212529"/>
          <w:szCs w:val="20"/>
        </w:rPr>
      </w:pPr>
      <w:r w:rsidRPr="00673FFE">
        <w:rPr>
          <w:rStyle w:val="fw-bold"/>
          <w:rFonts w:ascii="Arial" w:hAnsi="Arial" w:cs="Arial"/>
          <w:color w:val="212529"/>
          <w:szCs w:val="20"/>
        </w:rPr>
        <w:t>Registro digital: </w:t>
      </w:r>
      <w:r w:rsidRPr="00673FFE">
        <w:rPr>
          <w:rFonts w:ascii="Arial" w:hAnsi="Arial" w:cs="Arial"/>
          <w:color w:val="212529"/>
          <w:szCs w:val="20"/>
        </w:rPr>
        <w:t xml:space="preserve">177347. </w:t>
      </w:r>
      <w:r w:rsidRPr="00673FFE">
        <w:rPr>
          <w:rStyle w:val="fw-bold"/>
          <w:rFonts w:ascii="Arial" w:hAnsi="Arial" w:cs="Arial"/>
          <w:color w:val="212529"/>
          <w:szCs w:val="20"/>
        </w:rPr>
        <w:t>Instancia: </w:t>
      </w:r>
      <w:r w:rsidRPr="00673FFE">
        <w:rPr>
          <w:rFonts w:ascii="Arial" w:hAnsi="Arial" w:cs="Arial"/>
          <w:color w:val="212529"/>
          <w:szCs w:val="20"/>
        </w:rPr>
        <w:t xml:space="preserve">Segunda Sala. </w:t>
      </w:r>
      <w:r w:rsidRPr="00673FFE">
        <w:rPr>
          <w:rStyle w:val="fw-bold"/>
          <w:rFonts w:ascii="Arial" w:hAnsi="Arial" w:cs="Arial"/>
          <w:color w:val="212529"/>
          <w:szCs w:val="20"/>
        </w:rPr>
        <w:t>Novena Época. Materia(s): </w:t>
      </w:r>
      <w:r w:rsidRPr="00673FFE">
        <w:rPr>
          <w:rFonts w:ascii="Arial" w:hAnsi="Arial" w:cs="Arial"/>
          <w:color w:val="212529"/>
          <w:szCs w:val="20"/>
        </w:rPr>
        <w:t xml:space="preserve">Administrativa. </w:t>
      </w:r>
      <w:r w:rsidRPr="00673FFE">
        <w:rPr>
          <w:rStyle w:val="fw-bold"/>
          <w:rFonts w:ascii="Arial" w:hAnsi="Arial" w:cs="Arial"/>
          <w:color w:val="212529"/>
          <w:szCs w:val="20"/>
        </w:rPr>
        <w:t>Tesis: </w:t>
      </w:r>
      <w:r w:rsidRPr="00673FFE">
        <w:rPr>
          <w:rFonts w:ascii="Arial" w:hAnsi="Arial" w:cs="Arial"/>
          <w:color w:val="212529"/>
          <w:szCs w:val="20"/>
        </w:rPr>
        <w:t>2a</w:t>
      </w:r>
      <w:proofErr w:type="gramStart"/>
      <w:r w:rsidRPr="00673FFE">
        <w:rPr>
          <w:rFonts w:ascii="Arial" w:hAnsi="Arial" w:cs="Arial"/>
          <w:color w:val="212529"/>
          <w:szCs w:val="20"/>
        </w:rPr>
        <w:t>./</w:t>
      </w:r>
      <w:proofErr w:type="gramEnd"/>
      <w:r w:rsidRPr="00673FFE">
        <w:rPr>
          <w:rFonts w:ascii="Arial" w:hAnsi="Arial" w:cs="Arial"/>
          <w:color w:val="212529"/>
          <w:szCs w:val="20"/>
        </w:rPr>
        <w:t xml:space="preserve">J. 115/2005. </w:t>
      </w:r>
      <w:r w:rsidRPr="00673FFE">
        <w:rPr>
          <w:rStyle w:val="fw-bold"/>
          <w:rFonts w:ascii="Arial" w:hAnsi="Arial" w:cs="Arial"/>
          <w:color w:val="212529"/>
          <w:szCs w:val="20"/>
        </w:rPr>
        <w:t>Fuente: </w:t>
      </w:r>
      <w:r w:rsidRPr="00673FFE">
        <w:rPr>
          <w:rFonts w:ascii="Arial" w:hAnsi="Arial" w:cs="Arial"/>
          <w:color w:val="212529"/>
          <w:szCs w:val="20"/>
        </w:rPr>
        <w:t xml:space="preserve">Semanario Judicial de la Federación y su Gaceta. Tomo XXII, Septiembre de 2005, página 310. </w:t>
      </w:r>
      <w:r w:rsidRPr="00673FFE">
        <w:rPr>
          <w:rStyle w:val="fw-bold"/>
          <w:rFonts w:ascii="Arial" w:hAnsi="Arial" w:cs="Arial"/>
          <w:color w:val="212529"/>
          <w:szCs w:val="20"/>
        </w:rPr>
        <w:t>Tipo: </w:t>
      </w:r>
      <w:r w:rsidRPr="00673FFE">
        <w:rPr>
          <w:rFonts w:ascii="Arial" w:hAnsi="Arial" w:cs="Arial"/>
          <w:color w:val="212529"/>
          <w:szCs w:val="20"/>
        </w:rPr>
        <w:t>Jurisprudencia. “</w:t>
      </w:r>
    </w:p>
    <w:p w:rsidR="00252754" w:rsidRDefault="00252754" w:rsidP="00252754">
      <w:pPr>
        <w:spacing w:line="240" w:lineRule="auto"/>
        <w:ind w:right="618"/>
        <w:jc w:val="both"/>
        <w:rPr>
          <w:rFonts w:ascii="Arial" w:hAnsi="Arial" w:cs="Arial"/>
          <w:sz w:val="24"/>
          <w:lang w:val="es-ES"/>
        </w:rPr>
      </w:pPr>
    </w:p>
    <w:p w:rsidR="00673FFE" w:rsidRDefault="00673FFE" w:rsidP="00673FFE">
      <w:pPr>
        <w:spacing w:after="0"/>
        <w:ind w:firstLine="708"/>
        <w:jc w:val="both"/>
        <w:rPr>
          <w:rFonts w:ascii="Arial" w:hAnsi="Arial" w:cs="Arial"/>
          <w:sz w:val="24"/>
          <w:lang w:val="es-ES"/>
        </w:rPr>
      </w:pPr>
      <w:r>
        <w:rPr>
          <w:rFonts w:ascii="Arial" w:hAnsi="Arial" w:cs="Arial"/>
          <w:sz w:val="24"/>
          <w:lang w:val="es-ES"/>
        </w:rPr>
        <w:t>A mayor abundamiento, y c</w:t>
      </w:r>
      <w:r w:rsidRPr="00673FFE">
        <w:rPr>
          <w:rFonts w:ascii="Arial" w:hAnsi="Arial" w:cs="Arial"/>
          <w:sz w:val="24"/>
          <w:lang w:val="es-ES"/>
        </w:rPr>
        <w:t xml:space="preserve">on fundamento en el artículo 244 del Código Procesal Administrativo para el Estado de San Luis Potosí, la autoridad demandada se encuentra obligada a sostener la legalidad del acto impugnado conforme a las razones y fundamentos expresados en </w:t>
      </w:r>
      <w:r>
        <w:rPr>
          <w:rFonts w:ascii="Arial" w:hAnsi="Arial" w:cs="Arial"/>
          <w:sz w:val="24"/>
          <w:lang w:val="es-ES"/>
        </w:rPr>
        <w:t>el propio acto impugnado</w:t>
      </w:r>
      <w:r w:rsidRPr="00673FFE">
        <w:rPr>
          <w:rFonts w:ascii="Arial" w:hAnsi="Arial" w:cs="Arial"/>
          <w:sz w:val="24"/>
          <w:lang w:val="es-ES"/>
        </w:rPr>
        <w:t xml:space="preserve">, sin que </w:t>
      </w:r>
      <w:r>
        <w:rPr>
          <w:rFonts w:ascii="Arial" w:hAnsi="Arial" w:cs="Arial"/>
          <w:sz w:val="24"/>
          <w:lang w:val="es-ES"/>
        </w:rPr>
        <w:t xml:space="preserve">pueda </w:t>
      </w:r>
      <w:r w:rsidRPr="00673FFE">
        <w:rPr>
          <w:rFonts w:ascii="Arial" w:hAnsi="Arial" w:cs="Arial"/>
          <w:sz w:val="24"/>
          <w:lang w:val="es-ES"/>
        </w:rPr>
        <w:t xml:space="preserve">subsanar, complementar o perfeccionar en la contestación de demanda las omisiones de fundamentación y motivación originalmente contenidas en </w:t>
      </w:r>
      <w:r>
        <w:rPr>
          <w:rFonts w:ascii="Arial" w:hAnsi="Arial" w:cs="Arial"/>
          <w:sz w:val="24"/>
          <w:lang w:val="es-ES"/>
        </w:rPr>
        <w:t>su propio</w:t>
      </w:r>
      <w:r w:rsidRPr="00673FFE">
        <w:rPr>
          <w:rFonts w:ascii="Arial" w:hAnsi="Arial" w:cs="Arial"/>
          <w:sz w:val="24"/>
          <w:lang w:val="es-ES"/>
        </w:rPr>
        <w:t xml:space="preserve"> acto administrativo.</w:t>
      </w:r>
    </w:p>
    <w:p w:rsidR="00673FFE" w:rsidRPr="00673FFE" w:rsidRDefault="00673FFE" w:rsidP="00673FFE">
      <w:pPr>
        <w:spacing w:after="0"/>
        <w:ind w:firstLine="708"/>
        <w:jc w:val="both"/>
        <w:rPr>
          <w:rFonts w:ascii="Arial" w:hAnsi="Arial" w:cs="Arial"/>
          <w:sz w:val="24"/>
          <w:lang w:val="es-ES"/>
        </w:rPr>
      </w:pPr>
    </w:p>
    <w:p w:rsidR="00673FFE" w:rsidRDefault="00673FFE" w:rsidP="00673FFE">
      <w:pPr>
        <w:spacing w:after="0"/>
        <w:ind w:firstLine="708"/>
        <w:jc w:val="both"/>
        <w:rPr>
          <w:rFonts w:ascii="Arial" w:hAnsi="Arial" w:cs="Arial"/>
          <w:sz w:val="24"/>
          <w:lang w:val="es-ES"/>
        </w:rPr>
      </w:pPr>
      <w:r w:rsidRPr="00673FFE">
        <w:rPr>
          <w:rFonts w:ascii="Arial" w:hAnsi="Arial" w:cs="Arial"/>
          <w:sz w:val="24"/>
          <w:lang w:val="es-ES"/>
        </w:rPr>
        <w:t>Lo anterior</w:t>
      </w:r>
      <w:r>
        <w:rPr>
          <w:rFonts w:ascii="Arial" w:hAnsi="Arial" w:cs="Arial"/>
          <w:sz w:val="24"/>
          <w:lang w:val="es-ES"/>
        </w:rPr>
        <w:t>,</w:t>
      </w:r>
      <w:r w:rsidRPr="00673FFE">
        <w:rPr>
          <w:rFonts w:ascii="Arial" w:hAnsi="Arial" w:cs="Arial"/>
          <w:sz w:val="24"/>
          <w:lang w:val="es-ES"/>
        </w:rPr>
        <w:t xml:space="preserve"> obedece a que la </w:t>
      </w:r>
      <w:proofErr w:type="spellStart"/>
      <w:r w:rsidRPr="00673FFE">
        <w:rPr>
          <w:rFonts w:ascii="Arial" w:hAnsi="Arial" w:cs="Arial"/>
          <w:sz w:val="24"/>
          <w:lang w:val="es-ES"/>
        </w:rPr>
        <w:t>litis</w:t>
      </w:r>
      <w:proofErr w:type="spellEnd"/>
      <w:r w:rsidRPr="00673FFE">
        <w:rPr>
          <w:rFonts w:ascii="Arial" w:hAnsi="Arial" w:cs="Arial"/>
          <w:sz w:val="24"/>
          <w:lang w:val="es-ES"/>
        </w:rPr>
        <w:t xml:space="preserve"> en el juicio contencioso administrativo se fija a partir del contenido del acto impugnado y de los conceptos de impugnación formulados por la parte actora; por tanto, la contestación de </w:t>
      </w:r>
      <w:r w:rsidRPr="00673FFE">
        <w:rPr>
          <w:rFonts w:ascii="Arial" w:hAnsi="Arial" w:cs="Arial"/>
          <w:sz w:val="24"/>
          <w:lang w:val="es-ES"/>
        </w:rPr>
        <w:lastRenderedPageBreak/>
        <w:t>demanda únicamente constituye el medio procesal para defender la legalidad del acto emitido, mas no una oportunidad para reconstruirlo o emitir una nueva fundamentación y motivación ex post facto.</w:t>
      </w:r>
    </w:p>
    <w:p w:rsidR="00673FFE" w:rsidRPr="00673FFE" w:rsidRDefault="00673FFE" w:rsidP="00673FFE">
      <w:pPr>
        <w:spacing w:after="0"/>
        <w:ind w:firstLine="708"/>
        <w:jc w:val="both"/>
        <w:rPr>
          <w:rFonts w:ascii="Arial" w:hAnsi="Arial" w:cs="Arial"/>
          <w:sz w:val="24"/>
          <w:lang w:val="es-ES"/>
        </w:rPr>
      </w:pPr>
    </w:p>
    <w:p w:rsidR="00673FFE" w:rsidRDefault="00673FFE" w:rsidP="00673FFE">
      <w:pPr>
        <w:spacing w:after="160" w:line="259" w:lineRule="auto"/>
        <w:ind w:firstLine="708"/>
        <w:jc w:val="both"/>
        <w:rPr>
          <w:rFonts w:ascii="Arial" w:hAnsi="Arial" w:cs="Arial"/>
          <w:sz w:val="24"/>
          <w:lang w:val="es-ES"/>
        </w:rPr>
      </w:pPr>
      <w:r w:rsidRPr="00673FFE">
        <w:rPr>
          <w:rFonts w:ascii="Arial" w:hAnsi="Arial" w:cs="Arial"/>
          <w:sz w:val="24"/>
          <w:lang w:val="es-ES"/>
        </w:rPr>
        <w:t>En ese sentido, la garantía de legalidad prevista en el artículo 16 constitucional exige que todo acto de autoridad conste por escrito y que, desde el momento mismo de su emisión, contenga de manera expresa y suficiente los preceptos legales aplicables, así como las razones particulares, circunstancias especiales y causas inmediatas que justifican la determinación adoptada. De ahí que tales requisitos deban encontrarse incorporados en el propio acto administrativo y no puedan ser introducidos posteriormente durante la secuela procesal.</w:t>
      </w:r>
      <w:r>
        <w:rPr>
          <w:rFonts w:ascii="Arial" w:hAnsi="Arial" w:cs="Arial"/>
          <w:sz w:val="24"/>
          <w:lang w:val="es-ES"/>
        </w:rPr>
        <w:t xml:space="preserve"> </w:t>
      </w:r>
    </w:p>
    <w:p w:rsidR="00673FFE" w:rsidRDefault="00673FFE" w:rsidP="00673FFE">
      <w:pPr>
        <w:spacing w:before="240" w:after="160" w:line="259" w:lineRule="auto"/>
        <w:ind w:firstLine="708"/>
        <w:jc w:val="both"/>
        <w:rPr>
          <w:rFonts w:ascii="Arial" w:hAnsi="Arial" w:cs="Arial"/>
          <w:sz w:val="24"/>
          <w:lang w:val="es-ES"/>
        </w:rPr>
      </w:pPr>
      <w:r>
        <w:rPr>
          <w:rFonts w:ascii="Arial" w:hAnsi="Arial" w:cs="Arial"/>
          <w:sz w:val="24"/>
          <w:lang w:val="es-ES"/>
        </w:rPr>
        <w:t xml:space="preserve">De lo contrario, </w:t>
      </w:r>
      <w:r w:rsidRPr="00673FFE">
        <w:rPr>
          <w:rFonts w:ascii="Arial" w:hAnsi="Arial" w:cs="Arial"/>
          <w:sz w:val="24"/>
          <w:lang w:val="es-ES"/>
        </w:rPr>
        <w:t xml:space="preserve">trastocaría el principio de seguridad jurídica, dado que el acto administrativo debe analizarse conforme a la motivación y fundamentación originalmente expresadas, y no a partir de argumentos posteriores elaborados para justificarlo en juicio. En consecuencia, la legalidad del acto debe evaluarse exclusivamente con base en las consideraciones contenidas en </w:t>
      </w:r>
      <w:r>
        <w:rPr>
          <w:rFonts w:ascii="Arial" w:hAnsi="Arial" w:cs="Arial"/>
          <w:sz w:val="24"/>
          <w:lang w:val="es-ES"/>
        </w:rPr>
        <w:t>su propio cuerpo</w:t>
      </w:r>
      <w:r w:rsidRPr="00673FFE">
        <w:rPr>
          <w:rFonts w:ascii="Arial" w:hAnsi="Arial" w:cs="Arial"/>
          <w:sz w:val="24"/>
          <w:lang w:val="es-ES"/>
        </w:rPr>
        <w:t>, sin tomar en cuenta razonamientos novedosos expuestos al contestar la demanda.</w:t>
      </w:r>
    </w:p>
    <w:p w:rsidR="00673FFE" w:rsidRDefault="00673FFE" w:rsidP="00673FFE">
      <w:pPr>
        <w:spacing w:before="240" w:after="160" w:line="259" w:lineRule="auto"/>
        <w:ind w:firstLine="708"/>
        <w:jc w:val="both"/>
        <w:rPr>
          <w:rFonts w:ascii="Arial" w:hAnsi="Arial" w:cs="Arial"/>
          <w:sz w:val="24"/>
          <w:lang w:val="es-ES"/>
        </w:rPr>
      </w:pPr>
      <w:r w:rsidRPr="00673FFE">
        <w:rPr>
          <w:rFonts w:ascii="Arial" w:hAnsi="Arial" w:cs="Arial"/>
          <w:sz w:val="24"/>
          <w:lang w:val="es-ES"/>
        </w:rPr>
        <w:t xml:space="preserve">Asimismo, el artículo 167 del citado </w:t>
      </w:r>
      <w:r>
        <w:rPr>
          <w:rFonts w:ascii="Arial" w:hAnsi="Arial" w:cs="Arial"/>
          <w:sz w:val="24"/>
          <w:lang w:val="es-ES"/>
        </w:rPr>
        <w:t>Código</w:t>
      </w:r>
      <w:proofErr w:type="gramStart"/>
      <w:r>
        <w:rPr>
          <w:rFonts w:ascii="Arial" w:hAnsi="Arial" w:cs="Arial"/>
          <w:sz w:val="24"/>
          <w:lang w:val="es-ES"/>
        </w:rPr>
        <w:t>,¿</w:t>
      </w:r>
      <w:proofErr w:type="gramEnd"/>
      <w:r w:rsidRPr="00673FFE">
        <w:rPr>
          <w:rFonts w:ascii="Arial" w:hAnsi="Arial" w:cs="Arial"/>
          <w:sz w:val="24"/>
          <w:lang w:val="es-ES"/>
        </w:rPr>
        <w:t xml:space="preserve"> dispone que el acto administrativo afectado de nulidad “no podrá subsanarse”, lo que evidencia que los vicios esenciales de legalidad no pueden corregirse posteriormente mediante manifestaciones vertidas en juicio.</w:t>
      </w:r>
    </w:p>
    <w:p w:rsidR="00673FFE" w:rsidRDefault="00673FFE" w:rsidP="00252754">
      <w:pPr>
        <w:spacing w:after="0" w:line="360" w:lineRule="auto"/>
        <w:ind w:right="50" w:firstLine="708"/>
        <w:jc w:val="both"/>
        <w:rPr>
          <w:rFonts w:ascii="Arial" w:hAnsi="Arial" w:cs="Arial"/>
          <w:sz w:val="24"/>
          <w:lang w:val="es-ES"/>
        </w:rPr>
      </w:pPr>
    </w:p>
    <w:p w:rsidR="00252754" w:rsidRDefault="00252754" w:rsidP="00252754">
      <w:pPr>
        <w:spacing w:after="0" w:line="360" w:lineRule="auto"/>
        <w:ind w:right="50" w:firstLine="708"/>
        <w:jc w:val="both"/>
        <w:rPr>
          <w:rFonts w:ascii="Arial" w:hAnsi="Arial" w:cs="Arial"/>
          <w:sz w:val="24"/>
          <w:lang w:eastAsia="es-MX"/>
        </w:rPr>
      </w:pPr>
      <w:r>
        <w:rPr>
          <w:rFonts w:ascii="Arial" w:hAnsi="Arial" w:cs="Arial"/>
          <w:sz w:val="24"/>
          <w:lang w:val="es-ES"/>
        </w:rPr>
        <w:t xml:space="preserve">En esta tesitura, resulta inconcuso que el acto impugnado en este </w:t>
      </w:r>
      <w:r>
        <w:rPr>
          <w:rFonts w:ascii="Arial" w:hAnsi="Arial" w:cs="Arial"/>
          <w:sz w:val="24"/>
        </w:rPr>
        <w:t xml:space="preserve">juicio consistente en el </w:t>
      </w:r>
      <w:r w:rsidRPr="00252754">
        <w:rPr>
          <w:rFonts w:ascii="Arial" w:hAnsi="Arial" w:cs="Arial"/>
          <w:b/>
          <w:bCs/>
          <w:iCs/>
          <w:color w:val="FF0000"/>
          <w:sz w:val="24"/>
          <w:szCs w:val="20"/>
        </w:rPr>
        <w:t xml:space="preserve">mandamiento de ejecución </w:t>
      </w:r>
      <w:r w:rsidRPr="00252754">
        <w:rPr>
          <w:rFonts w:ascii="Arial" w:hAnsi="Arial" w:cs="Arial"/>
          <w:b/>
          <w:color w:val="FF0000"/>
          <w:sz w:val="24"/>
          <w:szCs w:val="24"/>
        </w:rPr>
        <w:t xml:space="preserve">número </w:t>
      </w:r>
      <w:r w:rsidR="00C507DA">
        <w:rPr>
          <w:rFonts w:ascii="Arial" w:hAnsi="Arial" w:cs="Arial"/>
          <w:b/>
          <w:color w:val="FF0000"/>
          <w:sz w:val="24"/>
          <w:szCs w:val="24"/>
        </w:rPr>
        <w:t>**********</w:t>
      </w:r>
      <w:r w:rsidRPr="00252754">
        <w:rPr>
          <w:rFonts w:ascii="Arial" w:hAnsi="Arial" w:cs="Arial"/>
          <w:b/>
          <w:sz w:val="24"/>
          <w:szCs w:val="24"/>
        </w:rPr>
        <w:t xml:space="preserve"> </w:t>
      </w:r>
      <w:r w:rsidRPr="00252754">
        <w:rPr>
          <w:rFonts w:ascii="Arial" w:hAnsi="Arial" w:cs="Arial"/>
          <w:b/>
          <w:color w:val="FF0000"/>
          <w:sz w:val="24"/>
          <w:szCs w:val="24"/>
        </w:rPr>
        <w:t>de fecha cinco de junio de dos mil veinticinco</w:t>
      </w:r>
      <w:r w:rsidRPr="00252754">
        <w:rPr>
          <w:rFonts w:ascii="Arial" w:hAnsi="Arial" w:cs="Arial"/>
          <w:b/>
          <w:sz w:val="24"/>
          <w:szCs w:val="24"/>
        </w:rPr>
        <w:t>,</w:t>
      </w:r>
      <w:r>
        <w:rPr>
          <w:rFonts w:ascii="Arial" w:hAnsi="Arial" w:cs="Arial"/>
          <w:sz w:val="24"/>
          <w:szCs w:val="24"/>
        </w:rPr>
        <w:t xml:space="preserve"> emitido por </w:t>
      </w:r>
      <w:r w:rsidRPr="00252754">
        <w:rPr>
          <w:rFonts w:ascii="Arial" w:hAnsi="Arial" w:cs="Arial"/>
          <w:b/>
          <w:sz w:val="24"/>
          <w:szCs w:val="24"/>
          <w:u w:val="single"/>
        </w:rPr>
        <w:t>Director de Recaudación y Política Fiscal de la Secretaria de Finanzas de Gobierno del Estado de San Luis Potosí</w:t>
      </w:r>
      <w:r>
        <w:rPr>
          <w:rFonts w:ascii="Arial" w:hAnsi="Arial" w:cs="Arial"/>
          <w:sz w:val="24"/>
          <w:szCs w:val="24"/>
        </w:rPr>
        <w:t xml:space="preserve">, </w:t>
      </w:r>
      <w:r>
        <w:rPr>
          <w:rFonts w:ascii="Arial" w:hAnsi="Arial" w:cs="Arial"/>
          <w:sz w:val="24"/>
          <w:lang w:val="es-ES"/>
        </w:rPr>
        <w:t>al ser emitido bajo una insuficiente fundamentación respecto de la competencia, se ubica en la hipótesis</w:t>
      </w:r>
      <w:r>
        <w:rPr>
          <w:rFonts w:ascii="Arial" w:hAnsi="Arial" w:cs="Arial"/>
          <w:sz w:val="24"/>
          <w:lang w:eastAsia="es-MX"/>
        </w:rPr>
        <w:t xml:space="preserve"> ilegalidad prevista en el numeral 250 fracción I del Código Procesal Administrativo para el Estado de San Luís Potosí:</w:t>
      </w:r>
    </w:p>
    <w:p w:rsidR="00B27950" w:rsidRDefault="00B27950" w:rsidP="00252754">
      <w:pPr>
        <w:spacing w:after="0" w:line="360" w:lineRule="auto"/>
        <w:ind w:right="50" w:firstLine="708"/>
        <w:jc w:val="both"/>
        <w:rPr>
          <w:rFonts w:ascii="Arial" w:hAnsi="Arial" w:cs="Arial"/>
          <w:sz w:val="24"/>
          <w:lang w:eastAsia="es-MX"/>
        </w:rPr>
      </w:pPr>
    </w:p>
    <w:p w:rsidR="00B27950" w:rsidRPr="00673FFE" w:rsidRDefault="00B27950" w:rsidP="00B27950">
      <w:pPr>
        <w:spacing w:after="0" w:line="240" w:lineRule="auto"/>
        <w:ind w:left="851" w:right="618"/>
        <w:jc w:val="both"/>
        <w:rPr>
          <w:rFonts w:ascii="Arial" w:hAnsi="Arial" w:cs="Arial"/>
          <w:i/>
        </w:rPr>
      </w:pPr>
      <w:r w:rsidRPr="00673FFE">
        <w:rPr>
          <w:rFonts w:ascii="Arial" w:hAnsi="Arial" w:cs="Arial"/>
          <w:b/>
          <w:i/>
        </w:rPr>
        <w:t>“ARTÍCULO 250.</w:t>
      </w:r>
      <w:r w:rsidRPr="00673FFE">
        <w:rPr>
          <w:rFonts w:ascii="Arial" w:hAnsi="Arial" w:cs="Arial"/>
          <w:i/>
        </w:rPr>
        <w:t xml:space="preserve"> Se declarará que un </w:t>
      </w:r>
      <w:r w:rsidRPr="00673FFE">
        <w:rPr>
          <w:rFonts w:ascii="Arial" w:hAnsi="Arial" w:cs="Arial"/>
          <w:b/>
          <w:i/>
          <w:u w:val="single"/>
        </w:rPr>
        <w:t>acto administrativo es ilegal</w:t>
      </w:r>
      <w:r w:rsidRPr="00673FFE">
        <w:rPr>
          <w:rFonts w:ascii="Arial" w:hAnsi="Arial" w:cs="Arial"/>
          <w:i/>
        </w:rPr>
        <w:t xml:space="preserve"> cuando se demuestre alguna de las siguientes causales:</w:t>
      </w:r>
    </w:p>
    <w:p w:rsidR="00B27950" w:rsidRPr="00673FFE" w:rsidRDefault="00B27950" w:rsidP="00B27950">
      <w:pPr>
        <w:spacing w:after="0" w:line="240" w:lineRule="auto"/>
        <w:ind w:left="851" w:right="618"/>
        <w:jc w:val="both"/>
        <w:rPr>
          <w:rFonts w:ascii="Arial" w:hAnsi="Arial" w:cs="Arial"/>
          <w:b/>
          <w:i/>
          <w:lang w:eastAsia="es-MX"/>
        </w:rPr>
      </w:pPr>
      <w:r w:rsidRPr="00673FFE">
        <w:rPr>
          <w:rFonts w:ascii="Arial" w:hAnsi="Arial" w:cs="Arial"/>
          <w:i/>
        </w:rPr>
        <w:t xml:space="preserve"> </w:t>
      </w:r>
      <w:r w:rsidRPr="00673FFE">
        <w:rPr>
          <w:rFonts w:ascii="Arial" w:hAnsi="Arial" w:cs="Arial"/>
          <w:b/>
          <w:i/>
        </w:rPr>
        <w:t>I. Incompetencia del funcionario que lo haya dictado u ordenado, o tramitado el procedimiento del que deriva dicha resolución</w:t>
      </w:r>
      <w:proofErr w:type="gramStart"/>
      <w:r w:rsidRPr="00673FFE">
        <w:rPr>
          <w:rFonts w:ascii="Arial" w:hAnsi="Arial" w:cs="Arial"/>
          <w:b/>
          <w:i/>
        </w:rPr>
        <w:t>, …</w:t>
      </w:r>
      <w:r w:rsidRPr="00673FFE">
        <w:rPr>
          <w:rFonts w:ascii="Arial" w:hAnsi="Arial" w:cs="Arial"/>
          <w:b/>
          <w:i/>
          <w:lang w:eastAsia="es-MX"/>
        </w:rPr>
        <w:t>”</w:t>
      </w:r>
      <w:proofErr w:type="gramEnd"/>
    </w:p>
    <w:p w:rsidR="00252754" w:rsidRPr="00673FFE" w:rsidRDefault="00252754" w:rsidP="00252754">
      <w:pPr>
        <w:spacing w:after="0" w:line="360" w:lineRule="auto"/>
        <w:ind w:right="50" w:firstLine="708"/>
        <w:jc w:val="both"/>
        <w:rPr>
          <w:rFonts w:ascii="Arial" w:hAnsi="Arial" w:cs="Arial"/>
          <w:lang w:eastAsia="es-MX"/>
        </w:rPr>
      </w:pPr>
    </w:p>
    <w:p w:rsidR="00252754" w:rsidRDefault="00252754" w:rsidP="00252754">
      <w:pPr>
        <w:spacing w:after="0" w:line="360" w:lineRule="auto"/>
        <w:ind w:right="50" w:firstLine="708"/>
        <w:jc w:val="both"/>
        <w:rPr>
          <w:rFonts w:ascii="Arial" w:hAnsi="Arial" w:cs="Arial"/>
          <w:sz w:val="24"/>
          <w:lang w:eastAsia="es-MX"/>
        </w:rPr>
      </w:pPr>
    </w:p>
    <w:p w:rsidR="00252754" w:rsidRDefault="00252754" w:rsidP="00252754">
      <w:pPr>
        <w:spacing w:after="0" w:line="360" w:lineRule="auto"/>
        <w:ind w:right="50" w:firstLine="708"/>
        <w:jc w:val="both"/>
        <w:rPr>
          <w:rFonts w:ascii="Arial" w:hAnsi="Arial" w:cs="Arial"/>
          <w:sz w:val="24"/>
          <w:lang w:eastAsia="es-MX"/>
        </w:rPr>
      </w:pPr>
      <w:r>
        <w:rPr>
          <w:rFonts w:ascii="Arial" w:hAnsi="Arial" w:cs="Arial"/>
          <w:sz w:val="24"/>
          <w:lang w:eastAsia="es-MX"/>
        </w:rPr>
        <w:t xml:space="preserve">Por tanto, esta Segunda Sala Unitaria </w:t>
      </w:r>
      <w:r>
        <w:rPr>
          <w:rFonts w:ascii="Arial" w:hAnsi="Arial" w:cs="Arial"/>
          <w:sz w:val="24"/>
          <w:u w:val="single"/>
          <w:lang w:eastAsia="es-MX"/>
        </w:rPr>
        <w:t>resuelve decretar</w:t>
      </w:r>
      <w:r>
        <w:rPr>
          <w:rFonts w:ascii="Arial" w:hAnsi="Arial" w:cs="Arial"/>
          <w:sz w:val="24"/>
          <w:lang w:eastAsia="es-MX"/>
        </w:rPr>
        <w:t xml:space="preserve"> la </w:t>
      </w:r>
      <w:r>
        <w:rPr>
          <w:rFonts w:ascii="Arial" w:hAnsi="Arial" w:cs="Arial"/>
          <w:b/>
          <w:sz w:val="24"/>
          <w:lang w:eastAsia="es-MX"/>
        </w:rPr>
        <w:t>ILEGALIDAD E INVALIDEZ</w:t>
      </w:r>
      <w:r>
        <w:rPr>
          <w:rFonts w:ascii="Arial" w:hAnsi="Arial" w:cs="Arial"/>
          <w:sz w:val="24"/>
          <w:lang w:eastAsia="es-MX"/>
        </w:rPr>
        <w:t xml:space="preserve"> de la resolución determinante del crédito fiscal antes referidos dirigido a la parte actora; y por consecuencia su </w:t>
      </w:r>
      <w:r>
        <w:rPr>
          <w:rFonts w:ascii="Arial" w:hAnsi="Arial" w:cs="Arial"/>
          <w:b/>
          <w:sz w:val="24"/>
          <w:lang w:eastAsia="es-MX"/>
        </w:rPr>
        <w:t>NULIDAD LISA Y LLANA</w:t>
      </w:r>
      <w:r>
        <w:rPr>
          <w:rFonts w:ascii="Arial" w:hAnsi="Arial" w:cs="Arial"/>
          <w:sz w:val="24"/>
          <w:lang w:eastAsia="es-MX"/>
        </w:rPr>
        <w:t xml:space="preserve">, dejándolo sin efecto legal alguno; conforme a las razones expuestas en la presente sentencia. </w:t>
      </w:r>
    </w:p>
    <w:p w:rsidR="00B27950" w:rsidRDefault="007727D2" w:rsidP="007727D2">
      <w:pPr>
        <w:spacing w:after="0" w:line="360" w:lineRule="auto"/>
        <w:ind w:right="50" w:firstLine="708"/>
        <w:jc w:val="both"/>
        <w:rPr>
          <w:rFonts w:ascii="Arial" w:hAnsi="Arial" w:cs="Arial"/>
          <w:sz w:val="24"/>
          <w:lang w:eastAsia="es-MX"/>
        </w:rPr>
      </w:pPr>
      <w:r>
        <w:rPr>
          <w:rFonts w:ascii="Arial" w:hAnsi="Arial" w:cs="Arial"/>
          <w:noProof/>
          <w:lang w:eastAsia="es-MX"/>
        </w:rPr>
        <w:lastRenderedPageBreak/>
        <w:drawing>
          <wp:anchor distT="0" distB="0" distL="114300" distR="114300" simplePos="0" relativeHeight="251668480" behindDoc="1" locked="0" layoutInCell="1" allowOverlap="1" wp14:anchorId="2E796217" wp14:editId="01B4CE26">
            <wp:simplePos x="0" y="0"/>
            <wp:positionH relativeFrom="leftMargin">
              <wp:align>right</wp:align>
            </wp:positionH>
            <wp:positionV relativeFrom="paragraph">
              <wp:posOffset>31676</wp:posOffset>
            </wp:positionV>
            <wp:extent cx="1584960" cy="259715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B27950">
        <w:rPr>
          <w:rFonts w:ascii="Arial" w:hAnsi="Arial" w:cs="Arial"/>
          <w:sz w:val="24"/>
          <w:lang w:eastAsia="es-MX"/>
        </w:rPr>
        <w:t>Sirve de apoyo a la anterior determinación, por analogía y en su parte conducente, el criterio contenido en las tesis 2a</w:t>
      </w:r>
      <w:proofErr w:type="gramStart"/>
      <w:r w:rsidR="00B27950">
        <w:rPr>
          <w:rFonts w:ascii="Arial" w:hAnsi="Arial" w:cs="Arial"/>
          <w:sz w:val="24"/>
          <w:lang w:eastAsia="es-MX"/>
        </w:rPr>
        <w:t>./</w:t>
      </w:r>
      <w:proofErr w:type="gramEnd"/>
      <w:r w:rsidR="00B27950">
        <w:rPr>
          <w:rFonts w:ascii="Arial" w:hAnsi="Arial" w:cs="Arial"/>
          <w:sz w:val="24"/>
          <w:lang w:eastAsia="es-MX"/>
        </w:rPr>
        <w:t xml:space="preserve">J. 99/2007 y 2a./J. 52/2001, localizables bajo el registro digital: 172182 y 188431 del Semanario Judicial de la Federación, que respectivamente disponen: </w:t>
      </w:r>
    </w:p>
    <w:p w:rsidR="00B27950" w:rsidRPr="00B27950" w:rsidRDefault="00B27950" w:rsidP="00252754">
      <w:pPr>
        <w:spacing w:after="0" w:line="360" w:lineRule="auto"/>
        <w:ind w:right="50" w:firstLine="708"/>
        <w:jc w:val="both"/>
        <w:rPr>
          <w:rFonts w:ascii="Arial" w:hAnsi="Arial" w:cs="Arial"/>
          <w:i/>
          <w:sz w:val="24"/>
          <w:lang w:eastAsia="es-MX"/>
        </w:rPr>
      </w:pPr>
    </w:p>
    <w:p w:rsidR="00B27950" w:rsidRPr="00424E66" w:rsidRDefault="00B27950" w:rsidP="00B27950">
      <w:pPr>
        <w:spacing w:after="0" w:line="240" w:lineRule="auto"/>
        <w:ind w:left="851" w:right="618"/>
        <w:jc w:val="both"/>
        <w:rPr>
          <w:rFonts w:ascii="Arial" w:hAnsi="Arial" w:cs="Arial"/>
          <w:i/>
          <w:szCs w:val="20"/>
          <w:lang w:eastAsia="es-MX"/>
        </w:rPr>
      </w:pPr>
      <w:r w:rsidRPr="00424E66">
        <w:rPr>
          <w:rFonts w:ascii="Arial" w:hAnsi="Arial" w:cs="Arial"/>
          <w:b/>
          <w:i/>
          <w:szCs w:val="20"/>
          <w:lang w:eastAsia="es-MX"/>
        </w:rPr>
        <w:t xml:space="preserve">“NULIDAD. LA DECRETADA POR INSUFICIENCIA EN LA FUNDAMENTACIÓN DE LA COMPETENCIA DE LA AUTORIDAD ADMINISTRATIVA, DEBE SER LISA Y LLANA. </w:t>
      </w:r>
      <w:r w:rsidRPr="00424E66">
        <w:rPr>
          <w:rFonts w:ascii="Arial" w:hAnsi="Arial" w:cs="Arial"/>
          <w:i/>
          <w:szCs w:val="20"/>
          <w:lang w:eastAsia="es-MX"/>
        </w:rPr>
        <w:t xml:space="preserve">En congruencia con la jurisprudencia 2a./J. 52/2001 de esta Segunda Sala, publicada en el Semanario Judicial de la Federación y su Gaceta, Novena Época, Tomo XIV, noviembre de 2001, página 32, con el rubro: "COMPETENCIA DE LAS AUTORIDADES ADMINISTRATIVAS. LA NULIDAD DECRETADA POR NO HABERLA FUNDADO NO PUEDE SER PARA EFECTOS, EXCEPTO EN LOS CASOS EN QUE LA RESOLUCIÓN IMPUGNADA RECAIGA A UNA PETICIÓN, INSTANCIA O RECURSO.", se concluye que cuando la autoridad emisora de un acto administrativo no cite con precisión el apartado, fracción, inciso o </w:t>
      </w:r>
      <w:proofErr w:type="spellStart"/>
      <w:r w:rsidRPr="00424E66">
        <w:rPr>
          <w:rFonts w:ascii="Arial" w:hAnsi="Arial" w:cs="Arial"/>
          <w:i/>
          <w:szCs w:val="20"/>
          <w:lang w:eastAsia="es-MX"/>
        </w:rPr>
        <w:t>subinciso</w:t>
      </w:r>
      <w:proofErr w:type="spellEnd"/>
      <w:r w:rsidRPr="00424E66">
        <w:rPr>
          <w:rFonts w:ascii="Arial" w:hAnsi="Arial" w:cs="Arial"/>
          <w:i/>
          <w:szCs w:val="20"/>
          <w:lang w:eastAsia="es-MX"/>
        </w:rPr>
        <w:t xml:space="preserve"> correspondiente o, en su caso, no transcriba el fragmento de la norma si ésta resulta compleja, que le conceda la facultad de emitir el acto de molestia, el particular quedaría en estado de inseguridad jurídica y de indefensión, al desconocer si aquélla tiene facultades para ello, por lo que el Tribunal Federal de Justicia Fiscal y Administrativa deberá declarar la nulidad lisa y llana del acto administrativo emitido por aquélla, esto es, no la vinculará a realizar acto alguno, por lo que su decisión no podrá tener un efecto conclusivo sobre el acto jurídico material que lo motivó, salvo el caso de excepción previsto en la jurisprudencia citada, consistente en que la resolución impugnada hubiese recaído a una petición, instancia o recurso, supuesto en el cual deberá ordenarse el dictado de una nueva en la que se subsane la insuficiente fundamentación legal.</w:t>
      </w:r>
    </w:p>
    <w:p w:rsidR="00B27950" w:rsidRPr="00424E66" w:rsidRDefault="00B27950" w:rsidP="00B27950">
      <w:pPr>
        <w:spacing w:after="0" w:line="240" w:lineRule="auto"/>
        <w:ind w:left="851" w:right="618"/>
        <w:jc w:val="both"/>
        <w:rPr>
          <w:rFonts w:ascii="Arial" w:hAnsi="Arial" w:cs="Arial"/>
          <w:i/>
          <w:szCs w:val="20"/>
          <w:lang w:eastAsia="es-MX"/>
        </w:rPr>
      </w:pPr>
    </w:p>
    <w:p w:rsidR="00B27950" w:rsidRPr="00424E66" w:rsidRDefault="00B27950" w:rsidP="00B27950">
      <w:pPr>
        <w:spacing w:after="0" w:line="240" w:lineRule="auto"/>
        <w:ind w:left="851" w:right="618"/>
        <w:jc w:val="both"/>
        <w:rPr>
          <w:rFonts w:ascii="Arial" w:hAnsi="Arial" w:cs="Arial"/>
          <w:i/>
          <w:szCs w:val="20"/>
          <w:lang w:eastAsia="es-MX"/>
        </w:rPr>
      </w:pPr>
      <w:r w:rsidRPr="00424E66">
        <w:rPr>
          <w:rFonts w:ascii="Arial" w:hAnsi="Arial" w:cs="Arial"/>
          <w:i/>
          <w:szCs w:val="20"/>
          <w:lang w:eastAsia="es-MX"/>
        </w:rPr>
        <w:t>Contradicción de tesis 34/2007-SS. Entre las sustentadas por los Tribunales Colegiados Primero y Tercero, ambos en Materia Administrativa del Tercer Circuito. 28 de marzo de 2007. Cinco votos. Ponente: Margarita Beatriz Luna Ramos. Secretaria: Hilda Marcela Arceo Zarza.</w:t>
      </w:r>
    </w:p>
    <w:p w:rsidR="00B27950" w:rsidRPr="00424E66" w:rsidRDefault="00B27950" w:rsidP="00B27950">
      <w:pPr>
        <w:spacing w:after="0" w:line="240" w:lineRule="auto"/>
        <w:ind w:left="851" w:right="618"/>
        <w:jc w:val="both"/>
        <w:rPr>
          <w:rFonts w:ascii="Arial" w:hAnsi="Arial" w:cs="Arial"/>
          <w:i/>
          <w:szCs w:val="20"/>
          <w:lang w:eastAsia="es-MX"/>
        </w:rPr>
      </w:pPr>
    </w:p>
    <w:p w:rsidR="00B27950" w:rsidRPr="00424E66" w:rsidRDefault="00B27950" w:rsidP="00B27950">
      <w:pPr>
        <w:pStyle w:val="NormalWeb"/>
        <w:shd w:val="clear" w:color="auto" w:fill="FFFFFF"/>
        <w:spacing w:before="0" w:beforeAutospacing="0"/>
        <w:ind w:left="851" w:right="618"/>
        <w:jc w:val="both"/>
        <w:rPr>
          <w:rFonts w:ascii="Arial" w:hAnsi="Arial" w:cs="Arial"/>
          <w:i/>
          <w:color w:val="212529"/>
          <w:sz w:val="22"/>
          <w:szCs w:val="20"/>
        </w:rPr>
      </w:pPr>
      <w:r w:rsidRPr="00424E66">
        <w:rPr>
          <w:rStyle w:val="fw-bold"/>
          <w:rFonts w:ascii="Arial" w:eastAsia="Calibri" w:hAnsi="Arial" w:cs="Arial"/>
          <w:i/>
          <w:color w:val="212529"/>
          <w:sz w:val="22"/>
          <w:szCs w:val="20"/>
        </w:rPr>
        <w:t>Registro digital: </w:t>
      </w:r>
      <w:r w:rsidRPr="00424E66">
        <w:rPr>
          <w:rFonts w:ascii="Arial" w:hAnsi="Arial" w:cs="Arial"/>
          <w:i/>
          <w:color w:val="212529"/>
          <w:sz w:val="22"/>
          <w:szCs w:val="20"/>
        </w:rPr>
        <w:t xml:space="preserve">172182. </w:t>
      </w:r>
      <w:r w:rsidRPr="00424E66">
        <w:rPr>
          <w:rStyle w:val="fw-bold"/>
          <w:rFonts w:ascii="Arial" w:eastAsia="Calibri" w:hAnsi="Arial" w:cs="Arial"/>
          <w:i/>
          <w:color w:val="212529"/>
          <w:sz w:val="22"/>
          <w:szCs w:val="20"/>
        </w:rPr>
        <w:t>Instancia: </w:t>
      </w:r>
      <w:r w:rsidRPr="00424E66">
        <w:rPr>
          <w:rFonts w:ascii="Arial" w:hAnsi="Arial" w:cs="Arial"/>
          <w:i/>
          <w:color w:val="212529"/>
          <w:sz w:val="22"/>
          <w:szCs w:val="20"/>
        </w:rPr>
        <w:t xml:space="preserve">Segunda Sala. </w:t>
      </w:r>
      <w:r w:rsidRPr="00424E66">
        <w:rPr>
          <w:rStyle w:val="fw-bold"/>
          <w:rFonts w:ascii="Arial" w:eastAsia="Calibri" w:hAnsi="Arial" w:cs="Arial"/>
          <w:i/>
          <w:color w:val="212529"/>
          <w:sz w:val="22"/>
          <w:szCs w:val="20"/>
        </w:rPr>
        <w:t>Novena Época. Materia(s): </w:t>
      </w:r>
      <w:r w:rsidRPr="00424E66">
        <w:rPr>
          <w:rFonts w:ascii="Arial" w:hAnsi="Arial" w:cs="Arial"/>
          <w:i/>
          <w:color w:val="212529"/>
          <w:sz w:val="22"/>
          <w:szCs w:val="20"/>
        </w:rPr>
        <w:t xml:space="preserve">Administrativa. </w:t>
      </w:r>
      <w:r w:rsidRPr="00424E66">
        <w:rPr>
          <w:rStyle w:val="fw-bold"/>
          <w:rFonts w:ascii="Arial" w:eastAsia="Calibri" w:hAnsi="Arial" w:cs="Arial"/>
          <w:i/>
          <w:color w:val="212529"/>
          <w:sz w:val="22"/>
          <w:szCs w:val="20"/>
        </w:rPr>
        <w:t>Tesis: </w:t>
      </w:r>
      <w:r w:rsidRPr="00424E66">
        <w:rPr>
          <w:rFonts w:ascii="Arial" w:hAnsi="Arial" w:cs="Arial"/>
          <w:i/>
          <w:color w:val="212529"/>
          <w:sz w:val="22"/>
          <w:szCs w:val="20"/>
        </w:rPr>
        <w:t>2a</w:t>
      </w:r>
      <w:proofErr w:type="gramStart"/>
      <w:r w:rsidRPr="00424E66">
        <w:rPr>
          <w:rFonts w:ascii="Arial" w:hAnsi="Arial" w:cs="Arial"/>
          <w:i/>
          <w:color w:val="212529"/>
          <w:sz w:val="22"/>
          <w:szCs w:val="20"/>
        </w:rPr>
        <w:t>./</w:t>
      </w:r>
      <w:proofErr w:type="gramEnd"/>
      <w:r w:rsidRPr="00424E66">
        <w:rPr>
          <w:rFonts w:ascii="Arial" w:hAnsi="Arial" w:cs="Arial"/>
          <w:i/>
          <w:color w:val="212529"/>
          <w:sz w:val="22"/>
          <w:szCs w:val="20"/>
        </w:rPr>
        <w:t xml:space="preserve">J. 99/2007. </w:t>
      </w:r>
      <w:r w:rsidRPr="00424E66">
        <w:rPr>
          <w:rStyle w:val="fw-bold"/>
          <w:rFonts w:ascii="Arial" w:eastAsia="Calibri" w:hAnsi="Arial" w:cs="Arial"/>
          <w:i/>
          <w:color w:val="212529"/>
          <w:sz w:val="22"/>
          <w:szCs w:val="20"/>
        </w:rPr>
        <w:t>Fuente: </w:t>
      </w:r>
      <w:r w:rsidRPr="00424E66">
        <w:rPr>
          <w:rFonts w:ascii="Arial" w:hAnsi="Arial" w:cs="Arial"/>
          <w:i/>
          <w:color w:val="212529"/>
          <w:sz w:val="22"/>
          <w:szCs w:val="20"/>
        </w:rPr>
        <w:t xml:space="preserve">Semanario Judicial de la Federación y su Gaceta. Tomo XXV, Junio de 2007, página 287. </w:t>
      </w:r>
      <w:r w:rsidRPr="00424E66">
        <w:rPr>
          <w:rStyle w:val="fw-bold"/>
          <w:rFonts w:ascii="Arial" w:eastAsia="Calibri" w:hAnsi="Arial" w:cs="Arial"/>
          <w:i/>
          <w:color w:val="212529"/>
          <w:sz w:val="22"/>
          <w:szCs w:val="20"/>
        </w:rPr>
        <w:t>Tipo: </w:t>
      </w:r>
      <w:r w:rsidRPr="00424E66">
        <w:rPr>
          <w:rFonts w:ascii="Arial" w:hAnsi="Arial" w:cs="Arial"/>
          <w:i/>
          <w:color w:val="212529"/>
          <w:sz w:val="22"/>
          <w:szCs w:val="20"/>
        </w:rPr>
        <w:t>Jurisprudencia.”</w:t>
      </w:r>
    </w:p>
    <w:p w:rsidR="00B27950" w:rsidRPr="00424E66" w:rsidRDefault="00B27950" w:rsidP="00B27950">
      <w:pPr>
        <w:pStyle w:val="NormalWeb"/>
        <w:shd w:val="clear" w:color="auto" w:fill="FFFFFF"/>
        <w:ind w:left="851" w:right="618"/>
        <w:jc w:val="both"/>
        <w:rPr>
          <w:rFonts w:ascii="Arial" w:hAnsi="Arial" w:cs="Arial"/>
          <w:i/>
          <w:color w:val="212529"/>
          <w:sz w:val="22"/>
          <w:szCs w:val="20"/>
        </w:rPr>
      </w:pPr>
      <w:r w:rsidRPr="00424E66">
        <w:rPr>
          <w:rFonts w:ascii="Arial" w:hAnsi="Arial" w:cs="Arial"/>
          <w:b/>
          <w:i/>
          <w:color w:val="212529"/>
          <w:sz w:val="22"/>
          <w:szCs w:val="20"/>
        </w:rPr>
        <w:t xml:space="preserve">“COMPETENCIA DE LAS AUTORIDADES ADMINISTRATIVAS. LA NULIDAD DECRETADA POR NO HABERLA FUNDADO NO PUEDE SER PARA EFECTOS, EXCEPTO EN LOS CASOS EN QUE LA RESOLUCIÓN IMPUGNADA RECAIGA A UNA PETICIÓN, INSTANCIA O RECURSO. </w:t>
      </w:r>
      <w:r w:rsidRPr="00424E66">
        <w:rPr>
          <w:rFonts w:ascii="Arial" w:hAnsi="Arial" w:cs="Arial"/>
          <w:i/>
          <w:color w:val="212529"/>
          <w:sz w:val="22"/>
          <w:szCs w:val="20"/>
        </w:rPr>
        <w:t xml:space="preserve">Si la ausencia de fundamentación de la competencia de la autoridad administrativa que emite el acto o resolución materia del juicio de nulidad correspondiente, incide directamente sobre la validez del acto impugnado y, por ende, sobre los efectos que éste puede producir en la esfera jurídica del gobernado, es inconcuso que esa omisión impide al juzgador pronunciarse sobre los efectos o consecuencias del acto o resolución impugnados y lo obliga a declarar la nulidad de éstos en su integridad, puesto que al darle efectos a esa nulidad, desconociéndose si la autoridad demandada tiene o no facultades para modificar la situación jurídica existente, afectando la esfera del particular, podría obligarse a un órgano incompetente a dictar un nuevo acto o resolución que el gobernado tendría que combatir nuevamente, lo que provocaría un </w:t>
      </w:r>
      <w:r w:rsidRPr="00424E66">
        <w:rPr>
          <w:rFonts w:ascii="Arial" w:hAnsi="Arial" w:cs="Arial"/>
          <w:i/>
          <w:color w:val="212529"/>
          <w:sz w:val="22"/>
          <w:szCs w:val="20"/>
        </w:rPr>
        <w:lastRenderedPageBreak/>
        <w:t>retraso en la impartición de justicia. No obsta a lo anterior el hecho de que si la autoridad está efectivamente facultada para dictar o emitir el acto de que se trate, pueda subsanar su omisión; además, en aquellos casos en los que la resolución impugnada se haya emitido en respuesta a una petición formulada por el particular, o bien, se haya dictado para resolver una instancia o recurso, la sentencia de nulidad deberá ordenar el dictado de una nueva, aunque dicho efecto sólo tuviera como consecuencia el que la autoridad demandada se declare incompetente, pues de otra manera se dejarían sin resolver dichas peticiones, instancias o recursos, lo que contravendría el principio de seguridad jurídica contenido en el artículo 16 de la Constitución Política de los Estados Unidos Mexicanos.</w:t>
      </w:r>
    </w:p>
    <w:p w:rsidR="00B27950" w:rsidRPr="00424E66" w:rsidRDefault="00B27950" w:rsidP="00B27950">
      <w:pPr>
        <w:pStyle w:val="NormalWeb"/>
        <w:shd w:val="clear" w:color="auto" w:fill="FFFFFF"/>
        <w:spacing w:before="0" w:beforeAutospacing="0"/>
        <w:ind w:left="851" w:right="618"/>
        <w:jc w:val="both"/>
        <w:rPr>
          <w:rFonts w:ascii="Arial" w:hAnsi="Arial" w:cs="Arial"/>
          <w:i/>
          <w:color w:val="212529"/>
          <w:sz w:val="22"/>
          <w:szCs w:val="20"/>
        </w:rPr>
      </w:pPr>
      <w:r w:rsidRPr="00424E66">
        <w:rPr>
          <w:rFonts w:ascii="Arial" w:hAnsi="Arial" w:cs="Arial"/>
          <w:i/>
          <w:color w:val="212529"/>
          <w:sz w:val="22"/>
          <w:szCs w:val="20"/>
        </w:rPr>
        <w:t>Contradicción de tesis 92/2000-SS. Entre las sustentadas por el Tercer Tribunal Colegiado en Materia Administrativa del Sexto Circuito, el Segundo Tribunal Colegiado del Octavo Circuito y el Primer Tribunal Colegiado en Materia Administrativa del Primer Circuito. 17 de octubre de 2001. Unanimidad de cuatro votos. Ausente: Juan Díaz Romero. Ponente: Sergio Salvador Aguirre Anguiano. Secretaria: Andrea Zambrana Castañeda.</w:t>
      </w:r>
    </w:p>
    <w:p w:rsidR="00B27950" w:rsidRDefault="00B27950" w:rsidP="00B27950">
      <w:pPr>
        <w:pStyle w:val="NormalWeb"/>
        <w:shd w:val="clear" w:color="auto" w:fill="FFFFFF"/>
        <w:ind w:left="851" w:right="618"/>
        <w:jc w:val="both"/>
        <w:rPr>
          <w:rFonts w:ascii="Arial" w:hAnsi="Arial" w:cs="Arial"/>
          <w:i/>
          <w:color w:val="212529"/>
          <w:sz w:val="20"/>
          <w:szCs w:val="20"/>
        </w:rPr>
      </w:pPr>
      <w:r w:rsidRPr="00424E66">
        <w:rPr>
          <w:rFonts w:ascii="Arial" w:hAnsi="Arial" w:cs="Arial"/>
          <w:i/>
          <w:color w:val="212529"/>
          <w:sz w:val="22"/>
          <w:szCs w:val="20"/>
        </w:rPr>
        <w:t>Registro digital: 188431. Instancia: Segunda Sala. Novena Época. Materia(s): Administrativa. Tesis: 2a</w:t>
      </w:r>
      <w:proofErr w:type="gramStart"/>
      <w:r w:rsidRPr="00424E66">
        <w:rPr>
          <w:rFonts w:ascii="Arial" w:hAnsi="Arial" w:cs="Arial"/>
          <w:i/>
          <w:color w:val="212529"/>
          <w:sz w:val="22"/>
          <w:szCs w:val="20"/>
        </w:rPr>
        <w:t>./</w:t>
      </w:r>
      <w:proofErr w:type="gramEnd"/>
      <w:r w:rsidRPr="00424E66">
        <w:rPr>
          <w:rFonts w:ascii="Arial" w:hAnsi="Arial" w:cs="Arial"/>
          <w:i/>
          <w:color w:val="212529"/>
          <w:sz w:val="22"/>
          <w:szCs w:val="20"/>
        </w:rPr>
        <w:t>J. 52/2001.Fuente: Semanario Judicial de la Federación y su Gaceta. Tomo XIV, Noviembre de 2001, página 32. Tipo: Jurisprudencia.”</w:t>
      </w:r>
    </w:p>
    <w:p w:rsidR="00DA7E7F" w:rsidRDefault="00DA7E7F" w:rsidP="00DA7E7F">
      <w:pPr>
        <w:ind w:firstLine="708"/>
        <w:jc w:val="both"/>
        <w:rPr>
          <w:rFonts w:ascii="Arial" w:hAnsi="Arial" w:cs="Arial"/>
          <w:sz w:val="24"/>
        </w:rPr>
      </w:pPr>
    </w:p>
    <w:p w:rsidR="00B27950" w:rsidRDefault="00DA7E7F" w:rsidP="00DA7E7F">
      <w:pPr>
        <w:ind w:firstLine="708"/>
        <w:jc w:val="both"/>
        <w:rPr>
          <w:rFonts w:ascii="Arial" w:hAnsi="Arial" w:cs="Arial"/>
          <w:sz w:val="24"/>
        </w:rPr>
      </w:pPr>
      <w:r w:rsidRPr="00DA7E7F">
        <w:rPr>
          <w:rFonts w:ascii="Arial" w:hAnsi="Arial" w:cs="Arial"/>
          <w:sz w:val="24"/>
        </w:rPr>
        <w:t>Por consiguiente y toda vez que conforme a lo previsto por el artículo 252 del Código Procesal Administrativo para el Estado de San Luis Potosí, se establece que en caso de ser favorable la sentencia al actor, ésta deja</w:t>
      </w:r>
      <w:r>
        <w:rPr>
          <w:rFonts w:ascii="Arial" w:hAnsi="Arial" w:cs="Arial"/>
          <w:sz w:val="24"/>
        </w:rPr>
        <w:t xml:space="preserve">rá sin efecto el acto impugnado. </w:t>
      </w:r>
      <w:r w:rsidRPr="00DA7E7F">
        <w:rPr>
          <w:rFonts w:ascii="Arial" w:hAnsi="Arial" w:cs="Arial"/>
          <w:sz w:val="24"/>
        </w:rPr>
        <w:t xml:space="preserve">y la demandada quedará obligada a otorgar o restituir a la actora en el goce de los derechos que le hubieren sido indebidamente afectados o desconocidos, en los términos que se establezca; por lo que se la autoridad demandada, Director de Recaudación y Política Fiscal de la Secretaría de Finanzas del Gobierno del Estado de San Luis Potosí, deberá realizar las gestiones necesarias a fin de que se devuelva al actor el monto que cubrió por concepto del </w:t>
      </w:r>
      <w:r w:rsidRPr="00252754">
        <w:rPr>
          <w:rFonts w:ascii="Arial" w:hAnsi="Arial" w:cs="Arial"/>
          <w:b/>
          <w:bCs/>
          <w:iCs/>
          <w:color w:val="FF0000"/>
          <w:sz w:val="24"/>
          <w:szCs w:val="20"/>
        </w:rPr>
        <w:t xml:space="preserve">mandamiento de ejecución </w:t>
      </w:r>
      <w:r w:rsidRPr="00252754">
        <w:rPr>
          <w:rFonts w:ascii="Arial" w:hAnsi="Arial" w:cs="Arial"/>
          <w:b/>
          <w:color w:val="FF0000"/>
          <w:sz w:val="24"/>
          <w:szCs w:val="24"/>
        </w:rPr>
        <w:t xml:space="preserve">número </w:t>
      </w:r>
      <w:r w:rsidR="00C507DA">
        <w:rPr>
          <w:rFonts w:ascii="Arial" w:hAnsi="Arial" w:cs="Arial"/>
          <w:b/>
          <w:color w:val="FF0000"/>
          <w:sz w:val="24"/>
          <w:szCs w:val="24"/>
        </w:rPr>
        <w:t>**********</w:t>
      </w:r>
      <w:r w:rsidRPr="00DA7E7F">
        <w:rPr>
          <w:rFonts w:ascii="Arial" w:hAnsi="Arial" w:cs="Arial"/>
          <w:sz w:val="24"/>
        </w:rPr>
        <w:t>, declarado ilegal.</w:t>
      </w:r>
    </w:p>
    <w:p w:rsidR="00113AFE" w:rsidRDefault="00113AFE" w:rsidP="00DA7E7F">
      <w:pPr>
        <w:spacing w:after="0"/>
        <w:ind w:firstLine="708"/>
        <w:jc w:val="both"/>
        <w:rPr>
          <w:rFonts w:ascii="Arial" w:hAnsi="Arial" w:cs="Arial"/>
          <w:sz w:val="24"/>
          <w:lang w:eastAsia="es-MX"/>
        </w:rPr>
      </w:pPr>
      <w:r>
        <w:rPr>
          <w:rFonts w:ascii="Arial" w:hAnsi="Arial" w:cs="Arial"/>
          <w:sz w:val="24"/>
          <w:lang w:eastAsia="es-MX"/>
        </w:rPr>
        <w:t>Por lo expuesto, fundado y con apoyo en los artículos 123 de la Constitución Política del Estado de San Luis Potosí, 1º, 2º, 7º, fracción I y 9º fracción III de la Ley Orgánica del Tribunal Estatal de Justicia Administrativa de San Luis Potosí y 248, 250 fracción I y II, 251 primer párrafo, 252 del Código Procesal Administrativo para el Estado de San Luis Potosí, es de resolverse y se,</w:t>
      </w:r>
    </w:p>
    <w:p w:rsidR="00113AFE" w:rsidRDefault="00113AFE" w:rsidP="00113AFE">
      <w:pPr>
        <w:spacing w:after="0" w:line="360" w:lineRule="auto"/>
        <w:ind w:firstLine="708"/>
        <w:jc w:val="both"/>
        <w:rPr>
          <w:rFonts w:ascii="Arial" w:hAnsi="Arial" w:cs="Arial"/>
          <w:sz w:val="24"/>
          <w:lang w:eastAsia="es-MX"/>
        </w:rPr>
      </w:pPr>
    </w:p>
    <w:p w:rsidR="00113AFE" w:rsidRDefault="00113AFE" w:rsidP="00113AFE">
      <w:pPr>
        <w:spacing w:after="0" w:line="360" w:lineRule="auto"/>
        <w:ind w:firstLine="708"/>
        <w:jc w:val="center"/>
        <w:rPr>
          <w:rFonts w:ascii="Arial" w:hAnsi="Arial" w:cs="Arial"/>
          <w:b/>
          <w:sz w:val="24"/>
          <w:lang w:eastAsia="es-MX"/>
        </w:rPr>
      </w:pPr>
      <w:r>
        <w:rPr>
          <w:rFonts w:ascii="Arial" w:hAnsi="Arial" w:cs="Arial"/>
          <w:b/>
          <w:sz w:val="24"/>
          <w:lang w:eastAsia="es-MX"/>
        </w:rPr>
        <w:t>R E S U E L V E:</w:t>
      </w:r>
    </w:p>
    <w:p w:rsidR="00113AFE" w:rsidRDefault="00113AFE" w:rsidP="00113AFE">
      <w:pPr>
        <w:spacing w:after="0" w:line="360" w:lineRule="auto"/>
        <w:ind w:firstLine="708"/>
        <w:rPr>
          <w:rFonts w:ascii="Arial" w:hAnsi="Arial" w:cs="Arial"/>
          <w:b/>
          <w:sz w:val="24"/>
          <w:lang w:eastAsia="es-MX"/>
        </w:rPr>
      </w:pPr>
    </w:p>
    <w:p w:rsidR="00113AFE" w:rsidRDefault="00113AFE" w:rsidP="00113AFE">
      <w:pPr>
        <w:spacing w:after="0" w:line="360" w:lineRule="auto"/>
        <w:ind w:firstLine="708"/>
        <w:jc w:val="both"/>
        <w:rPr>
          <w:rFonts w:ascii="Arial" w:hAnsi="Arial" w:cs="Arial"/>
          <w:sz w:val="24"/>
          <w:lang w:eastAsia="es-MX"/>
        </w:rPr>
      </w:pPr>
      <w:r>
        <w:rPr>
          <w:rFonts w:ascii="Arial" w:hAnsi="Arial" w:cs="Arial"/>
          <w:b/>
          <w:sz w:val="24"/>
          <w:lang w:eastAsia="es-MX"/>
        </w:rPr>
        <w:t>PRIMERO.</w:t>
      </w:r>
      <w:r>
        <w:rPr>
          <w:rFonts w:ascii="Arial" w:hAnsi="Arial" w:cs="Arial"/>
          <w:sz w:val="24"/>
          <w:lang w:eastAsia="es-MX"/>
        </w:rPr>
        <w:t xml:space="preserve"> Esta Segunda Sala Unitaria es competente para conocer y resolver la presente controversia.</w:t>
      </w:r>
    </w:p>
    <w:p w:rsidR="00113AFE" w:rsidRDefault="00113AFE" w:rsidP="00113AFE">
      <w:pPr>
        <w:spacing w:after="0" w:line="360" w:lineRule="auto"/>
        <w:ind w:firstLine="708"/>
        <w:jc w:val="both"/>
        <w:rPr>
          <w:rFonts w:ascii="Arial" w:hAnsi="Arial" w:cs="Arial"/>
          <w:sz w:val="24"/>
          <w:lang w:eastAsia="es-MX"/>
        </w:rPr>
      </w:pPr>
    </w:p>
    <w:p w:rsidR="00DA7E7F" w:rsidRDefault="007727D2" w:rsidP="00DA7E7F">
      <w:pPr>
        <w:ind w:firstLine="709"/>
        <w:jc w:val="both"/>
        <w:rPr>
          <w:rFonts w:ascii="Arial" w:eastAsia="Times New Roman" w:hAnsi="Arial" w:cs="Arial"/>
          <w:color w:val="000000"/>
          <w:sz w:val="24"/>
          <w:szCs w:val="24"/>
          <w:lang w:eastAsia="es-ES"/>
        </w:rPr>
      </w:pPr>
      <w:r>
        <w:rPr>
          <w:rFonts w:ascii="Arial" w:hAnsi="Arial" w:cs="Arial"/>
          <w:noProof/>
          <w:sz w:val="24"/>
          <w:lang w:eastAsia="es-MX"/>
        </w:rPr>
        <w:lastRenderedPageBreak/>
        <w:drawing>
          <wp:anchor distT="0" distB="0" distL="114300" distR="114300" simplePos="0" relativeHeight="251669504" behindDoc="1" locked="0" layoutInCell="1" allowOverlap="1" wp14:anchorId="149C7445" wp14:editId="51252FE4">
            <wp:simplePos x="0" y="0"/>
            <wp:positionH relativeFrom="column">
              <wp:posOffset>-1686737</wp:posOffset>
            </wp:positionH>
            <wp:positionV relativeFrom="paragraph">
              <wp:posOffset>7487</wp:posOffset>
            </wp:positionV>
            <wp:extent cx="1584960" cy="25971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113AFE">
        <w:rPr>
          <w:rFonts w:ascii="Arial" w:hAnsi="Arial" w:cs="Arial"/>
          <w:b/>
          <w:sz w:val="24"/>
          <w:lang w:eastAsia="es-MX"/>
        </w:rPr>
        <w:t xml:space="preserve">SEGUNDO. </w:t>
      </w:r>
      <w:r w:rsidR="00113AFE" w:rsidRPr="00113AFE">
        <w:rPr>
          <w:rFonts w:ascii="Arial" w:hAnsi="Arial" w:cs="Arial"/>
          <w:sz w:val="24"/>
          <w:lang w:eastAsia="es-MX"/>
        </w:rPr>
        <w:t>Se</w:t>
      </w:r>
      <w:r w:rsidR="00113AFE">
        <w:rPr>
          <w:rFonts w:ascii="Arial" w:hAnsi="Arial" w:cs="Arial"/>
          <w:sz w:val="24"/>
          <w:lang w:eastAsia="es-MX"/>
        </w:rPr>
        <w:t xml:space="preserve"> decreta la </w:t>
      </w:r>
      <w:r w:rsidR="00113AFE">
        <w:rPr>
          <w:rFonts w:ascii="Arial" w:hAnsi="Arial" w:cs="Arial"/>
          <w:b/>
          <w:sz w:val="24"/>
          <w:lang w:eastAsia="es-MX"/>
        </w:rPr>
        <w:t>ILEGALIDAD</w:t>
      </w:r>
      <w:r w:rsidR="00113AFE">
        <w:rPr>
          <w:rFonts w:ascii="Arial" w:hAnsi="Arial" w:cs="Arial"/>
          <w:sz w:val="24"/>
          <w:lang w:eastAsia="es-MX"/>
        </w:rPr>
        <w:t xml:space="preserve"> e </w:t>
      </w:r>
      <w:r w:rsidR="00113AFE">
        <w:rPr>
          <w:rFonts w:ascii="Arial" w:hAnsi="Arial" w:cs="Arial"/>
          <w:b/>
          <w:sz w:val="24"/>
          <w:lang w:eastAsia="es-MX"/>
        </w:rPr>
        <w:t>INVALIDEZ</w:t>
      </w:r>
      <w:r w:rsidR="00113AFE">
        <w:rPr>
          <w:rFonts w:ascii="Arial" w:hAnsi="Arial" w:cs="Arial"/>
          <w:sz w:val="24"/>
          <w:lang w:eastAsia="es-MX"/>
        </w:rPr>
        <w:t xml:space="preserve"> del acto impugnado, </w:t>
      </w:r>
      <w:r w:rsidR="00113AFE">
        <w:rPr>
          <w:rFonts w:ascii="Arial" w:hAnsi="Arial" w:cs="Arial"/>
          <w:i/>
          <w:sz w:val="24"/>
          <w:lang w:eastAsia="es-MX"/>
        </w:rPr>
        <w:t xml:space="preserve">crédito fiscal </w:t>
      </w:r>
      <w:r w:rsidR="00113AFE" w:rsidRPr="00113AFE">
        <w:rPr>
          <w:rFonts w:ascii="Arial" w:hAnsi="Arial" w:cs="Arial"/>
          <w:b/>
          <w:bCs/>
          <w:iCs/>
          <w:color w:val="FF0000"/>
          <w:sz w:val="24"/>
          <w:szCs w:val="20"/>
          <w:u w:val="single"/>
        </w:rPr>
        <w:t xml:space="preserve">mandamiento de ejecución </w:t>
      </w:r>
      <w:r w:rsidR="00113AFE" w:rsidRPr="00113AFE">
        <w:rPr>
          <w:rFonts w:ascii="Arial" w:hAnsi="Arial" w:cs="Arial"/>
          <w:b/>
          <w:color w:val="FF0000"/>
          <w:sz w:val="24"/>
          <w:szCs w:val="24"/>
          <w:u w:val="single"/>
        </w:rPr>
        <w:t xml:space="preserve">número </w:t>
      </w:r>
      <w:r w:rsidR="00C507DA">
        <w:rPr>
          <w:rFonts w:ascii="Arial" w:hAnsi="Arial" w:cs="Arial"/>
          <w:b/>
          <w:color w:val="FF0000"/>
          <w:sz w:val="24"/>
          <w:szCs w:val="24"/>
          <w:u w:val="single"/>
        </w:rPr>
        <w:t>**********</w:t>
      </w:r>
      <w:r w:rsidR="00113AFE" w:rsidRPr="00113AFE">
        <w:rPr>
          <w:rFonts w:ascii="Arial" w:hAnsi="Arial" w:cs="Arial"/>
          <w:b/>
          <w:sz w:val="24"/>
          <w:szCs w:val="24"/>
          <w:u w:val="single"/>
        </w:rPr>
        <w:t xml:space="preserve"> </w:t>
      </w:r>
      <w:r w:rsidR="00113AFE" w:rsidRPr="00113AFE">
        <w:rPr>
          <w:rFonts w:ascii="Arial" w:hAnsi="Arial" w:cs="Arial"/>
          <w:b/>
          <w:color w:val="FF0000"/>
          <w:sz w:val="24"/>
          <w:szCs w:val="24"/>
          <w:u w:val="single"/>
        </w:rPr>
        <w:t>de fecha cinco de junio de dos mil veinticinco</w:t>
      </w:r>
      <w:r w:rsidR="00113AFE" w:rsidRPr="00113AFE">
        <w:rPr>
          <w:rFonts w:ascii="Arial" w:hAnsi="Arial" w:cs="Arial"/>
          <w:b/>
          <w:sz w:val="24"/>
          <w:szCs w:val="24"/>
          <w:u w:val="single"/>
        </w:rPr>
        <w:t>,</w:t>
      </w:r>
      <w:r w:rsidR="00113AFE">
        <w:rPr>
          <w:rFonts w:ascii="Arial" w:hAnsi="Arial" w:cs="Arial"/>
          <w:sz w:val="24"/>
          <w:szCs w:val="24"/>
        </w:rPr>
        <w:t xml:space="preserve"> </w:t>
      </w:r>
      <w:r w:rsidR="00113AFE">
        <w:rPr>
          <w:rFonts w:ascii="Arial" w:hAnsi="Arial" w:cs="Arial"/>
          <w:sz w:val="24"/>
          <w:lang w:eastAsia="es-MX"/>
        </w:rPr>
        <w:t xml:space="preserve">y por consecuencia se decreta su </w:t>
      </w:r>
      <w:r w:rsidR="00113AFE">
        <w:rPr>
          <w:rFonts w:ascii="Arial" w:hAnsi="Arial" w:cs="Arial"/>
          <w:b/>
          <w:sz w:val="24"/>
          <w:lang w:eastAsia="es-MX"/>
        </w:rPr>
        <w:t>NULIDAD TOTAL</w:t>
      </w:r>
      <w:r w:rsidR="00113AFE">
        <w:rPr>
          <w:rFonts w:ascii="Arial" w:hAnsi="Arial" w:cs="Arial"/>
          <w:sz w:val="24"/>
          <w:lang w:eastAsia="es-MX"/>
        </w:rPr>
        <w:t>, de acuerdo con los razonamientos</w:t>
      </w:r>
      <w:r w:rsidR="00DA7E7F" w:rsidRPr="00DA7E7F">
        <w:rPr>
          <w:rFonts w:ascii="Arial" w:eastAsia="Times New Roman" w:hAnsi="Arial" w:cs="Arial"/>
          <w:color w:val="000000"/>
          <w:sz w:val="24"/>
          <w:szCs w:val="24"/>
          <w:lang w:eastAsia="es-ES"/>
        </w:rPr>
        <w:t xml:space="preserve"> </w:t>
      </w:r>
      <w:r w:rsidR="00DA7E7F" w:rsidRPr="003D1B8B">
        <w:rPr>
          <w:rFonts w:ascii="Arial" w:eastAsia="Times New Roman" w:hAnsi="Arial" w:cs="Arial"/>
          <w:color w:val="000000"/>
          <w:sz w:val="24"/>
          <w:szCs w:val="24"/>
          <w:lang w:eastAsia="es-ES"/>
        </w:rPr>
        <w:t xml:space="preserve">y para los efectos </w:t>
      </w:r>
      <w:r w:rsidR="00DA7E7F">
        <w:rPr>
          <w:rFonts w:ascii="Arial" w:eastAsia="Times New Roman" w:hAnsi="Arial" w:cs="Arial"/>
          <w:color w:val="000000"/>
          <w:sz w:val="24"/>
          <w:szCs w:val="24"/>
          <w:lang w:eastAsia="es-ES"/>
        </w:rPr>
        <w:t>precisados</w:t>
      </w:r>
      <w:r w:rsidR="00DA7E7F" w:rsidRPr="003D1B8B">
        <w:rPr>
          <w:rFonts w:ascii="Arial" w:eastAsia="Times New Roman" w:hAnsi="Arial" w:cs="Arial"/>
          <w:color w:val="000000"/>
          <w:sz w:val="24"/>
          <w:szCs w:val="24"/>
          <w:lang w:eastAsia="es-ES"/>
        </w:rPr>
        <w:t xml:space="preserve"> en el considerando sexto de la presente resolución.</w:t>
      </w:r>
    </w:p>
    <w:p w:rsidR="00DA7E7F" w:rsidRPr="003D1B8B" w:rsidRDefault="00DA7E7F" w:rsidP="00DA7E7F">
      <w:pPr>
        <w:ind w:firstLine="709"/>
        <w:jc w:val="both"/>
        <w:rPr>
          <w:rFonts w:ascii="Arial" w:eastAsia="Times New Roman" w:hAnsi="Arial" w:cs="Arial"/>
          <w:color w:val="000000"/>
          <w:sz w:val="24"/>
          <w:szCs w:val="24"/>
          <w:lang w:eastAsia="es-ES"/>
        </w:rPr>
      </w:pPr>
    </w:p>
    <w:p w:rsidR="00113AFE" w:rsidRPr="003D1B8B" w:rsidRDefault="00DA7E7F" w:rsidP="00113AFE">
      <w:pPr>
        <w:spacing w:after="0"/>
        <w:ind w:firstLine="708"/>
        <w:jc w:val="both"/>
        <w:rPr>
          <w:rFonts w:ascii="Arial" w:hAnsi="Arial" w:cs="Arial"/>
          <w:sz w:val="24"/>
          <w:szCs w:val="24"/>
        </w:rPr>
      </w:pPr>
      <w:r>
        <w:rPr>
          <w:rFonts w:ascii="Arial" w:hAnsi="Arial" w:cs="Arial"/>
          <w:b/>
          <w:sz w:val="24"/>
          <w:szCs w:val="24"/>
        </w:rPr>
        <w:t>TERCERO</w:t>
      </w:r>
      <w:r w:rsidR="00113AFE">
        <w:rPr>
          <w:rFonts w:ascii="Arial" w:hAnsi="Arial" w:cs="Arial"/>
          <w:b/>
          <w:sz w:val="24"/>
          <w:szCs w:val="24"/>
        </w:rPr>
        <w:t xml:space="preserve">. </w:t>
      </w:r>
      <w:r w:rsidR="00113AFE" w:rsidRPr="003D1B8B">
        <w:rPr>
          <w:rFonts w:ascii="Arial" w:hAnsi="Arial" w:cs="Arial"/>
          <w:sz w:val="24"/>
          <w:szCs w:val="24"/>
        </w:rPr>
        <w:t>Notifíquese</w:t>
      </w:r>
      <w:r w:rsidR="00113AFE">
        <w:rPr>
          <w:rFonts w:ascii="Arial" w:hAnsi="Arial" w:cs="Arial"/>
          <w:sz w:val="24"/>
          <w:szCs w:val="24"/>
        </w:rPr>
        <w:t xml:space="preserve"> personalmente</w:t>
      </w:r>
      <w:r w:rsidR="00113AFE" w:rsidRPr="003D1B8B">
        <w:rPr>
          <w:rFonts w:ascii="Arial" w:hAnsi="Arial" w:cs="Arial"/>
          <w:sz w:val="24"/>
          <w:szCs w:val="24"/>
        </w:rPr>
        <w:t>.</w:t>
      </w:r>
    </w:p>
    <w:p w:rsidR="00113AFE" w:rsidRPr="003D1B8B" w:rsidRDefault="00113AFE" w:rsidP="00113AFE">
      <w:pPr>
        <w:spacing w:after="0"/>
        <w:ind w:firstLine="708"/>
        <w:jc w:val="both"/>
        <w:rPr>
          <w:rFonts w:ascii="Arial" w:hAnsi="Arial" w:cs="Arial"/>
          <w:sz w:val="24"/>
          <w:szCs w:val="24"/>
        </w:rPr>
      </w:pPr>
    </w:p>
    <w:p w:rsidR="00113AFE" w:rsidRPr="003D1B8B" w:rsidRDefault="00113AFE" w:rsidP="00113AFE">
      <w:pPr>
        <w:spacing w:after="0"/>
        <w:ind w:firstLine="709"/>
        <w:jc w:val="both"/>
        <w:rPr>
          <w:rFonts w:ascii="Arial" w:eastAsia="Times New Roman" w:hAnsi="Arial" w:cs="Arial"/>
          <w:sz w:val="24"/>
          <w:szCs w:val="24"/>
          <w:lang w:val="es-ES" w:eastAsia="es-ES"/>
        </w:rPr>
      </w:pPr>
    </w:p>
    <w:p w:rsidR="00113AFE" w:rsidRPr="003D1B8B" w:rsidRDefault="00113AFE" w:rsidP="00113AFE">
      <w:pPr>
        <w:spacing w:after="0"/>
        <w:ind w:firstLine="709"/>
        <w:jc w:val="both"/>
        <w:rPr>
          <w:rFonts w:ascii="Arial" w:eastAsia="Times New Roman" w:hAnsi="Arial" w:cs="Arial"/>
          <w:sz w:val="24"/>
          <w:szCs w:val="24"/>
          <w:lang w:val="es-ES" w:eastAsia="es-ES"/>
        </w:rPr>
      </w:pPr>
      <w:r w:rsidRPr="003D1B8B">
        <w:rPr>
          <w:rFonts w:ascii="Arial" w:eastAsia="Times New Roman" w:hAnsi="Arial" w:cs="Arial"/>
          <w:sz w:val="24"/>
          <w:szCs w:val="24"/>
          <w:lang w:val="es-ES" w:eastAsia="es-ES"/>
        </w:rPr>
        <w:t xml:space="preserve">Así lo resolvió y firma, la Magistrada del Tribunal Estatal de Justicia Administrativa, Licenciada </w:t>
      </w:r>
      <w:r w:rsidRPr="003D1B8B">
        <w:rPr>
          <w:rFonts w:ascii="Arial" w:eastAsia="Times New Roman" w:hAnsi="Arial" w:cs="Arial"/>
          <w:b/>
          <w:sz w:val="24"/>
          <w:szCs w:val="24"/>
          <w:lang w:val="es-ES" w:eastAsia="es-ES"/>
        </w:rPr>
        <w:t>María Olvido Rodríguez Vázquez</w:t>
      </w:r>
      <w:r w:rsidRPr="003D1B8B">
        <w:rPr>
          <w:rFonts w:ascii="Arial" w:eastAsia="Times New Roman" w:hAnsi="Arial" w:cs="Arial"/>
          <w:sz w:val="24"/>
          <w:szCs w:val="24"/>
          <w:lang w:val="es-ES" w:eastAsia="es-ES"/>
        </w:rPr>
        <w:t xml:space="preserve">, quien actúa con el Secretario de Acuerdos, Licenciado </w:t>
      </w:r>
      <w:r w:rsidRPr="003D1B8B">
        <w:rPr>
          <w:rFonts w:ascii="Arial" w:eastAsia="Times New Roman" w:hAnsi="Arial" w:cs="Arial"/>
          <w:b/>
          <w:sz w:val="24"/>
          <w:szCs w:val="24"/>
          <w:lang w:val="es-ES" w:eastAsia="es-ES"/>
        </w:rPr>
        <w:t>Juan José García Morales</w:t>
      </w:r>
      <w:r w:rsidRPr="003D1B8B">
        <w:rPr>
          <w:rFonts w:ascii="Arial" w:eastAsia="Times New Roman" w:hAnsi="Arial" w:cs="Arial"/>
          <w:sz w:val="24"/>
          <w:szCs w:val="24"/>
          <w:lang w:val="es-ES" w:eastAsia="es-ES"/>
        </w:rPr>
        <w:t xml:space="preserve">, que autoriza y da fe.- </w:t>
      </w:r>
    </w:p>
    <w:p w:rsidR="00113AFE" w:rsidRPr="003D1B8B" w:rsidRDefault="00113AFE" w:rsidP="00113AFE">
      <w:pPr>
        <w:spacing w:after="0"/>
        <w:ind w:firstLine="709"/>
        <w:jc w:val="both"/>
        <w:rPr>
          <w:rFonts w:ascii="Arial" w:eastAsia="Times New Roman" w:hAnsi="Arial" w:cs="Arial"/>
          <w:sz w:val="24"/>
          <w:szCs w:val="24"/>
          <w:lang w:val="es-ES" w:eastAsia="es-ES"/>
        </w:rPr>
      </w:pPr>
    </w:p>
    <w:p w:rsidR="00C12EE2" w:rsidRDefault="00C12EE2" w:rsidP="00C12EE2">
      <w:pPr>
        <w:spacing w:after="0" w:line="360" w:lineRule="auto"/>
        <w:jc w:val="both"/>
        <w:rPr>
          <w:rFonts w:ascii="Arial" w:eastAsia="Times New Roman" w:hAnsi="Arial" w:cs="Arial"/>
          <w:color w:val="C00000"/>
          <w:sz w:val="20"/>
          <w:szCs w:val="20"/>
          <w:lang w:val="es-ES" w:eastAsia="es-ES"/>
        </w:rPr>
      </w:pPr>
      <w:r>
        <w:rPr>
          <w:rFonts w:ascii="Arial" w:eastAsia="Times New Roman" w:hAnsi="Arial" w:cs="Arial"/>
          <w:b/>
          <w:sz w:val="20"/>
          <w:szCs w:val="20"/>
          <w:lang w:val="es-ES" w:eastAsia="es-ES"/>
        </w:rPr>
        <w:t>Se</w:t>
      </w:r>
      <w:r>
        <w:rPr>
          <w:rFonts w:ascii="Arial" w:eastAsia="Times New Roman" w:hAnsi="Arial" w:cs="Arial"/>
          <w:b/>
          <w:color w:val="000000"/>
          <w:sz w:val="20"/>
          <w:szCs w:val="20"/>
          <w:lang w:val="es-ES" w:eastAsia="es-ES"/>
        </w:rPr>
        <w:t xml:space="preserve"> suprimen datos personales por tratarse de información confidencial de particulares cuyo resguardo y protección está a cargo del Tribunal Estatal de Justicia Administrativa; con motivo del ejercicio de sus funciones jurisdiccionales y administrativos que realiza conforme al ámbito de su competencia, de acuerdo a lo previsto en los artículos 3º fracción XI, XVII, XXVIII y XXXVII, 23, 82 84 fracción XLIII, 87 fracción III, 138 y noveno transitorio de la Ley de Transparencia y Acceso a la Información Pública del Estado de San Luis Potosí.</w:t>
      </w:r>
      <w:r>
        <w:rPr>
          <w:rFonts w:ascii="Arial" w:eastAsia="Arial Unicode MS" w:hAnsi="Arial" w:cs="Arial"/>
          <w:sz w:val="20"/>
          <w:szCs w:val="20"/>
          <w:lang w:val="es-ES" w:eastAsia="es-ES"/>
        </w:rPr>
        <w:t xml:space="preserve"> </w:t>
      </w:r>
    </w:p>
    <w:p w:rsidR="00F50EBA" w:rsidRPr="00C12EE2" w:rsidRDefault="00F50EBA" w:rsidP="00DA7E7F">
      <w:pPr>
        <w:spacing w:after="160" w:line="259" w:lineRule="auto"/>
        <w:rPr>
          <w:rFonts w:ascii="Arial" w:hAnsi="Arial" w:cs="Arial"/>
          <w:bCs/>
          <w:iCs/>
          <w:sz w:val="24"/>
          <w:szCs w:val="24"/>
          <w:lang w:val="es-ES"/>
        </w:rPr>
      </w:pPr>
    </w:p>
    <w:sectPr w:rsidR="00F50EBA" w:rsidRPr="00C12EE2" w:rsidSect="00673FFE">
      <w:headerReference w:type="even" r:id="rId13"/>
      <w:headerReference w:type="default" r:id="rId14"/>
      <w:headerReference w:type="first" r:id="rId15"/>
      <w:pgSz w:w="12242" w:h="18722" w:code="14"/>
      <w:pgMar w:top="1134" w:right="1134" w:bottom="1134" w:left="2835" w:header="720" w:footer="720" w:gutter="0"/>
      <w:paperSrc w:first="258" w:other="2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3F2" w:rsidRDefault="00AD43F2" w:rsidP="0050787F">
      <w:pPr>
        <w:spacing w:after="0" w:line="240" w:lineRule="auto"/>
      </w:pPr>
      <w:r>
        <w:separator/>
      </w:r>
    </w:p>
  </w:endnote>
  <w:endnote w:type="continuationSeparator" w:id="0">
    <w:p w:rsidR="00AD43F2" w:rsidRDefault="00AD43F2" w:rsidP="0050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3F2" w:rsidRDefault="00AD43F2" w:rsidP="0050787F">
      <w:pPr>
        <w:spacing w:after="0" w:line="240" w:lineRule="auto"/>
      </w:pPr>
      <w:r>
        <w:separator/>
      </w:r>
    </w:p>
  </w:footnote>
  <w:footnote w:type="continuationSeparator" w:id="0">
    <w:p w:rsidR="00AD43F2" w:rsidRDefault="00AD43F2" w:rsidP="00507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FFE" w:rsidRDefault="00673FFE" w:rsidP="00673FFE">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FFE" w:rsidRPr="00754447" w:rsidRDefault="00673FFE" w:rsidP="00754447">
    <w:pPr>
      <w:pStyle w:val="Encabezado"/>
      <w:ind w:right="360"/>
      <w:jc w:val="right"/>
      <w:rPr>
        <w:color w:val="FFFFFF"/>
      </w:rPr>
    </w:pPr>
    <w:proofErr w:type="spellStart"/>
    <w:r>
      <w:rPr>
        <w:rFonts w:ascii="Arial Narrow" w:hAnsi="Arial Narrow"/>
      </w:rPr>
      <w:t>Exp</w:t>
    </w:r>
    <w:proofErr w:type="spellEnd"/>
    <w:r>
      <w:rPr>
        <w:rFonts w:ascii="Arial Narrow" w:hAnsi="Arial Narrow"/>
      </w:rPr>
      <w:t>.</w:t>
    </w:r>
    <w:r w:rsidRPr="00364AFE">
      <w:rPr>
        <w:rFonts w:ascii="Arial Narrow" w:hAnsi="Arial Narrow"/>
      </w:rPr>
      <w:t xml:space="preserve"> </w:t>
    </w:r>
    <w:r>
      <w:rPr>
        <w:rFonts w:ascii="Arial Narrow" w:hAnsi="Arial Narrow"/>
      </w:rPr>
      <w:t>879</w:t>
    </w:r>
    <w:r w:rsidRPr="00364AFE">
      <w:rPr>
        <w:rFonts w:ascii="Arial Narrow" w:hAnsi="Arial Narrow"/>
      </w:rPr>
      <w:t>/20</w:t>
    </w:r>
    <w:r>
      <w:rPr>
        <w:rFonts w:ascii="Arial Narrow" w:hAnsi="Arial Narrow"/>
      </w:rPr>
      <w:t>25</w:t>
    </w:r>
    <w:r w:rsidRPr="00364AFE">
      <w:rPr>
        <w:rFonts w:ascii="Arial Narrow" w:hAnsi="Arial Narrow"/>
      </w:rPr>
      <w:t>-</w:t>
    </w:r>
    <w:r>
      <w:rPr>
        <w:rFonts w:ascii="Arial Narrow" w:hAnsi="Arial Narrow"/>
      </w:rPr>
      <w:t>2</w:t>
    </w:r>
    <w:r w:rsidRPr="00364AFE">
      <w:rPr>
        <w:rFonts w:ascii="Arial Narrow" w:hAnsi="Arial Narrow"/>
      </w:rPr>
      <w:t xml:space="preserve"> </w:t>
    </w:r>
  </w:p>
  <w:p w:rsidR="00673FFE" w:rsidRPr="00E47A61" w:rsidRDefault="00673FFE" w:rsidP="00673FFE">
    <w:pPr>
      <w:pStyle w:val="Encabezado"/>
      <w:jc w:val="right"/>
      <w:rPr>
        <w:rFonts w:ascii="Arial Narrow" w:hAnsi="Arial Narrow"/>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FFE" w:rsidRPr="004A456E" w:rsidRDefault="00673FFE" w:rsidP="00673FFE">
    <w:pPr>
      <w:pStyle w:val="Encabezado"/>
      <w:tabs>
        <w:tab w:val="clear" w:pos="4419"/>
        <w:tab w:val="clear" w:pos="8838"/>
        <w:tab w:val="left" w:pos="150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BF4109"/>
    <w:multiLevelType w:val="hybridMultilevel"/>
    <w:tmpl w:val="41ACC9EA"/>
    <w:lvl w:ilvl="0" w:tplc="093CAE46">
      <w:start w:val="1"/>
      <w:numFmt w:val="upperRoman"/>
      <w:lvlText w:val="%1."/>
      <w:lvlJc w:val="left"/>
      <w:pPr>
        <w:ind w:left="720" w:hanging="720"/>
      </w:pPr>
      <w:rPr>
        <w:rFonts w:hint="default"/>
        <w:b/>
        <w:color w:val="auto"/>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58D245E3"/>
    <w:multiLevelType w:val="hybridMultilevel"/>
    <w:tmpl w:val="763AEFC8"/>
    <w:lvl w:ilvl="0" w:tplc="3822B92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nsid w:val="59FA256E"/>
    <w:multiLevelType w:val="hybridMultilevel"/>
    <w:tmpl w:val="3BEAE26A"/>
    <w:lvl w:ilvl="0" w:tplc="F3C8FE4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EBA"/>
    <w:rsid w:val="000124FF"/>
    <w:rsid w:val="000246AB"/>
    <w:rsid w:val="000464EA"/>
    <w:rsid w:val="00080412"/>
    <w:rsid w:val="00084904"/>
    <w:rsid w:val="000B4795"/>
    <w:rsid w:val="000F16E8"/>
    <w:rsid w:val="00113AFE"/>
    <w:rsid w:val="00127091"/>
    <w:rsid w:val="001972D4"/>
    <w:rsid w:val="00201B64"/>
    <w:rsid w:val="0020458D"/>
    <w:rsid w:val="00252754"/>
    <w:rsid w:val="002D0052"/>
    <w:rsid w:val="002E17DA"/>
    <w:rsid w:val="003462BB"/>
    <w:rsid w:val="003503C6"/>
    <w:rsid w:val="00367E09"/>
    <w:rsid w:val="003714DF"/>
    <w:rsid w:val="00424E66"/>
    <w:rsid w:val="00431C4B"/>
    <w:rsid w:val="00456F4A"/>
    <w:rsid w:val="004911D4"/>
    <w:rsid w:val="0050787F"/>
    <w:rsid w:val="00534ACD"/>
    <w:rsid w:val="005561BF"/>
    <w:rsid w:val="005B0AA4"/>
    <w:rsid w:val="005E3828"/>
    <w:rsid w:val="00620C36"/>
    <w:rsid w:val="006269E4"/>
    <w:rsid w:val="00627D8C"/>
    <w:rsid w:val="00673FFE"/>
    <w:rsid w:val="006750C2"/>
    <w:rsid w:val="00754447"/>
    <w:rsid w:val="00765595"/>
    <w:rsid w:val="007727D2"/>
    <w:rsid w:val="0078603F"/>
    <w:rsid w:val="007F7DA9"/>
    <w:rsid w:val="008E10B1"/>
    <w:rsid w:val="00922A0D"/>
    <w:rsid w:val="00927D12"/>
    <w:rsid w:val="009D3993"/>
    <w:rsid w:val="00A17A55"/>
    <w:rsid w:val="00A93E98"/>
    <w:rsid w:val="00AD43F2"/>
    <w:rsid w:val="00B01A05"/>
    <w:rsid w:val="00B27950"/>
    <w:rsid w:val="00BF431E"/>
    <w:rsid w:val="00C12EE2"/>
    <w:rsid w:val="00C507DA"/>
    <w:rsid w:val="00D0076B"/>
    <w:rsid w:val="00D026A2"/>
    <w:rsid w:val="00D03767"/>
    <w:rsid w:val="00D250F2"/>
    <w:rsid w:val="00DA7E7F"/>
    <w:rsid w:val="00DD157E"/>
    <w:rsid w:val="00DF0AB0"/>
    <w:rsid w:val="00E05A18"/>
    <w:rsid w:val="00E14F54"/>
    <w:rsid w:val="00E46735"/>
    <w:rsid w:val="00E92EE7"/>
    <w:rsid w:val="00E9311A"/>
    <w:rsid w:val="00F030B4"/>
    <w:rsid w:val="00F117C2"/>
    <w:rsid w:val="00F22DEF"/>
    <w:rsid w:val="00F2736D"/>
    <w:rsid w:val="00F4507D"/>
    <w:rsid w:val="00F50EBA"/>
    <w:rsid w:val="00F84F79"/>
    <w:rsid w:val="00F905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75D56B-F939-4A36-952C-CB31661E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EBA"/>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50EBA"/>
    <w:pPr>
      <w:tabs>
        <w:tab w:val="center" w:pos="4419"/>
        <w:tab w:val="right" w:pos="8838"/>
      </w:tabs>
    </w:pPr>
  </w:style>
  <w:style w:type="character" w:customStyle="1" w:styleId="EncabezadoCar">
    <w:name w:val="Encabezado Car"/>
    <w:basedOn w:val="Fuentedeprrafopredeter"/>
    <w:link w:val="Encabezado"/>
    <w:rsid w:val="00F50EBA"/>
    <w:rPr>
      <w:rFonts w:ascii="Calibri" w:eastAsia="Calibri" w:hAnsi="Calibri" w:cs="Times New Roman"/>
    </w:rPr>
  </w:style>
  <w:style w:type="paragraph" w:styleId="Textoindependiente2">
    <w:name w:val="Body Text 2"/>
    <w:basedOn w:val="Normal"/>
    <w:link w:val="Textoindependiente2Car"/>
    <w:rsid w:val="00F50EBA"/>
    <w:pPr>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F50EBA"/>
    <w:rPr>
      <w:rFonts w:ascii="Arial" w:eastAsia="Calibri" w:hAnsi="Arial" w:cs="Times New Roman"/>
      <w:szCs w:val="20"/>
      <w:lang w:val="es-ES_tradnl"/>
    </w:rPr>
  </w:style>
  <w:style w:type="character" w:styleId="Nmerodepgina">
    <w:name w:val="page number"/>
    <w:basedOn w:val="Fuentedeprrafopredeter"/>
    <w:rsid w:val="00F50EBA"/>
  </w:style>
  <w:style w:type="paragraph" w:styleId="Sinespaciado">
    <w:name w:val="No Spacing"/>
    <w:link w:val="SinespaciadoCar"/>
    <w:uiPriority w:val="1"/>
    <w:qFormat/>
    <w:rsid w:val="00F50EBA"/>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50EBA"/>
    <w:rPr>
      <w:rFonts w:ascii="Calibri" w:eastAsia="Calibri" w:hAnsi="Calibri" w:cs="Times New Roman"/>
    </w:rPr>
  </w:style>
  <w:style w:type="paragraph" w:styleId="Piedepgina">
    <w:name w:val="footer"/>
    <w:basedOn w:val="Normal"/>
    <w:link w:val="PiedepginaCar"/>
    <w:uiPriority w:val="99"/>
    <w:unhideWhenUsed/>
    <w:rsid w:val="005078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787F"/>
    <w:rPr>
      <w:rFonts w:ascii="Calibri" w:eastAsia="Calibri" w:hAnsi="Calibri" w:cs="Times New Roman"/>
    </w:rPr>
  </w:style>
  <w:style w:type="paragraph" w:styleId="Prrafodelista">
    <w:name w:val="List Paragraph"/>
    <w:basedOn w:val="Normal"/>
    <w:uiPriority w:val="34"/>
    <w:qFormat/>
    <w:rsid w:val="00E9311A"/>
    <w:pPr>
      <w:ind w:left="720"/>
      <w:contextualSpacing/>
    </w:pPr>
  </w:style>
  <w:style w:type="paragraph" w:styleId="NormalWeb">
    <w:name w:val="Normal (Web)"/>
    <w:basedOn w:val="Normal"/>
    <w:uiPriority w:val="99"/>
    <w:unhideWhenUsed/>
    <w:rsid w:val="005561BF"/>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fw-bold">
    <w:name w:val="fw-bold"/>
    <w:basedOn w:val="Fuentedeprrafopredeter"/>
    <w:rsid w:val="005561BF"/>
  </w:style>
  <w:style w:type="character" w:styleId="Hipervnculo">
    <w:name w:val="Hyperlink"/>
    <w:basedOn w:val="Fuentedeprrafopredeter"/>
    <w:uiPriority w:val="99"/>
    <w:unhideWhenUsed/>
    <w:rsid w:val="00D026A2"/>
    <w:rPr>
      <w:color w:val="0000FF"/>
      <w:u w:val="single"/>
    </w:rPr>
  </w:style>
  <w:style w:type="character" w:customStyle="1" w:styleId="TextonotapieCar">
    <w:name w:val="Texto nota pie Car"/>
    <w:aliases w:val="Footnote Text Char Char Char Char Char Car,Footnote Text Char Char Char Char Car,Footnote reference Car,FA Fu Car1,FA Fu Car Car,Car Car Car Car Car Car Car Car,Car Car Car Car Car Car Car1,Car2 Car,Footnote Text Char Char Char Car"/>
    <w:basedOn w:val="Fuentedeprrafopredeter"/>
    <w:link w:val="Textonotapie"/>
    <w:semiHidden/>
    <w:locked/>
    <w:rsid w:val="00252754"/>
    <w:rPr>
      <w:rFonts w:ascii="Calibri" w:eastAsia="Calibri" w:hAnsi="Calibri" w:cs="Calibri"/>
      <w:lang w:val="x-none"/>
    </w:rPr>
  </w:style>
  <w:style w:type="paragraph" w:styleId="Textonotapie">
    <w:name w:val="footnote text"/>
    <w:aliases w:val="Footnote Text Char Char Char Char Char,Footnote Text Char Char Char Char,Footnote reference,FA Fu,FA Fu Car,Car Car Car Car Car Car Car,Car Car Car Car Car Car,Car2,Footnote Text Char Char Char,Ca,Footnote Text Cha,FA Fußnotentext,Car11"/>
    <w:basedOn w:val="Normal"/>
    <w:link w:val="TextonotapieCar"/>
    <w:semiHidden/>
    <w:unhideWhenUsed/>
    <w:rsid w:val="00252754"/>
    <w:rPr>
      <w:rFonts w:cs="Calibri"/>
      <w:lang w:val="x-none"/>
    </w:rPr>
  </w:style>
  <w:style w:type="character" w:customStyle="1" w:styleId="TextonotapieCar1">
    <w:name w:val="Texto nota pie Car1"/>
    <w:basedOn w:val="Fuentedeprrafopredeter"/>
    <w:uiPriority w:val="99"/>
    <w:semiHidden/>
    <w:rsid w:val="00252754"/>
    <w:rPr>
      <w:rFonts w:ascii="Calibri" w:eastAsia="Calibri" w:hAnsi="Calibri" w:cs="Times New Roman"/>
      <w:sz w:val="20"/>
      <w:szCs w:val="20"/>
    </w:rPr>
  </w:style>
  <w:style w:type="character" w:styleId="Refdenotaalpie">
    <w:name w:val="footnote reference"/>
    <w:aliases w:val="Ref. de nota al pie 2,Texto de nota al pie,Footnotes refss,Appel note de bas de page,Footnote number,referencia nota al pie,BVI fnr,f,ftref,4_G,16 Point,Superscript 6 Point,Footnote Reference Char3,Footnote Reference Char1 Char,Ref,R"/>
    <w:semiHidden/>
    <w:unhideWhenUsed/>
    <w:qFormat/>
    <w:rsid w:val="00252754"/>
    <w:rPr>
      <w:vertAlign w:val="superscript"/>
    </w:rPr>
  </w:style>
  <w:style w:type="paragraph" w:styleId="Textodeglobo">
    <w:name w:val="Balloon Text"/>
    <w:basedOn w:val="Normal"/>
    <w:link w:val="TextodegloboCar"/>
    <w:uiPriority w:val="99"/>
    <w:semiHidden/>
    <w:unhideWhenUsed/>
    <w:rsid w:val="000246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6A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70271">
      <w:bodyDiv w:val="1"/>
      <w:marLeft w:val="0"/>
      <w:marRight w:val="0"/>
      <w:marTop w:val="0"/>
      <w:marBottom w:val="0"/>
      <w:divBdr>
        <w:top w:val="none" w:sz="0" w:space="0" w:color="auto"/>
        <w:left w:val="none" w:sz="0" w:space="0" w:color="auto"/>
        <w:bottom w:val="none" w:sz="0" w:space="0" w:color="auto"/>
        <w:right w:val="none" w:sz="0" w:space="0" w:color="auto"/>
      </w:divBdr>
      <w:divsChild>
        <w:div w:id="1579750544">
          <w:marLeft w:val="0"/>
          <w:marRight w:val="0"/>
          <w:marTop w:val="0"/>
          <w:marBottom w:val="0"/>
          <w:divBdr>
            <w:top w:val="none" w:sz="0" w:space="0" w:color="auto"/>
            <w:left w:val="none" w:sz="0" w:space="0" w:color="auto"/>
            <w:bottom w:val="none" w:sz="0" w:space="0" w:color="auto"/>
            <w:right w:val="none" w:sz="0" w:space="0" w:color="auto"/>
          </w:divBdr>
          <w:divsChild>
            <w:div w:id="1477529628">
              <w:marLeft w:val="0"/>
              <w:marRight w:val="0"/>
              <w:marTop w:val="0"/>
              <w:marBottom w:val="0"/>
              <w:divBdr>
                <w:top w:val="none" w:sz="0" w:space="0" w:color="auto"/>
                <w:left w:val="none" w:sz="0" w:space="0" w:color="auto"/>
                <w:bottom w:val="none" w:sz="0" w:space="0" w:color="auto"/>
                <w:right w:val="none" w:sz="0" w:space="0" w:color="auto"/>
              </w:divBdr>
            </w:div>
          </w:divsChild>
        </w:div>
        <w:div w:id="867450539">
          <w:marLeft w:val="0"/>
          <w:marRight w:val="0"/>
          <w:marTop w:val="0"/>
          <w:marBottom w:val="0"/>
          <w:divBdr>
            <w:top w:val="none" w:sz="0" w:space="0" w:color="auto"/>
            <w:left w:val="none" w:sz="0" w:space="0" w:color="auto"/>
            <w:bottom w:val="none" w:sz="0" w:space="0" w:color="auto"/>
            <w:right w:val="none" w:sz="0" w:space="0" w:color="auto"/>
          </w:divBdr>
          <w:divsChild>
            <w:div w:id="1711227741">
              <w:marLeft w:val="0"/>
              <w:marRight w:val="0"/>
              <w:marTop w:val="0"/>
              <w:marBottom w:val="0"/>
              <w:divBdr>
                <w:top w:val="none" w:sz="0" w:space="0" w:color="auto"/>
                <w:left w:val="none" w:sz="0" w:space="0" w:color="auto"/>
                <w:bottom w:val="none" w:sz="0" w:space="0" w:color="auto"/>
                <w:right w:val="none" w:sz="0" w:space="0" w:color="auto"/>
              </w:divBdr>
            </w:div>
            <w:div w:id="1759788411">
              <w:marLeft w:val="0"/>
              <w:marRight w:val="0"/>
              <w:marTop w:val="0"/>
              <w:marBottom w:val="0"/>
              <w:divBdr>
                <w:top w:val="none" w:sz="0" w:space="0" w:color="auto"/>
                <w:left w:val="none" w:sz="0" w:space="0" w:color="auto"/>
                <w:bottom w:val="none" w:sz="0" w:space="0" w:color="auto"/>
                <w:right w:val="none" w:sz="0" w:space="0" w:color="auto"/>
              </w:divBdr>
            </w:div>
            <w:div w:id="979000134">
              <w:marLeft w:val="0"/>
              <w:marRight w:val="0"/>
              <w:marTop w:val="0"/>
              <w:marBottom w:val="0"/>
              <w:divBdr>
                <w:top w:val="none" w:sz="0" w:space="0" w:color="auto"/>
                <w:left w:val="none" w:sz="0" w:space="0" w:color="auto"/>
                <w:bottom w:val="none" w:sz="0" w:space="0" w:color="auto"/>
                <w:right w:val="none" w:sz="0" w:space="0" w:color="auto"/>
              </w:divBdr>
            </w:div>
          </w:divsChild>
        </w:div>
        <w:div w:id="2039045467">
          <w:marLeft w:val="0"/>
          <w:marRight w:val="0"/>
          <w:marTop w:val="0"/>
          <w:marBottom w:val="0"/>
          <w:divBdr>
            <w:top w:val="none" w:sz="0" w:space="0" w:color="auto"/>
            <w:left w:val="none" w:sz="0" w:space="0" w:color="auto"/>
            <w:bottom w:val="none" w:sz="0" w:space="0" w:color="auto"/>
            <w:right w:val="none" w:sz="0" w:space="0" w:color="auto"/>
          </w:divBdr>
          <w:divsChild>
            <w:div w:id="941298137">
              <w:marLeft w:val="0"/>
              <w:marRight w:val="0"/>
              <w:marTop w:val="0"/>
              <w:marBottom w:val="0"/>
              <w:divBdr>
                <w:top w:val="none" w:sz="0" w:space="0" w:color="auto"/>
                <w:left w:val="none" w:sz="0" w:space="0" w:color="auto"/>
                <w:bottom w:val="none" w:sz="0" w:space="0" w:color="auto"/>
                <w:right w:val="none" w:sz="0" w:space="0" w:color="auto"/>
              </w:divBdr>
            </w:div>
            <w:div w:id="1237548274">
              <w:marLeft w:val="0"/>
              <w:marRight w:val="0"/>
              <w:marTop w:val="0"/>
              <w:marBottom w:val="0"/>
              <w:divBdr>
                <w:top w:val="none" w:sz="0" w:space="0" w:color="auto"/>
                <w:left w:val="none" w:sz="0" w:space="0" w:color="auto"/>
                <w:bottom w:val="none" w:sz="0" w:space="0" w:color="auto"/>
                <w:right w:val="none" w:sz="0" w:space="0" w:color="auto"/>
              </w:divBdr>
            </w:div>
            <w:div w:id="2493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625">
      <w:bodyDiv w:val="1"/>
      <w:marLeft w:val="0"/>
      <w:marRight w:val="0"/>
      <w:marTop w:val="0"/>
      <w:marBottom w:val="0"/>
      <w:divBdr>
        <w:top w:val="none" w:sz="0" w:space="0" w:color="auto"/>
        <w:left w:val="none" w:sz="0" w:space="0" w:color="auto"/>
        <w:bottom w:val="none" w:sz="0" w:space="0" w:color="auto"/>
        <w:right w:val="none" w:sz="0" w:space="0" w:color="auto"/>
      </w:divBdr>
    </w:div>
    <w:div w:id="178742593">
      <w:bodyDiv w:val="1"/>
      <w:marLeft w:val="0"/>
      <w:marRight w:val="0"/>
      <w:marTop w:val="0"/>
      <w:marBottom w:val="0"/>
      <w:divBdr>
        <w:top w:val="none" w:sz="0" w:space="0" w:color="auto"/>
        <w:left w:val="none" w:sz="0" w:space="0" w:color="auto"/>
        <w:bottom w:val="none" w:sz="0" w:space="0" w:color="auto"/>
        <w:right w:val="none" w:sz="0" w:space="0" w:color="auto"/>
      </w:divBdr>
    </w:div>
    <w:div w:id="187062452">
      <w:bodyDiv w:val="1"/>
      <w:marLeft w:val="0"/>
      <w:marRight w:val="0"/>
      <w:marTop w:val="0"/>
      <w:marBottom w:val="0"/>
      <w:divBdr>
        <w:top w:val="none" w:sz="0" w:space="0" w:color="auto"/>
        <w:left w:val="none" w:sz="0" w:space="0" w:color="auto"/>
        <w:bottom w:val="none" w:sz="0" w:space="0" w:color="auto"/>
        <w:right w:val="none" w:sz="0" w:space="0" w:color="auto"/>
      </w:divBdr>
    </w:div>
    <w:div w:id="311105229">
      <w:bodyDiv w:val="1"/>
      <w:marLeft w:val="0"/>
      <w:marRight w:val="0"/>
      <w:marTop w:val="0"/>
      <w:marBottom w:val="0"/>
      <w:divBdr>
        <w:top w:val="none" w:sz="0" w:space="0" w:color="auto"/>
        <w:left w:val="none" w:sz="0" w:space="0" w:color="auto"/>
        <w:bottom w:val="none" w:sz="0" w:space="0" w:color="auto"/>
        <w:right w:val="none" w:sz="0" w:space="0" w:color="auto"/>
      </w:divBdr>
    </w:div>
    <w:div w:id="540554147">
      <w:bodyDiv w:val="1"/>
      <w:marLeft w:val="0"/>
      <w:marRight w:val="0"/>
      <w:marTop w:val="0"/>
      <w:marBottom w:val="0"/>
      <w:divBdr>
        <w:top w:val="none" w:sz="0" w:space="0" w:color="auto"/>
        <w:left w:val="none" w:sz="0" w:space="0" w:color="auto"/>
        <w:bottom w:val="none" w:sz="0" w:space="0" w:color="auto"/>
        <w:right w:val="none" w:sz="0" w:space="0" w:color="auto"/>
      </w:divBdr>
    </w:div>
    <w:div w:id="591010801">
      <w:bodyDiv w:val="1"/>
      <w:marLeft w:val="0"/>
      <w:marRight w:val="0"/>
      <w:marTop w:val="0"/>
      <w:marBottom w:val="0"/>
      <w:divBdr>
        <w:top w:val="none" w:sz="0" w:space="0" w:color="auto"/>
        <w:left w:val="none" w:sz="0" w:space="0" w:color="auto"/>
        <w:bottom w:val="none" w:sz="0" w:space="0" w:color="auto"/>
        <w:right w:val="none" w:sz="0" w:space="0" w:color="auto"/>
      </w:divBdr>
      <w:divsChild>
        <w:div w:id="1471901648">
          <w:marLeft w:val="0"/>
          <w:marRight w:val="0"/>
          <w:marTop w:val="0"/>
          <w:marBottom w:val="0"/>
          <w:divBdr>
            <w:top w:val="none" w:sz="0" w:space="0" w:color="auto"/>
            <w:left w:val="none" w:sz="0" w:space="0" w:color="auto"/>
            <w:bottom w:val="none" w:sz="0" w:space="0" w:color="auto"/>
            <w:right w:val="none" w:sz="0" w:space="0" w:color="auto"/>
          </w:divBdr>
          <w:divsChild>
            <w:div w:id="1776319422">
              <w:marLeft w:val="0"/>
              <w:marRight w:val="0"/>
              <w:marTop w:val="0"/>
              <w:marBottom w:val="0"/>
              <w:divBdr>
                <w:top w:val="none" w:sz="0" w:space="0" w:color="auto"/>
                <w:left w:val="none" w:sz="0" w:space="0" w:color="auto"/>
                <w:bottom w:val="none" w:sz="0" w:space="0" w:color="auto"/>
                <w:right w:val="none" w:sz="0" w:space="0" w:color="auto"/>
              </w:divBdr>
            </w:div>
          </w:divsChild>
        </w:div>
        <w:div w:id="476723560">
          <w:marLeft w:val="0"/>
          <w:marRight w:val="0"/>
          <w:marTop w:val="0"/>
          <w:marBottom w:val="0"/>
          <w:divBdr>
            <w:top w:val="none" w:sz="0" w:space="0" w:color="auto"/>
            <w:left w:val="none" w:sz="0" w:space="0" w:color="auto"/>
            <w:bottom w:val="none" w:sz="0" w:space="0" w:color="auto"/>
            <w:right w:val="none" w:sz="0" w:space="0" w:color="auto"/>
          </w:divBdr>
          <w:divsChild>
            <w:div w:id="891845598">
              <w:marLeft w:val="0"/>
              <w:marRight w:val="0"/>
              <w:marTop w:val="0"/>
              <w:marBottom w:val="0"/>
              <w:divBdr>
                <w:top w:val="none" w:sz="0" w:space="0" w:color="auto"/>
                <w:left w:val="none" w:sz="0" w:space="0" w:color="auto"/>
                <w:bottom w:val="none" w:sz="0" w:space="0" w:color="auto"/>
                <w:right w:val="none" w:sz="0" w:space="0" w:color="auto"/>
              </w:divBdr>
            </w:div>
            <w:div w:id="727918502">
              <w:marLeft w:val="0"/>
              <w:marRight w:val="0"/>
              <w:marTop w:val="0"/>
              <w:marBottom w:val="0"/>
              <w:divBdr>
                <w:top w:val="none" w:sz="0" w:space="0" w:color="auto"/>
                <w:left w:val="none" w:sz="0" w:space="0" w:color="auto"/>
                <w:bottom w:val="none" w:sz="0" w:space="0" w:color="auto"/>
                <w:right w:val="none" w:sz="0" w:space="0" w:color="auto"/>
              </w:divBdr>
            </w:div>
            <w:div w:id="621376688">
              <w:marLeft w:val="0"/>
              <w:marRight w:val="0"/>
              <w:marTop w:val="0"/>
              <w:marBottom w:val="0"/>
              <w:divBdr>
                <w:top w:val="none" w:sz="0" w:space="0" w:color="auto"/>
                <w:left w:val="none" w:sz="0" w:space="0" w:color="auto"/>
                <w:bottom w:val="none" w:sz="0" w:space="0" w:color="auto"/>
                <w:right w:val="none" w:sz="0" w:space="0" w:color="auto"/>
              </w:divBdr>
            </w:div>
          </w:divsChild>
        </w:div>
        <w:div w:id="1721830078">
          <w:marLeft w:val="0"/>
          <w:marRight w:val="0"/>
          <w:marTop w:val="0"/>
          <w:marBottom w:val="0"/>
          <w:divBdr>
            <w:top w:val="none" w:sz="0" w:space="0" w:color="auto"/>
            <w:left w:val="none" w:sz="0" w:space="0" w:color="auto"/>
            <w:bottom w:val="none" w:sz="0" w:space="0" w:color="auto"/>
            <w:right w:val="none" w:sz="0" w:space="0" w:color="auto"/>
          </w:divBdr>
          <w:divsChild>
            <w:div w:id="1519079883">
              <w:marLeft w:val="0"/>
              <w:marRight w:val="0"/>
              <w:marTop w:val="0"/>
              <w:marBottom w:val="0"/>
              <w:divBdr>
                <w:top w:val="none" w:sz="0" w:space="0" w:color="auto"/>
                <w:left w:val="none" w:sz="0" w:space="0" w:color="auto"/>
                <w:bottom w:val="none" w:sz="0" w:space="0" w:color="auto"/>
                <w:right w:val="none" w:sz="0" w:space="0" w:color="auto"/>
              </w:divBdr>
            </w:div>
            <w:div w:id="1745569618">
              <w:marLeft w:val="0"/>
              <w:marRight w:val="0"/>
              <w:marTop w:val="0"/>
              <w:marBottom w:val="0"/>
              <w:divBdr>
                <w:top w:val="none" w:sz="0" w:space="0" w:color="auto"/>
                <w:left w:val="none" w:sz="0" w:space="0" w:color="auto"/>
                <w:bottom w:val="none" w:sz="0" w:space="0" w:color="auto"/>
                <w:right w:val="none" w:sz="0" w:space="0" w:color="auto"/>
              </w:divBdr>
            </w:div>
            <w:div w:id="93520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3198">
      <w:bodyDiv w:val="1"/>
      <w:marLeft w:val="0"/>
      <w:marRight w:val="0"/>
      <w:marTop w:val="0"/>
      <w:marBottom w:val="0"/>
      <w:divBdr>
        <w:top w:val="none" w:sz="0" w:space="0" w:color="auto"/>
        <w:left w:val="none" w:sz="0" w:space="0" w:color="auto"/>
        <w:bottom w:val="none" w:sz="0" w:space="0" w:color="auto"/>
        <w:right w:val="none" w:sz="0" w:space="0" w:color="auto"/>
      </w:divBdr>
    </w:div>
    <w:div w:id="633147055">
      <w:bodyDiv w:val="1"/>
      <w:marLeft w:val="0"/>
      <w:marRight w:val="0"/>
      <w:marTop w:val="0"/>
      <w:marBottom w:val="0"/>
      <w:divBdr>
        <w:top w:val="none" w:sz="0" w:space="0" w:color="auto"/>
        <w:left w:val="none" w:sz="0" w:space="0" w:color="auto"/>
        <w:bottom w:val="none" w:sz="0" w:space="0" w:color="auto"/>
        <w:right w:val="none" w:sz="0" w:space="0" w:color="auto"/>
      </w:divBdr>
      <w:divsChild>
        <w:div w:id="1347906970">
          <w:marLeft w:val="0"/>
          <w:marRight w:val="0"/>
          <w:marTop w:val="0"/>
          <w:marBottom w:val="0"/>
          <w:divBdr>
            <w:top w:val="none" w:sz="0" w:space="0" w:color="auto"/>
            <w:left w:val="none" w:sz="0" w:space="0" w:color="auto"/>
            <w:bottom w:val="none" w:sz="0" w:space="0" w:color="auto"/>
            <w:right w:val="none" w:sz="0" w:space="0" w:color="auto"/>
          </w:divBdr>
          <w:divsChild>
            <w:div w:id="956985951">
              <w:marLeft w:val="0"/>
              <w:marRight w:val="0"/>
              <w:marTop w:val="0"/>
              <w:marBottom w:val="0"/>
              <w:divBdr>
                <w:top w:val="none" w:sz="0" w:space="0" w:color="auto"/>
                <w:left w:val="none" w:sz="0" w:space="0" w:color="auto"/>
                <w:bottom w:val="none" w:sz="0" w:space="0" w:color="auto"/>
                <w:right w:val="none" w:sz="0" w:space="0" w:color="auto"/>
              </w:divBdr>
            </w:div>
          </w:divsChild>
        </w:div>
        <w:div w:id="895313111">
          <w:marLeft w:val="0"/>
          <w:marRight w:val="0"/>
          <w:marTop w:val="0"/>
          <w:marBottom w:val="0"/>
          <w:divBdr>
            <w:top w:val="none" w:sz="0" w:space="0" w:color="auto"/>
            <w:left w:val="none" w:sz="0" w:space="0" w:color="auto"/>
            <w:bottom w:val="none" w:sz="0" w:space="0" w:color="auto"/>
            <w:right w:val="none" w:sz="0" w:space="0" w:color="auto"/>
          </w:divBdr>
          <w:divsChild>
            <w:div w:id="1279215872">
              <w:marLeft w:val="0"/>
              <w:marRight w:val="0"/>
              <w:marTop w:val="0"/>
              <w:marBottom w:val="0"/>
              <w:divBdr>
                <w:top w:val="none" w:sz="0" w:space="0" w:color="auto"/>
                <w:left w:val="none" w:sz="0" w:space="0" w:color="auto"/>
                <w:bottom w:val="none" w:sz="0" w:space="0" w:color="auto"/>
                <w:right w:val="none" w:sz="0" w:space="0" w:color="auto"/>
              </w:divBdr>
            </w:div>
            <w:div w:id="452790980">
              <w:marLeft w:val="0"/>
              <w:marRight w:val="0"/>
              <w:marTop w:val="0"/>
              <w:marBottom w:val="0"/>
              <w:divBdr>
                <w:top w:val="none" w:sz="0" w:space="0" w:color="auto"/>
                <w:left w:val="none" w:sz="0" w:space="0" w:color="auto"/>
                <w:bottom w:val="none" w:sz="0" w:space="0" w:color="auto"/>
                <w:right w:val="none" w:sz="0" w:space="0" w:color="auto"/>
              </w:divBdr>
            </w:div>
            <w:div w:id="304625552">
              <w:marLeft w:val="0"/>
              <w:marRight w:val="0"/>
              <w:marTop w:val="0"/>
              <w:marBottom w:val="0"/>
              <w:divBdr>
                <w:top w:val="none" w:sz="0" w:space="0" w:color="auto"/>
                <w:left w:val="none" w:sz="0" w:space="0" w:color="auto"/>
                <w:bottom w:val="none" w:sz="0" w:space="0" w:color="auto"/>
                <w:right w:val="none" w:sz="0" w:space="0" w:color="auto"/>
              </w:divBdr>
            </w:div>
          </w:divsChild>
        </w:div>
        <w:div w:id="230849535">
          <w:marLeft w:val="0"/>
          <w:marRight w:val="0"/>
          <w:marTop w:val="0"/>
          <w:marBottom w:val="0"/>
          <w:divBdr>
            <w:top w:val="none" w:sz="0" w:space="0" w:color="auto"/>
            <w:left w:val="none" w:sz="0" w:space="0" w:color="auto"/>
            <w:bottom w:val="none" w:sz="0" w:space="0" w:color="auto"/>
            <w:right w:val="none" w:sz="0" w:space="0" w:color="auto"/>
          </w:divBdr>
          <w:divsChild>
            <w:div w:id="1113864533">
              <w:marLeft w:val="0"/>
              <w:marRight w:val="0"/>
              <w:marTop w:val="0"/>
              <w:marBottom w:val="0"/>
              <w:divBdr>
                <w:top w:val="none" w:sz="0" w:space="0" w:color="auto"/>
                <w:left w:val="none" w:sz="0" w:space="0" w:color="auto"/>
                <w:bottom w:val="none" w:sz="0" w:space="0" w:color="auto"/>
                <w:right w:val="none" w:sz="0" w:space="0" w:color="auto"/>
              </w:divBdr>
            </w:div>
            <w:div w:id="2075425136">
              <w:marLeft w:val="0"/>
              <w:marRight w:val="0"/>
              <w:marTop w:val="0"/>
              <w:marBottom w:val="0"/>
              <w:divBdr>
                <w:top w:val="none" w:sz="0" w:space="0" w:color="auto"/>
                <w:left w:val="none" w:sz="0" w:space="0" w:color="auto"/>
                <w:bottom w:val="none" w:sz="0" w:space="0" w:color="auto"/>
                <w:right w:val="none" w:sz="0" w:space="0" w:color="auto"/>
              </w:divBdr>
            </w:div>
            <w:div w:id="20986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7131">
      <w:bodyDiv w:val="1"/>
      <w:marLeft w:val="0"/>
      <w:marRight w:val="0"/>
      <w:marTop w:val="0"/>
      <w:marBottom w:val="0"/>
      <w:divBdr>
        <w:top w:val="none" w:sz="0" w:space="0" w:color="auto"/>
        <w:left w:val="none" w:sz="0" w:space="0" w:color="auto"/>
        <w:bottom w:val="none" w:sz="0" w:space="0" w:color="auto"/>
        <w:right w:val="none" w:sz="0" w:space="0" w:color="auto"/>
      </w:divBdr>
    </w:div>
    <w:div w:id="714230658">
      <w:bodyDiv w:val="1"/>
      <w:marLeft w:val="0"/>
      <w:marRight w:val="0"/>
      <w:marTop w:val="0"/>
      <w:marBottom w:val="0"/>
      <w:divBdr>
        <w:top w:val="none" w:sz="0" w:space="0" w:color="auto"/>
        <w:left w:val="none" w:sz="0" w:space="0" w:color="auto"/>
        <w:bottom w:val="none" w:sz="0" w:space="0" w:color="auto"/>
        <w:right w:val="none" w:sz="0" w:space="0" w:color="auto"/>
      </w:divBdr>
    </w:div>
    <w:div w:id="845485181">
      <w:bodyDiv w:val="1"/>
      <w:marLeft w:val="0"/>
      <w:marRight w:val="0"/>
      <w:marTop w:val="0"/>
      <w:marBottom w:val="0"/>
      <w:divBdr>
        <w:top w:val="none" w:sz="0" w:space="0" w:color="auto"/>
        <w:left w:val="none" w:sz="0" w:space="0" w:color="auto"/>
        <w:bottom w:val="none" w:sz="0" w:space="0" w:color="auto"/>
        <w:right w:val="none" w:sz="0" w:space="0" w:color="auto"/>
      </w:divBdr>
    </w:div>
    <w:div w:id="958953292">
      <w:bodyDiv w:val="1"/>
      <w:marLeft w:val="0"/>
      <w:marRight w:val="0"/>
      <w:marTop w:val="0"/>
      <w:marBottom w:val="0"/>
      <w:divBdr>
        <w:top w:val="none" w:sz="0" w:space="0" w:color="auto"/>
        <w:left w:val="none" w:sz="0" w:space="0" w:color="auto"/>
        <w:bottom w:val="none" w:sz="0" w:space="0" w:color="auto"/>
        <w:right w:val="none" w:sz="0" w:space="0" w:color="auto"/>
      </w:divBdr>
    </w:div>
    <w:div w:id="1109012380">
      <w:bodyDiv w:val="1"/>
      <w:marLeft w:val="0"/>
      <w:marRight w:val="0"/>
      <w:marTop w:val="0"/>
      <w:marBottom w:val="0"/>
      <w:divBdr>
        <w:top w:val="none" w:sz="0" w:space="0" w:color="auto"/>
        <w:left w:val="none" w:sz="0" w:space="0" w:color="auto"/>
        <w:bottom w:val="none" w:sz="0" w:space="0" w:color="auto"/>
        <w:right w:val="none" w:sz="0" w:space="0" w:color="auto"/>
      </w:divBdr>
      <w:divsChild>
        <w:div w:id="1226527720">
          <w:marLeft w:val="0"/>
          <w:marRight w:val="0"/>
          <w:marTop w:val="0"/>
          <w:marBottom w:val="0"/>
          <w:divBdr>
            <w:top w:val="none" w:sz="0" w:space="0" w:color="auto"/>
            <w:left w:val="none" w:sz="0" w:space="0" w:color="auto"/>
            <w:bottom w:val="none" w:sz="0" w:space="0" w:color="auto"/>
            <w:right w:val="none" w:sz="0" w:space="0" w:color="auto"/>
          </w:divBdr>
          <w:divsChild>
            <w:div w:id="1685282935">
              <w:marLeft w:val="0"/>
              <w:marRight w:val="0"/>
              <w:marTop w:val="0"/>
              <w:marBottom w:val="0"/>
              <w:divBdr>
                <w:top w:val="none" w:sz="0" w:space="0" w:color="auto"/>
                <w:left w:val="none" w:sz="0" w:space="0" w:color="auto"/>
                <w:bottom w:val="none" w:sz="0" w:space="0" w:color="auto"/>
                <w:right w:val="none" w:sz="0" w:space="0" w:color="auto"/>
              </w:divBdr>
            </w:div>
          </w:divsChild>
        </w:div>
        <w:div w:id="1496343103">
          <w:marLeft w:val="0"/>
          <w:marRight w:val="0"/>
          <w:marTop w:val="0"/>
          <w:marBottom w:val="0"/>
          <w:divBdr>
            <w:top w:val="none" w:sz="0" w:space="0" w:color="auto"/>
            <w:left w:val="none" w:sz="0" w:space="0" w:color="auto"/>
            <w:bottom w:val="none" w:sz="0" w:space="0" w:color="auto"/>
            <w:right w:val="none" w:sz="0" w:space="0" w:color="auto"/>
          </w:divBdr>
          <w:divsChild>
            <w:div w:id="2976777">
              <w:marLeft w:val="0"/>
              <w:marRight w:val="0"/>
              <w:marTop w:val="0"/>
              <w:marBottom w:val="0"/>
              <w:divBdr>
                <w:top w:val="none" w:sz="0" w:space="0" w:color="auto"/>
                <w:left w:val="none" w:sz="0" w:space="0" w:color="auto"/>
                <w:bottom w:val="none" w:sz="0" w:space="0" w:color="auto"/>
                <w:right w:val="none" w:sz="0" w:space="0" w:color="auto"/>
              </w:divBdr>
            </w:div>
            <w:div w:id="854421593">
              <w:marLeft w:val="0"/>
              <w:marRight w:val="0"/>
              <w:marTop w:val="0"/>
              <w:marBottom w:val="0"/>
              <w:divBdr>
                <w:top w:val="none" w:sz="0" w:space="0" w:color="auto"/>
                <w:left w:val="none" w:sz="0" w:space="0" w:color="auto"/>
                <w:bottom w:val="none" w:sz="0" w:space="0" w:color="auto"/>
                <w:right w:val="none" w:sz="0" w:space="0" w:color="auto"/>
              </w:divBdr>
            </w:div>
            <w:div w:id="908542893">
              <w:marLeft w:val="0"/>
              <w:marRight w:val="0"/>
              <w:marTop w:val="0"/>
              <w:marBottom w:val="0"/>
              <w:divBdr>
                <w:top w:val="none" w:sz="0" w:space="0" w:color="auto"/>
                <w:left w:val="none" w:sz="0" w:space="0" w:color="auto"/>
                <w:bottom w:val="none" w:sz="0" w:space="0" w:color="auto"/>
                <w:right w:val="none" w:sz="0" w:space="0" w:color="auto"/>
              </w:divBdr>
            </w:div>
          </w:divsChild>
        </w:div>
        <w:div w:id="1422218601">
          <w:marLeft w:val="0"/>
          <w:marRight w:val="0"/>
          <w:marTop w:val="0"/>
          <w:marBottom w:val="0"/>
          <w:divBdr>
            <w:top w:val="none" w:sz="0" w:space="0" w:color="auto"/>
            <w:left w:val="none" w:sz="0" w:space="0" w:color="auto"/>
            <w:bottom w:val="none" w:sz="0" w:space="0" w:color="auto"/>
            <w:right w:val="none" w:sz="0" w:space="0" w:color="auto"/>
          </w:divBdr>
          <w:divsChild>
            <w:div w:id="784156382">
              <w:marLeft w:val="0"/>
              <w:marRight w:val="0"/>
              <w:marTop w:val="0"/>
              <w:marBottom w:val="0"/>
              <w:divBdr>
                <w:top w:val="none" w:sz="0" w:space="0" w:color="auto"/>
                <w:left w:val="none" w:sz="0" w:space="0" w:color="auto"/>
                <w:bottom w:val="none" w:sz="0" w:space="0" w:color="auto"/>
                <w:right w:val="none" w:sz="0" w:space="0" w:color="auto"/>
              </w:divBdr>
            </w:div>
            <w:div w:id="1457140719">
              <w:marLeft w:val="0"/>
              <w:marRight w:val="0"/>
              <w:marTop w:val="0"/>
              <w:marBottom w:val="0"/>
              <w:divBdr>
                <w:top w:val="none" w:sz="0" w:space="0" w:color="auto"/>
                <w:left w:val="none" w:sz="0" w:space="0" w:color="auto"/>
                <w:bottom w:val="none" w:sz="0" w:space="0" w:color="auto"/>
                <w:right w:val="none" w:sz="0" w:space="0" w:color="auto"/>
              </w:divBdr>
            </w:div>
            <w:div w:id="1982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8274">
      <w:bodyDiv w:val="1"/>
      <w:marLeft w:val="0"/>
      <w:marRight w:val="0"/>
      <w:marTop w:val="0"/>
      <w:marBottom w:val="0"/>
      <w:divBdr>
        <w:top w:val="none" w:sz="0" w:space="0" w:color="auto"/>
        <w:left w:val="none" w:sz="0" w:space="0" w:color="auto"/>
        <w:bottom w:val="none" w:sz="0" w:space="0" w:color="auto"/>
        <w:right w:val="none" w:sz="0" w:space="0" w:color="auto"/>
      </w:divBdr>
    </w:div>
    <w:div w:id="1501696069">
      <w:bodyDiv w:val="1"/>
      <w:marLeft w:val="0"/>
      <w:marRight w:val="0"/>
      <w:marTop w:val="0"/>
      <w:marBottom w:val="0"/>
      <w:divBdr>
        <w:top w:val="none" w:sz="0" w:space="0" w:color="auto"/>
        <w:left w:val="none" w:sz="0" w:space="0" w:color="auto"/>
        <w:bottom w:val="none" w:sz="0" w:space="0" w:color="auto"/>
        <w:right w:val="none" w:sz="0" w:space="0" w:color="auto"/>
      </w:divBdr>
    </w:div>
    <w:div w:id="1530029339">
      <w:bodyDiv w:val="1"/>
      <w:marLeft w:val="0"/>
      <w:marRight w:val="0"/>
      <w:marTop w:val="0"/>
      <w:marBottom w:val="0"/>
      <w:divBdr>
        <w:top w:val="none" w:sz="0" w:space="0" w:color="auto"/>
        <w:left w:val="none" w:sz="0" w:space="0" w:color="auto"/>
        <w:bottom w:val="none" w:sz="0" w:space="0" w:color="auto"/>
        <w:right w:val="none" w:sz="0" w:space="0" w:color="auto"/>
      </w:divBdr>
    </w:div>
    <w:div w:id="1580019568">
      <w:bodyDiv w:val="1"/>
      <w:marLeft w:val="0"/>
      <w:marRight w:val="0"/>
      <w:marTop w:val="0"/>
      <w:marBottom w:val="0"/>
      <w:divBdr>
        <w:top w:val="none" w:sz="0" w:space="0" w:color="auto"/>
        <w:left w:val="none" w:sz="0" w:space="0" w:color="auto"/>
        <w:bottom w:val="none" w:sz="0" w:space="0" w:color="auto"/>
        <w:right w:val="none" w:sz="0" w:space="0" w:color="auto"/>
      </w:divBdr>
    </w:div>
    <w:div w:id="1795176242">
      <w:bodyDiv w:val="1"/>
      <w:marLeft w:val="0"/>
      <w:marRight w:val="0"/>
      <w:marTop w:val="0"/>
      <w:marBottom w:val="0"/>
      <w:divBdr>
        <w:top w:val="none" w:sz="0" w:space="0" w:color="auto"/>
        <w:left w:val="none" w:sz="0" w:space="0" w:color="auto"/>
        <w:bottom w:val="none" w:sz="0" w:space="0" w:color="auto"/>
        <w:right w:val="none" w:sz="0" w:space="0" w:color="auto"/>
      </w:divBdr>
      <w:divsChild>
        <w:div w:id="2122987896">
          <w:marLeft w:val="0"/>
          <w:marRight w:val="0"/>
          <w:marTop w:val="0"/>
          <w:marBottom w:val="0"/>
          <w:divBdr>
            <w:top w:val="none" w:sz="0" w:space="0" w:color="auto"/>
            <w:left w:val="none" w:sz="0" w:space="0" w:color="auto"/>
            <w:bottom w:val="none" w:sz="0" w:space="0" w:color="auto"/>
            <w:right w:val="none" w:sz="0" w:space="0" w:color="auto"/>
          </w:divBdr>
          <w:divsChild>
            <w:div w:id="532109435">
              <w:marLeft w:val="0"/>
              <w:marRight w:val="0"/>
              <w:marTop w:val="0"/>
              <w:marBottom w:val="0"/>
              <w:divBdr>
                <w:top w:val="none" w:sz="0" w:space="0" w:color="auto"/>
                <w:left w:val="none" w:sz="0" w:space="0" w:color="auto"/>
                <w:bottom w:val="none" w:sz="0" w:space="0" w:color="auto"/>
                <w:right w:val="none" w:sz="0" w:space="0" w:color="auto"/>
              </w:divBdr>
            </w:div>
          </w:divsChild>
        </w:div>
        <w:div w:id="1909068627">
          <w:marLeft w:val="0"/>
          <w:marRight w:val="0"/>
          <w:marTop w:val="0"/>
          <w:marBottom w:val="0"/>
          <w:divBdr>
            <w:top w:val="none" w:sz="0" w:space="0" w:color="auto"/>
            <w:left w:val="none" w:sz="0" w:space="0" w:color="auto"/>
            <w:bottom w:val="none" w:sz="0" w:space="0" w:color="auto"/>
            <w:right w:val="none" w:sz="0" w:space="0" w:color="auto"/>
          </w:divBdr>
          <w:divsChild>
            <w:div w:id="995304289">
              <w:marLeft w:val="0"/>
              <w:marRight w:val="0"/>
              <w:marTop w:val="0"/>
              <w:marBottom w:val="0"/>
              <w:divBdr>
                <w:top w:val="none" w:sz="0" w:space="0" w:color="auto"/>
                <w:left w:val="none" w:sz="0" w:space="0" w:color="auto"/>
                <w:bottom w:val="none" w:sz="0" w:space="0" w:color="auto"/>
                <w:right w:val="none" w:sz="0" w:space="0" w:color="auto"/>
              </w:divBdr>
            </w:div>
            <w:div w:id="1189681070">
              <w:marLeft w:val="0"/>
              <w:marRight w:val="0"/>
              <w:marTop w:val="0"/>
              <w:marBottom w:val="0"/>
              <w:divBdr>
                <w:top w:val="none" w:sz="0" w:space="0" w:color="auto"/>
                <w:left w:val="none" w:sz="0" w:space="0" w:color="auto"/>
                <w:bottom w:val="none" w:sz="0" w:space="0" w:color="auto"/>
                <w:right w:val="none" w:sz="0" w:space="0" w:color="auto"/>
              </w:divBdr>
            </w:div>
            <w:div w:id="1930434">
              <w:marLeft w:val="0"/>
              <w:marRight w:val="0"/>
              <w:marTop w:val="0"/>
              <w:marBottom w:val="0"/>
              <w:divBdr>
                <w:top w:val="none" w:sz="0" w:space="0" w:color="auto"/>
                <w:left w:val="none" w:sz="0" w:space="0" w:color="auto"/>
                <w:bottom w:val="none" w:sz="0" w:space="0" w:color="auto"/>
                <w:right w:val="none" w:sz="0" w:space="0" w:color="auto"/>
              </w:divBdr>
            </w:div>
          </w:divsChild>
        </w:div>
        <w:div w:id="1140267896">
          <w:marLeft w:val="0"/>
          <w:marRight w:val="0"/>
          <w:marTop w:val="0"/>
          <w:marBottom w:val="0"/>
          <w:divBdr>
            <w:top w:val="none" w:sz="0" w:space="0" w:color="auto"/>
            <w:left w:val="none" w:sz="0" w:space="0" w:color="auto"/>
            <w:bottom w:val="none" w:sz="0" w:space="0" w:color="auto"/>
            <w:right w:val="none" w:sz="0" w:space="0" w:color="auto"/>
          </w:divBdr>
          <w:divsChild>
            <w:div w:id="1735349796">
              <w:marLeft w:val="0"/>
              <w:marRight w:val="0"/>
              <w:marTop w:val="0"/>
              <w:marBottom w:val="0"/>
              <w:divBdr>
                <w:top w:val="none" w:sz="0" w:space="0" w:color="auto"/>
                <w:left w:val="none" w:sz="0" w:space="0" w:color="auto"/>
                <w:bottom w:val="none" w:sz="0" w:space="0" w:color="auto"/>
                <w:right w:val="none" w:sz="0" w:space="0" w:color="auto"/>
              </w:divBdr>
            </w:div>
            <w:div w:id="960503495">
              <w:marLeft w:val="0"/>
              <w:marRight w:val="0"/>
              <w:marTop w:val="0"/>
              <w:marBottom w:val="0"/>
              <w:divBdr>
                <w:top w:val="none" w:sz="0" w:space="0" w:color="auto"/>
                <w:left w:val="none" w:sz="0" w:space="0" w:color="auto"/>
                <w:bottom w:val="none" w:sz="0" w:space="0" w:color="auto"/>
                <w:right w:val="none" w:sz="0" w:space="0" w:color="auto"/>
              </w:divBdr>
            </w:div>
            <w:div w:id="10025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52536">
      <w:bodyDiv w:val="1"/>
      <w:marLeft w:val="0"/>
      <w:marRight w:val="0"/>
      <w:marTop w:val="0"/>
      <w:marBottom w:val="0"/>
      <w:divBdr>
        <w:top w:val="none" w:sz="0" w:space="0" w:color="auto"/>
        <w:left w:val="none" w:sz="0" w:space="0" w:color="auto"/>
        <w:bottom w:val="none" w:sz="0" w:space="0" w:color="auto"/>
        <w:right w:val="none" w:sz="0" w:space="0" w:color="auto"/>
      </w:divBdr>
    </w:div>
    <w:div w:id="2042396083">
      <w:bodyDiv w:val="1"/>
      <w:marLeft w:val="0"/>
      <w:marRight w:val="0"/>
      <w:marTop w:val="0"/>
      <w:marBottom w:val="0"/>
      <w:divBdr>
        <w:top w:val="none" w:sz="0" w:space="0" w:color="auto"/>
        <w:left w:val="none" w:sz="0" w:space="0" w:color="auto"/>
        <w:bottom w:val="none" w:sz="0" w:space="0" w:color="auto"/>
        <w:right w:val="none" w:sz="0" w:space="0" w:color="auto"/>
      </w:divBdr>
    </w:div>
    <w:div w:id="2064792637">
      <w:bodyDiv w:val="1"/>
      <w:marLeft w:val="0"/>
      <w:marRight w:val="0"/>
      <w:marTop w:val="0"/>
      <w:marBottom w:val="0"/>
      <w:divBdr>
        <w:top w:val="none" w:sz="0" w:space="0" w:color="auto"/>
        <w:left w:val="none" w:sz="0" w:space="0" w:color="auto"/>
        <w:bottom w:val="none" w:sz="0" w:space="0" w:color="auto"/>
        <w:right w:val="none" w:sz="0" w:space="0" w:color="auto"/>
      </w:divBdr>
      <w:divsChild>
        <w:div w:id="2122454943">
          <w:marLeft w:val="0"/>
          <w:marRight w:val="0"/>
          <w:marTop w:val="0"/>
          <w:marBottom w:val="0"/>
          <w:divBdr>
            <w:top w:val="none" w:sz="0" w:space="0" w:color="auto"/>
            <w:left w:val="none" w:sz="0" w:space="0" w:color="auto"/>
            <w:bottom w:val="none" w:sz="0" w:space="0" w:color="auto"/>
            <w:right w:val="none" w:sz="0" w:space="0" w:color="auto"/>
          </w:divBdr>
          <w:divsChild>
            <w:div w:id="1744639211">
              <w:marLeft w:val="0"/>
              <w:marRight w:val="0"/>
              <w:marTop w:val="0"/>
              <w:marBottom w:val="0"/>
              <w:divBdr>
                <w:top w:val="none" w:sz="0" w:space="0" w:color="auto"/>
                <w:left w:val="none" w:sz="0" w:space="0" w:color="auto"/>
                <w:bottom w:val="none" w:sz="0" w:space="0" w:color="auto"/>
                <w:right w:val="none" w:sz="0" w:space="0" w:color="auto"/>
              </w:divBdr>
            </w:div>
          </w:divsChild>
        </w:div>
        <w:div w:id="2129859440">
          <w:marLeft w:val="0"/>
          <w:marRight w:val="0"/>
          <w:marTop w:val="0"/>
          <w:marBottom w:val="0"/>
          <w:divBdr>
            <w:top w:val="none" w:sz="0" w:space="0" w:color="auto"/>
            <w:left w:val="none" w:sz="0" w:space="0" w:color="auto"/>
            <w:bottom w:val="none" w:sz="0" w:space="0" w:color="auto"/>
            <w:right w:val="none" w:sz="0" w:space="0" w:color="auto"/>
          </w:divBdr>
          <w:divsChild>
            <w:div w:id="988173093">
              <w:marLeft w:val="0"/>
              <w:marRight w:val="0"/>
              <w:marTop w:val="0"/>
              <w:marBottom w:val="0"/>
              <w:divBdr>
                <w:top w:val="none" w:sz="0" w:space="0" w:color="auto"/>
                <w:left w:val="none" w:sz="0" w:space="0" w:color="auto"/>
                <w:bottom w:val="none" w:sz="0" w:space="0" w:color="auto"/>
                <w:right w:val="none" w:sz="0" w:space="0" w:color="auto"/>
              </w:divBdr>
            </w:div>
            <w:div w:id="1376736608">
              <w:marLeft w:val="0"/>
              <w:marRight w:val="0"/>
              <w:marTop w:val="0"/>
              <w:marBottom w:val="0"/>
              <w:divBdr>
                <w:top w:val="none" w:sz="0" w:space="0" w:color="auto"/>
                <w:left w:val="none" w:sz="0" w:space="0" w:color="auto"/>
                <w:bottom w:val="none" w:sz="0" w:space="0" w:color="auto"/>
                <w:right w:val="none" w:sz="0" w:space="0" w:color="auto"/>
              </w:divBdr>
            </w:div>
            <w:div w:id="1737556422">
              <w:marLeft w:val="0"/>
              <w:marRight w:val="0"/>
              <w:marTop w:val="0"/>
              <w:marBottom w:val="0"/>
              <w:divBdr>
                <w:top w:val="none" w:sz="0" w:space="0" w:color="auto"/>
                <w:left w:val="none" w:sz="0" w:space="0" w:color="auto"/>
                <w:bottom w:val="none" w:sz="0" w:space="0" w:color="auto"/>
                <w:right w:val="none" w:sz="0" w:space="0" w:color="auto"/>
              </w:divBdr>
            </w:div>
          </w:divsChild>
        </w:div>
        <w:div w:id="100148246">
          <w:marLeft w:val="0"/>
          <w:marRight w:val="0"/>
          <w:marTop w:val="0"/>
          <w:marBottom w:val="0"/>
          <w:divBdr>
            <w:top w:val="none" w:sz="0" w:space="0" w:color="auto"/>
            <w:left w:val="none" w:sz="0" w:space="0" w:color="auto"/>
            <w:bottom w:val="none" w:sz="0" w:space="0" w:color="auto"/>
            <w:right w:val="none" w:sz="0" w:space="0" w:color="auto"/>
          </w:divBdr>
          <w:divsChild>
            <w:div w:id="1127891333">
              <w:marLeft w:val="0"/>
              <w:marRight w:val="0"/>
              <w:marTop w:val="0"/>
              <w:marBottom w:val="0"/>
              <w:divBdr>
                <w:top w:val="none" w:sz="0" w:space="0" w:color="auto"/>
                <w:left w:val="none" w:sz="0" w:space="0" w:color="auto"/>
                <w:bottom w:val="none" w:sz="0" w:space="0" w:color="auto"/>
                <w:right w:val="none" w:sz="0" w:space="0" w:color="auto"/>
              </w:divBdr>
            </w:div>
            <w:div w:id="376124795">
              <w:marLeft w:val="0"/>
              <w:marRight w:val="0"/>
              <w:marTop w:val="0"/>
              <w:marBottom w:val="0"/>
              <w:divBdr>
                <w:top w:val="none" w:sz="0" w:space="0" w:color="auto"/>
                <w:left w:val="none" w:sz="0" w:space="0" w:color="auto"/>
                <w:bottom w:val="none" w:sz="0" w:space="0" w:color="auto"/>
                <w:right w:val="none" w:sz="0" w:space="0" w:color="auto"/>
              </w:divBdr>
            </w:div>
            <w:div w:id="12356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jf2.scjn.gob.mx/detalle/tesis/177347"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192D-7040-47F2-AF43-4D951904F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8257</Words>
  <Characters>45415</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Apoyo 03</dc:creator>
  <cp:keywords/>
  <dc:description/>
  <cp:lastModifiedBy>Apoyo 03</cp:lastModifiedBy>
  <cp:revision>8</cp:revision>
  <cp:lastPrinted>2026-05-26T21:01:00Z</cp:lastPrinted>
  <dcterms:created xsi:type="dcterms:W3CDTF">2026-05-29T19:49:00Z</dcterms:created>
  <dcterms:modified xsi:type="dcterms:W3CDTF">2026-06-01T14:15:00Z</dcterms:modified>
</cp:coreProperties>
</file>